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F311" w14:textId="77777777" w:rsidR="002D669C" w:rsidRPr="00CA0A23" w:rsidRDefault="002D669C" w:rsidP="00D72036">
      <w:pPr>
        <w:tabs>
          <w:tab w:val="left" w:pos="284"/>
        </w:tabs>
        <w:spacing w:line="360" w:lineRule="auto"/>
        <w:ind w:right="-1"/>
        <w:contextualSpacing/>
        <w:jc w:val="center"/>
        <w:rPr>
          <w:rFonts w:ascii="Verdana" w:hAnsi="Verdana" w:cs="Arial"/>
          <w:b/>
          <w:bCs/>
          <w:color w:val="000000"/>
          <w:lang w:val="tr-TR"/>
        </w:rPr>
      </w:pPr>
    </w:p>
    <w:p w14:paraId="10D6A0BB" w14:textId="0AC6B2CE" w:rsidR="002D669C" w:rsidRPr="00CA0A23" w:rsidRDefault="005951BC" w:rsidP="00D72036">
      <w:pPr>
        <w:tabs>
          <w:tab w:val="left" w:pos="284"/>
        </w:tabs>
        <w:spacing w:line="360" w:lineRule="auto"/>
        <w:ind w:right="-1"/>
        <w:contextualSpacing/>
        <w:rPr>
          <w:rFonts w:ascii="Verdana" w:hAnsi="Verdana" w:cs="Arial"/>
          <w:b/>
          <w:bCs/>
          <w:color w:val="000000"/>
          <w:sz w:val="32"/>
          <w:szCs w:val="32"/>
          <w:u w:val="single"/>
          <w:lang w:val="tr-TR"/>
        </w:rPr>
      </w:pPr>
      <w:r w:rsidRPr="00CA0A23">
        <w:rPr>
          <w:rFonts w:ascii="Verdana" w:hAnsi="Verdana" w:cs="Arial"/>
          <w:b/>
          <w:bCs/>
          <w:color w:val="000000"/>
          <w:sz w:val="32"/>
          <w:szCs w:val="32"/>
          <w:u w:val="single"/>
          <w:lang w:val="tr-TR"/>
        </w:rPr>
        <w:t>BASIN BÜLTENİ</w:t>
      </w:r>
    </w:p>
    <w:p w14:paraId="699A73BC" w14:textId="77777777" w:rsidR="00DF6437" w:rsidRPr="00DF6437" w:rsidRDefault="00DF6437" w:rsidP="00DF6437">
      <w:pPr>
        <w:tabs>
          <w:tab w:val="left" w:pos="284"/>
        </w:tabs>
        <w:spacing w:line="360" w:lineRule="auto"/>
        <w:ind w:right="-1"/>
        <w:contextualSpacing/>
        <w:rPr>
          <w:rFonts w:ascii="Verdana" w:hAnsi="Verdana" w:cs="Arial"/>
          <w:b/>
          <w:bCs/>
          <w:sz w:val="28"/>
          <w:szCs w:val="28"/>
          <w:lang w:val="tr-TR"/>
        </w:rPr>
      </w:pPr>
    </w:p>
    <w:p w14:paraId="4C8235EA" w14:textId="0130B0B4" w:rsidR="00DF6437" w:rsidRDefault="00694BA0" w:rsidP="00DF6437">
      <w:pPr>
        <w:tabs>
          <w:tab w:val="left" w:pos="284"/>
        </w:tabs>
        <w:spacing w:line="360" w:lineRule="auto"/>
        <w:ind w:right="-1"/>
        <w:contextualSpacing/>
        <w:jc w:val="center"/>
        <w:rPr>
          <w:rFonts w:ascii="Verdana" w:hAnsi="Verdana" w:cs="Arial"/>
          <w:b/>
          <w:bCs/>
          <w:sz w:val="28"/>
          <w:szCs w:val="28"/>
          <w:lang w:val="tr-TR"/>
        </w:rPr>
      </w:pPr>
      <w:r w:rsidRPr="009D6CA5">
        <w:rPr>
          <w:rFonts w:ascii="Verdana" w:hAnsi="Verdana" w:cs="Arial"/>
          <w:b/>
          <w:bCs/>
          <w:sz w:val="28"/>
          <w:szCs w:val="28"/>
          <w:lang w:val="tr-TR"/>
        </w:rPr>
        <w:t>2021'in üçüncü</w:t>
      </w:r>
      <w:r w:rsidR="00DF6437" w:rsidRPr="009D6CA5">
        <w:rPr>
          <w:rFonts w:ascii="Verdana" w:hAnsi="Verdana" w:cs="Arial"/>
          <w:b/>
          <w:bCs/>
          <w:sz w:val="28"/>
          <w:szCs w:val="28"/>
          <w:lang w:val="tr-TR"/>
        </w:rPr>
        <w:t xml:space="preserve"> çeyreğine </w:t>
      </w:r>
      <w:r w:rsidR="005C4DD4" w:rsidRPr="009D6CA5">
        <w:rPr>
          <w:rFonts w:ascii="Verdana" w:hAnsi="Verdana" w:cs="Arial"/>
          <w:b/>
          <w:bCs/>
          <w:sz w:val="28"/>
          <w:szCs w:val="28"/>
          <w:lang w:val="tr-TR"/>
        </w:rPr>
        <w:t xml:space="preserve">Ege bölgesindeki işverenlerin istihdam beklentileri yüzde </w:t>
      </w:r>
      <w:r w:rsidR="00F61A92">
        <w:rPr>
          <w:rFonts w:ascii="Verdana" w:hAnsi="Verdana" w:cs="Arial"/>
          <w:b/>
          <w:bCs/>
          <w:sz w:val="28"/>
          <w:szCs w:val="28"/>
          <w:lang w:val="tr-TR"/>
        </w:rPr>
        <w:t>9</w:t>
      </w:r>
    </w:p>
    <w:p w14:paraId="6A0CEB56" w14:textId="77777777" w:rsidR="000165C2" w:rsidRPr="00CA0A23" w:rsidRDefault="000165C2" w:rsidP="00FF7A06">
      <w:pPr>
        <w:tabs>
          <w:tab w:val="left" w:pos="284"/>
        </w:tabs>
        <w:spacing w:line="360" w:lineRule="auto"/>
        <w:ind w:right="-1"/>
        <w:contextualSpacing/>
        <w:rPr>
          <w:rFonts w:ascii="Verdana" w:hAnsi="Verdana" w:cs="Arial"/>
          <w:b/>
          <w:bCs/>
          <w:sz w:val="28"/>
          <w:szCs w:val="28"/>
          <w:lang w:val="tr-TR"/>
        </w:rPr>
      </w:pPr>
    </w:p>
    <w:p w14:paraId="3297DE20" w14:textId="73242668" w:rsidR="00694BA0" w:rsidRPr="00694BA0" w:rsidRDefault="0060698A" w:rsidP="00694BA0">
      <w:pPr>
        <w:tabs>
          <w:tab w:val="left" w:pos="284"/>
        </w:tabs>
        <w:spacing w:line="360" w:lineRule="auto"/>
        <w:ind w:right="-1"/>
        <w:contextualSpacing/>
        <w:jc w:val="center"/>
        <w:rPr>
          <w:rFonts w:ascii="Verdana" w:hAnsi="Verdana" w:cs="Arial"/>
          <w:b/>
          <w:bCs/>
          <w:sz w:val="24"/>
          <w:szCs w:val="24"/>
          <w:lang w:val="tr-TR"/>
        </w:rPr>
      </w:pPr>
      <w:proofErr w:type="spellStart"/>
      <w:r w:rsidRPr="00CA0A23">
        <w:rPr>
          <w:rFonts w:ascii="Verdana" w:hAnsi="Verdana"/>
          <w:b/>
          <w:bCs/>
          <w:color w:val="000000"/>
          <w:sz w:val="24"/>
          <w:szCs w:val="24"/>
          <w:lang w:val="tr-TR"/>
        </w:rPr>
        <w:t>ManpowerGroup</w:t>
      </w:r>
      <w:proofErr w:type="spellEnd"/>
      <w:r w:rsidRPr="00CA0A23">
        <w:rPr>
          <w:rFonts w:ascii="Verdana" w:hAnsi="Verdana"/>
          <w:b/>
          <w:bCs/>
          <w:color w:val="000000"/>
          <w:sz w:val="24"/>
          <w:szCs w:val="24"/>
          <w:lang w:val="tr-TR"/>
        </w:rPr>
        <w:t xml:space="preserve"> İstihdama Genel Bakış Araştırması’na göre</w:t>
      </w:r>
      <w:r w:rsidRPr="00CA0A23">
        <w:rPr>
          <w:rFonts w:ascii="Verdana" w:hAnsi="Verdana" w:cs="Arial"/>
          <w:b/>
          <w:bCs/>
          <w:sz w:val="24"/>
          <w:szCs w:val="24"/>
          <w:lang w:val="tr-TR"/>
        </w:rPr>
        <w:t xml:space="preserve"> </w:t>
      </w:r>
      <w:r w:rsidR="00694BA0" w:rsidRPr="00694BA0">
        <w:rPr>
          <w:rFonts w:ascii="Verdana" w:hAnsi="Verdana" w:cs="Arial"/>
          <w:b/>
          <w:bCs/>
          <w:sz w:val="24"/>
          <w:szCs w:val="24"/>
          <w:lang w:val="tr-TR"/>
        </w:rPr>
        <w:t xml:space="preserve">2021'in üçüncü çeyreğine yönelik net istihdam görünümü +%11'i gösteriyor. </w:t>
      </w:r>
    </w:p>
    <w:p w14:paraId="67E0FFC2" w14:textId="6684041C" w:rsidR="00603501" w:rsidRDefault="00694BA0" w:rsidP="00694BA0">
      <w:pPr>
        <w:tabs>
          <w:tab w:val="left" w:pos="284"/>
        </w:tabs>
        <w:spacing w:line="360" w:lineRule="auto"/>
        <w:ind w:right="-1"/>
        <w:contextualSpacing/>
        <w:jc w:val="center"/>
        <w:rPr>
          <w:rFonts w:ascii="Verdana" w:hAnsi="Verdana" w:cs="Arial"/>
          <w:b/>
          <w:bCs/>
          <w:sz w:val="24"/>
          <w:szCs w:val="24"/>
          <w:lang w:val="tr-TR"/>
        </w:rPr>
      </w:pPr>
      <w:r w:rsidRPr="00694BA0">
        <w:rPr>
          <w:rFonts w:ascii="Verdana" w:hAnsi="Verdana" w:cs="Arial"/>
          <w:b/>
          <w:bCs/>
          <w:sz w:val="24"/>
          <w:szCs w:val="24"/>
          <w:lang w:val="tr-TR"/>
        </w:rPr>
        <w:t xml:space="preserve"> </w:t>
      </w:r>
      <w:r w:rsidR="009A6A70" w:rsidRPr="009A6A70">
        <w:rPr>
          <w:rFonts w:ascii="Verdana" w:hAnsi="Verdana" w:cs="Arial"/>
          <w:b/>
          <w:bCs/>
          <w:sz w:val="24"/>
          <w:szCs w:val="24"/>
          <w:lang w:val="tr-TR"/>
        </w:rPr>
        <w:t xml:space="preserve">Araştırma kapsamındaki beş </w:t>
      </w:r>
      <w:r>
        <w:rPr>
          <w:rFonts w:ascii="Verdana" w:hAnsi="Verdana" w:cs="Arial"/>
          <w:b/>
          <w:bCs/>
          <w:sz w:val="24"/>
          <w:szCs w:val="24"/>
          <w:lang w:val="tr-TR"/>
        </w:rPr>
        <w:t>bölgenin dördünde işverenler, 2021'in üçüncü</w:t>
      </w:r>
      <w:r w:rsidR="009A6A70" w:rsidRPr="009A6A70">
        <w:rPr>
          <w:rFonts w:ascii="Verdana" w:hAnsi="Verdana" w:cs="Arial"/>
          <w:b/>
          <w:bCs/>
          <w:sz w:val="24"/>
          <w:szCs w:val="24"/>
          <w:lang w:val="tr-TR"/>
        </w:rPr>
        <w:t xml:space="preserve"> çeyreği boyunca personel sayısının artmasını bekliyor</w:t>
      </w:r>
      <w:r w:rsidR="009A6A70">
        <w:rPr>
          <w:rFonts w:ascii="Verdana" w:hAnsi="Verdana" w:cs="Arial"/>
          <w:b/>
          <w:bCs/>
          <w:sz w:val="24"/>
          <w:szCs w:val="24"/>
          <w:lang w:val="tr-TR"/>
        </w:rPr>
        <w:t xml:space="preserve">. </w:t>
      </w:r>
      <w:r w:rsidR="003E74FD" w:rsidRPr="003E74FD">
        <w:rPr>
          <w:rFonts w:ascii="Verdana" w:hAnsi="Verdana" w:cs="Arial"/>
          <w:b/>
          <w:bCs/>
          <w:sz w:val="24"/>
          <w:szCs w:val="24"/>
          <w:lang w:val="tr-TR"/>
        </w:rPr>
        <w:t xml:space="preserve">Ege bölgesindeki işverenler bir önceki yılın aynı dönemine kıyasla yüzde 4 puan daha düşük işe alım beklentisi bildiriyor. </w:t>
      </w:r>
    </w:p>
    <w:p w14:paraId="25291F0C" w14:textId="77777777" w:rsidR="003E74FD" w:rsidRPr="00CA0A23" w:rsidRDefault="003E74FD" w:rsidP="00694BA0">
      <w:pPr>
        <w:tabs>
          <w:tab w:val="left" w:pos="284"/>
        </w:tabs>
        <w:spacing w:line="360" w:lineRule="auto"/>
        <w:ind w:right="-1"/>
        <w:contextualSpacing/>
        <w:jc w:val="center"/>
        <w:rPr>
          <w:rFonts w:ascii="Verdana" w:hAnsi="Verdana" w:cs="Arial"/>
          <w:b/>
          <w:bCs/>
          <w:sz w:val="24"/>
          <w:szCs w:val="24"/>
          <w:lang w:val="tr-TR"/>
        </w:rPr>
      </w:pPr>
    </w:p>
    <w:p w14:paraId="61EB38BF" w14:textId="77777777" w:rsidR="0060698A" w:rsidRPr="00CA0A23" w:rsidRDefault="0060698A" w:rsidP="007F1075">
      <w:pPr>
        <w:tabs>
          <w:tab w:val="left" w:pos="284"/>
        </w:tabs>
        <w:spacing w:line="360" w:lineRule="auto"/>
        <w:ind w:right="-1"/>
        <w:contextualSpacing/>
        <w:rPr>
          <w:rFonts w:ascii="Verdana" w:hAnsi="Verdana" w:cs="Arial"/>
          <w:b/>
          <w:bCs/>
          <w:sz w:val="24"/>
          <w:szCs w:val="24"/>
          <w:lang w:val="tr-TR"/>
        </w:rPr>
      </w:pPr>
    </w:p>
    <w:p w14:paraId="6564D7D3" w14:textId="3A06E9F7" w:rsidR="00DF6437" w:rsidRDefault="005C6773" w:rsidP="00DF6437">
      <w:pPr>
        <w:tabs>
          <w:tab w:val="left" w:pos="284"/>
        </w:tabs>
        <w:spacing w:line="360" w:lineRule="auto"/>
        <w:ind w:right="-1"/>
        <w:contextualSpacing/>
        <w:jc w:val="both"/>
        <w:rPr>
          <w:rFonts w:ascii="Verdana" w:hAnsi="Verdana" w:cs="Arial"/>
          <w:lang w:val="tr-TR"/>
        </w:rPr>
      </w:pPr>
      <w:proofErr w:type="spellStart"/>
      <w:r w:rsidRPr="00D71205">
        <w:rPr>
          <w:rFonts w:ascii="Verdana" w:hAnsi="Verdana" w:cs="Arial"/>
          <w:lang w:val="tr-TR"/>
        </w:rPr>
        <w:t>ManpowerGroup</w:t>
      </w:r>
      <w:proofErr w:type="spellEnd"/>
      <w:r w:rsidRPr="00CA0A23">
        <w:rPr>
          <w:rFonts w:ascii="Verdana" w:hAnsi="Verdana" w:cs="Arial"/>
          <w:lang w:val="tr-TR"/>
        </w:rPr>
        <w:t xml:space="preserve"> </w:t>
      </w:r>
      <w:r w:rsidR="00E93C18" w:rsidRPr="00CA0A23">
        <w:rPr>
          <w:rFonts w:ascii="Verdana" w:hAnsi="Verdana" w:cs="Arial"/>
          <w:lang w:val="tr-TR"/>
        </w:rPr>
        <w:t>İstihdama Genel Bakış Araştırması</w:t>
      </w:r>
      <w:r w:rsidR="00DF6437">
        <w:rPr>
          <w:rFonts w:ascii="Verdana" w:hAnsi="Verdana" w:cs="Arial"/>
          <w:lang w:val="tr-TR"/>
        </w:rPr>
        <w:t xml:space="preserve">’nda </w:t>
      </w:r>
      <w:r w:rsidR="00433A07" w:rsidRPr="00433A07">
        <w:rPr>
          <w:rFonts w:ascii="Verdana" w:hAnsi="Verdana" w:cs="Arial"/>
          <w:lang w:val="tr-TR"/>
        </w:rPr>
        <w:t>Ege bölgesindeki işverenler +%9'luk görünümle istikrarlı bir işe alım beklentisi sun</w:t>
      </w:r>
      <w:r w:rsidR="00D05909">
        <w:rPr>
          <w:rFonts w:ascii="Verdana" w:hAnsi="Verdana" w:cs="Arial"/>
          <w:lang w:val="tr-TR"/>
        </w:rPr>
        <w:t>uyor. Araştırmada e</w:t>
      </w:r>
      <w:r w:rsidR="00D05909" w:rsidRPr="00DF6437">
        <w:rPr>
          <w:rFonts w:ascii="Verdana" w:hAnsi="Verdana" w:cs="Arial"/>
          <w:lang w:val="tr-TR"/>
        </w:rPr>
        <w:t>n güçlü istihdam p</w:t>
      </w:r>
      <w:r w:rsidR="00D05909">
        <w:rPr>
          <w:rFonts w:ascii="Verdana" w:hAnsi="Verdana" w:cs="Arial"/>
          <w:lang w:val="tr-TR"/>
        </w:rPr>
        <w:t>iyasasının beklendiği bölge +%11 istihdam görünümüyle Karadeniz bölgesi olurken,</w:t>
      </w:r>
      <w:r w:rsidR="00433A07" w:rsidRPr="00433A07">
        <w:rPr>
          <w:rFonts w:ascii="Verdana" w:hAnsi="Verdana" w:cs="Arial"/>
          <w:lang w:val="tr-TR"/>
        </w:rPr>
        <w:t xml:space="preserve"> İç Anadolu ve Marmara bölgelerinin istihdam görünümleri +%8 ve +%7 olarak sıralanıyor. Akdeniz bölgesindeki işverenler ise %0 ile sabit bir istihdam piyasası öngörüyor.</w:t>
      </w:r>
    </w:p>
    <w:p w14:paraId="6B7AAB5E" w14:textId="77777777" w:rsidR="00433A07" w:rsidRDefault="00433A07" w:rsidP="009A6A70">
      <w:pPr>
        <w:tabs>
          <w:tab w:val="left" w:pos="284"/>
        </w:tabs>
        <w:spacing w:line="360" w:lineRule="auto"/>
        <w:ind w:right="-1"/>
        <w:contextualSpacing/>
        <w:jc w:val="both"/>
        <w:rPr>
          <w:rFonts w:ascii="Verdana" w:hAnsi="Verdana" w:cs="Arial"/>
          <w:lang w:val="tr-TR"/>
        </w:rPr>
      </w:pPr>
    </w:p>
    <w:tbl>
      <w:tblPr>
        <w:tblpPr w:leftFromText="60" w:rightFromText="60" w:vertAnchor="text"/>
        <w:tblW w:w="9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0"/>
        <w:gridCol w:w="3860"/>
      </w:tblGrid>
      <w:tr w:rsidR="00D7406E" w:rsidRPr="00D7406E" w14:paraId="14E70FB2" w14:textId="77777777" w:rsidTr="00433A07">
        <w:trPr>
          <w:gridAfter w:val="1"/>
          <w:wAfter w:w="2895" w:type="dxa"/>
          <w:trHeight w:val="645"/>
        </w:trPr>
        <w:tc>
          <w:tcPr>
            <w:tcW w:w="2895" w:type="dxa"/>
            <w:tcBorders>
              <w:top w:val="outset" w:sz="6" w:space="0" w:color="auto"/>
              <w:left w:val="outset" w:sz="6" w:space="0" w:color="auto"/>
              <w:bottom w:val="outset" w:sz="6" w:space="0" w:color="auto"/>
              <w:right w:val="outset" w:sz="6" w:space="0" w:color="auto"/>
            </w:tcBorders>
            <w:vAlign w:val="center"/>
            <w:hideMark/>
          </w:tcPr>
          <w:p w14:paraId="40C9B30F"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b/>
                <w:bCs/>
                <w:color w:val="000000" w:themeColor="text1"/>
                <w:spacing w:val="8"/>
                <w:lang w:val="tr-TR"/>
              </w:rPr>
              <w:br/>
              <w:t>MVA İstihdam Görünümü (%)</w:t>
            </w:r>
          </w:p>
        </w:tc>
      </w:tr>
      <w:tr w:rsidR="00433A07" w:rsidRPr="00433A07" w14:paraId="133E1344" w14:textId="77777777" w:rsidTr="00433A07">
        <w:trPr>
          <w:trHeight w:val="300"/>
        </w:trPr>
        <w:tc>
          <w:tcPr>
            <w:tcW w:w="4155" w:type="dxa"/>
            <w:tcBorders>
              <w:top w:val="outset" w:sz="6" w:space="0" w:color="auto"/>
              <w:left w:val="outset" w:sz="6" w:space="0" w:color="auto"/>
              <w:bottom w:val="outset" w:sz="6" w:space="0" w:color="auto"/>
              <w:right w:val="outset" w:sz="6" w:space="0" w:color="auto"/>
            </w:tcBorders>
            <w:vAlign w:val="center"/>
            <w:hideMark/>
          </w:tcPr>
          <w:p w14:paraId="7F51D529"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KARADENİZ</w:t>
            </w:r>
          </w:p>
        </w:tc>
        <w:tc>
          <w:tcPr>
            <w:tcW w:w="2895" w:type="dxa"/>
            <w:tcBorders>
              <w:top w:val="outset" w:sz="6" w:space="0" w:color="auto"/>
              <w:left w:val="outset" w:sz="6" w:space="0" w:color="auto"/>
              <w:bottom w:val="outset" w:sz="6" w:space="0" w:color="auto"/>
              <w:right w:val="outset" w:sz="6" w:space="0" w:color="auto"/>
            </w:tcBorders>
            <w:vAlign w:val="center"/>
            <w:hideMark/>
          </w:tcPr>
          <w:p w14:paraId="016B7A43"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+%11</w:t>
            </w:r>
          </w:p>
        </w:tc>
      </w:tr>
      <w:tr w:rsidR="00433A07" w:rsidRPr="00433A07" w14:paraId="21717833" w14:textId="77777777" w:rsidTr="00433A07">
        <w:trPr>
          <w:trHeight w:val="255"/>
        </w:trPr>
        <w:tc>
          <w:tcPr>
            <w:tcW w:w="4155" w:type="dxa"/>
            <w:tcBorders>
              <w:top w:val="outset" w:sz="6" w:space="0" w:color="auto"/>
              <w:left w:val="outset" w:sz="6" w:space="0" w:color="auto"/>
              <w:bottom w:val="outset" w:sz="6" w:space="0" w:color="auto"/>
              <w:right w:val="outset" w:sz="6" w:space="0" w:color="auto"/>
            </w:tcBorders>
            <w:vAlign w:val="center"/>
            <w:hideMark/>
          </w:tcPr>
          <w:p w14:paraId="4F75D0A6"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EGE</w:t>
            </w:r>
          </w:p>
        </w:tc>
        <w:tc>
          <w:tcPr>
            <w:tcW w:w="2895" w:type="dxa"/>
            <w:tcBorders>
              <w:top w:val="outset" w:sz="6" w:space="0" w:color="auto"/>
              <w:left w:val="outset" w:sz="6" w:space="0" w:color="auto"/>
              <w:bottom w:val="outset" w:sz="6" w:space="0" w:color="auto"/>
              <w:right w:val="outset" w:sz="6" w:space="0" w:color="auto"/>
            </w:tcBorders>
            <w:vAlign w:val="center"/>
            <w:hideMark/>
          </w:tcPr>
          <w:p w14:paraId="75D25771"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+%9</w:t>
            </w:r>
          </w:p>
        </w:tc>
      </w:tr>
      <w:tr w:rsidR="00433A07" w:rsidRPr="00433A07" w14:paraId="72B009C8" w14:textId="77777777" w:rsidTr="00433A07">
        <w:trPr>
          <w:trHeight w:val="315"/>
        </w:trPr>
        <w:tc>
          <w:tcPr>
            <w:tcW w:w="4155" w:type="dxa"/>
            <w:tcBorders>
              <w:top w:val="outset" w:sz="6" w:space="0" w:color="auto"/>
              <w:left w:val="outset" w:sz="6" w:space="0" w:color="auto"/>
              <w:bottom w:val="outset" w:sz="6" w:space="0" w:color="auto"/>
              <w:right w:val="outset" w:sz="6" w:space="0" w:color="auto"/>
            </w:tcBorders>
            <w:vAlign w:val="center"/>
            <w:hideMark/>
          </w:tcPr>
          <w:p w14:paraId="191CF09B"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İÇ ANADOLU</w:t>
            </w:r>
          </w:p>
        </w:tc>
        <w:tc>
          <w:tcPr>
            <w:tcW w:w="2895" w:type="dxa"/>
            <w:tcBorders>
              <w:top w:val="outset" w:sz="6" w:space="0" w:color="auto"/>
              <w:left w:val="outset" w:sz="6" w:space="0" w:color="auto"/>
              <w:bottom w:val="outset" w:sz="6" w:space="0" w:color="auto"/>
              <w:right w:val="outset" w:sz="6" w:space="0" w:color="auto"/>
            </w:tcBorders>
            <w:vAlign w:val="center"/>
            <w:hideMark/>
          </w:tcPr>
          <w:p w14:paraId="06472701"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+%8</w:t>
            </w:r>
          </w:p>
        </w:tc>
      </w:tr>
      <w:tr w:rsidR="00433A07" w:rsidRPr="00433A07" w14:paraId="0246F930" w14:textId="77777777" w:rsidTr="00433A07">
        <w:trPr>
          <w:trHeight w:val="300"/>
        </w:trPr>
        <w:tc>
          <w:tcPr>
            <w:tcW w:w="4155" w:type="dxa"/>
            <w:tcBorders>
              <w:top w:val="outset" w:sz="6" w:space="0" w:color="auto"/>
              <w:left w:val="outset" w:sz="6" w:space="0" w:color="auto"/>
              <w:bottom w:val="outset" w:sz="6" w:space="0" w:color="auto"/>
              <w:right w:val="outset" w:sz="6" w:space="0" w:color="auto"/>
            </w:tcBorders>
            <w:vAlign w:val="center"/>
            <w:hideMark/>
          </w:tcPr>
          <w:p w14:paraId="6674353D"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MARMARA</w:t>
            </w:r>
          </w:p>
        </w:tc>
        <w:tc>
          <w:tcPr>
            <w:tcW w:w="2895" w:type="dxa"/>
            <w:tcBorders>
              <w:top w:val="outset" w:sz="6" w:space="0" w:color="auto"/>
              <w:left w:val="outset" w:sz="6" w:space="0" w:color="auto"/>
              <w:bottom w:val="outset" w:sz="6" w:space="0" w:color="auto"/>
              <w:right w:val="outset" w:sz="6" w:space="0" w:color="auto"/>
            </w:tcBorders>
            <w:vAlign w:val="center"/>
            <w:hideMark/>
          </w:tcPr>
          <w:p w14:paraId="132B6178"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+%7</w:t>
            </w:r>
          </w:p>
        </w:tc>
      </w:tr>
      <w:tr w:rsidR="00433A07" w:rsidRPr="00433A07" w14:paraId="75FED283" w14:textId="77777777" w:rsidTr="00433A07">
        <w:trPr>
          <w:trHeight w:val="345"/>
        </w:trPr>
        <w:tc>
          <w:tcPr>
            <w:tcW w:w="4155" w:type="dxa"/>
            <w:tcBorders>
              <w:top w:val="outset" w:sz="6" w:space="0" w:color="auto"/>
              <w:left w:val="outset" w:sz="6" w:space="0" w:color="auto"/>
              <w:bottom w:val="outset" w:sz="6" w:space="0" w:color="auto"/>
              <w:right w:val="outset" w:sz="6" w:space="0" w:color="auto"/>
            </w:tcBorders>
            <w:vAlign w:val="center"/>
            <w:hideMark/>
          </w:tcPr>
          <w:p w14:paraId="77D24993"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AKDENİZ</w:t>
            </w:r>
          </w:p>
        </w:tc>
        <w:tc>
          <w:tcPr>
            <w:tcW w:w="2895" w:type="dxa"/>
            <w:tcBorders>
              <w:top w:val="outset" w:sz="6" w:space="0" w:color="auto"/>
              <w:left w:val="outset" w:sz="6" w:space="0" w:color="auto"/>
              <w:bottom w:val="outset" w:sz="6" w:space="0" w:color="auto"/>
              <w:right w:val="outset" w:sz="6" w:space="0" w:color="auto"/>
            </w:tcBorders>
            <w:vAlign w:val="center"/>
            <w:hideMark/>
          </w:tcPr>
          <w:p w14:paraId="595D93E0" w14:textId="77777777" w:rsidR="00433A07" w:rsidRPr="00D7406E" w:rsidRDefault="00433A07" w:rsidP="00433A07">
            <w:pPr>
              <w:overflowPunct/>
              <w:autoSpaceDE/>
              <w:autoSpaceDN/>
              <w:adjustRightInd/>
              <w:textAlignment w:val="auto"/>
              <w:rPr>
                <w:rFonts w:ascii="Verdana" w:hAnsi="Verdana"/>
                <w:color w:val="000000" w:themeColor="text1"/>
                <w:spacing w:val="8"/>
                <w:lang w:val="tr-TR"/>
              </w:rPr>
            </w:pPr>
            <w:r w:rsidRPr="00D7406E">
              <w:rPr>
                <w:rFonts w:ascii="Verdana" w:hAnsi="Verdana"/>
                <w:color w:val="000000" w:themeColor="text1"/>
                <w:spacing w:val="8"/>
                <w:lang w:val="tr-TR"/>
              </w:rPr>
              <w:t>%0</w:t>
            </w:r>
          </w:p>
        </w:tc>
      </w:tr>
    </w:tbl>
    <w:p w14:paraId="3A677884" w14:textId="77777777" w:rsidR="00433A07" w:rsidRDefault="00433A07" w:rsidP="00433A07">
      <w:pPr>
        <w:tabs>
          <w:tab w:val="left" w:pos="284"/>
        </w:tabs>
        <w:spacing w:line="360" w:lineRule="auto"/>
        <w:ind w:right="-1"/>
        <w:contextualSpacing/>
        <w:jc w:val="both"/>
        <w:rPr>
          <w:rFonts w:ascii="Verdana" w:hAnsi="Verdana" w:cs="Arial"/>
          <w:lang w:val="tr-TR"/>
        </w:rPr>
      </w:pPr>
    </w:p>
    <w:p w14:paraId="1B0D0876" w14:textId="45ABF491" w:rsidR="00433A07" w:rsidRDefault="00433A07" w:rsidP="00433A07">
      <w:pPr>
        <w:tabs>
          <w:tab w:val="left" w:pos="284"/>
        </w:tabs>
        <w:spacing w:line="360" w:lineRule="auto"/>
        <w:ind w:right="-1"/>
        <w:contextualSpacing/>
        <w:jc w:val="both"/>
        <w:rPr>
          <w:rFonts w:ascii="Verdana" w:hAnsi="Verdana" w:cs="Arial"/>
          <w:lang w:val="tr-TR"/>
        </w:rPr>
      </w:pPr>
      <w:r w:rsidRPr="00433A07">
        <w:rPr>
          <w:rFonts w:ascii="Verdana" w:hAnsi="Verdana" w:cs="Arial"/>
          <w:lang w:val="tr-TR"/>
        </w:rPr>
        <w:t>Bir önceki çeyreğe kıyasla araştırma kapsamındaki tüm bölgelerde işe alım beklentileri zayıflamış görünüyor.</w:t>
      </w:r>
      <w:r>
        <w:rPr>
          <w:rFonts w:ascii="Verdana" w:hAnsi="Verdana" w:cs="Arial"/>
          <w:lang w:val="tr-TR"/>
        </w:rPr>
        <w:t xml:space="preserve"> </w:t>
      </w:r>
      <w:r w:rsidR="00D05909" w:rsidRPr="00433A07">
        <w:rPr>
          <w:rFonts w:ascii="Verdana" w:hAnsi="Verdana" w:cs="Arial"/>
          <w:lang w:val="tr-TR"/>
        </w:rPr>
        <w:t xml:space="preserve">Ege bölgesindeki işverenlerin 2021'in ikinci çeyreğine kıyasla istihdam </w:t>
      </w:r>
      <w:r w:rsidR="00D05909">
        <w:rPr>
          <w:rFonts w:ascii="Verdana" w:hAnsi="Verdana" w:cs="Arial"/>
          <w:lang w:val="tr-TR"/>
        </w:rPr>
        <w:t xml:space="preserve">beklentileri de yüzde 5 puan azalırken, </w:t>
      </w:r>
      <w:r w:rsidRPr="00433A07">
        <w:rPr>
          <w:rFonts w:ascii="Verdana" w:hAnsi="Verdana" w:cs="Arial"/>
          <w:lang w:val="tr-TR"/>
        </w:rPr>
        <w:t>Akde</w:t>
      </w:r>
      <w:r>
        <w:rPr>
          <w:rFonts w:ascii="Verdana" w:hAnsi="Verdana" w:cs="Arial"/>
          <w:lang w:val="tr-TR"/>
        </w:rPr>
        <w:t>niz bölgesindeki işverenler</w:t>
      </w:r>
      <w:r w:rsidR="00D05909">
        <w:rPr>
          <w:rFonts w:ascii="Verdana" w:hAnsi="Verdana" w:cs="Arial"/>
          <w:lang w:val="tr-TR"/>
        </w:rPr>
        <w:t>in</w:t>
      </w:r>
      <w:r>
        <w:rPr>
          <w:rFonts w:ascii="Verdana" w:hAnsi="Verdana" w:cs="Arial"/>
          <w:lang w:val="tr-TR"/>
        </w:rPr>
        <w:t xml:space="preserve"> </w:t>
      </w:r>
      <w:r w:rsidRPr="00433A07">
        <w:rPr>
          <w:rFonts w:ascii="Verdana" w:hAnsi="Verdana" w:cs="Arial"/>
          <w:lang w:val="tr-TR"/>
        </w:rPr>
        <w:t xml:space="preserve">yüzde 7 puan, Ege </w:t>
      </w:r>
      <w:r w:rsidRPr="00433A07">
        <w:rPr>
          <w:rFonts w:ascii="Verdana" w:hAnsi="Verdana" w:cs="Arial"/>
          <w:lang w:val="tr-TR"/>
        </w:rPr>
        <w:lastRenderedPageBreak/>
        <w:t xml:space="preserve">bölgesindeki işverenlerin istihdam </w:t>
      </w:r>
      <w:r>
        <w:rPr>
          <w:rFonts w:ascii="Verdana" w:hAnsi="Verdana" w:cs="Arial"/>
          <w:lang w:val="tr-TR"/>
        </w:rPr>
        <w:t xml:space="preserve">beklentileri yüzde 5, </w:t>
      </w:r>
      <w:r w:rsidRPr="00433A07">
        <w:rPr>
          <w:rFonts w:ascii="Verdana" w:hAnsi="Verdana" w:cs="Arial"/>
          <w:lang w:val="tr-TR"/>
        </w:rPr>
        <w:t xml:space="preserve">Marmara </w:t>
      </w:r>
      <w:r>
        <w:rPr>
          <w:rFonts w:ascii="Verdana" w:hAnsi="Verdana" w:cs="Arial"/>
          <w:lang w:val="tr-TR"/>
        </w:rPr>
        <w:t xml:space="preserve">bölgesinde ise </w:t>
      </w:r>
      <w:r w:rsidRPr="00433A07">
        <w:rPr>
          <w:rFonts w:ascii="Verdana" w:hAnsi="Verdana" w:cs="Arial"/>
          <w:lang w:val="tr-TR"/>
        </w:rPr>
        <w:t>yüzde 3</w:t>
      </w:r>
      <w:r>
        <w:rPr>
          <w:rFonts w:ascii="Verdana" w:hAnsi="Verdana" w:cs="Arial"/>
          <w:lang w:val="tr-TR"/>
        </w:rPr>
        <w:t xml:space="preserve"> puan azalma görülüyor.</w:t>
      </w:r>
    </w:p>
    <w:p w14:paraId="172C618C" w14:textId="77777777" w:rsidR="00433A07" w:rsidRDefault="00433A07" w:rsidP="00433A07">
      <w:pPr>
        <w:tabs>
          <w:tab w:val="left" w:pos="284"/>
        </w:tabs>
        <w:spacing w:line="360" w:lineRule="auto"/>
        <w:ind w:right="-1"/>
        <w:contextualSpacing/>
        <w:jc w:val="both"/>
        <w:rPr>
          <w:rFonts w:ascii="Verdana" w:hAnsi="Verdana" w:cs="Arial"/>
          <w:lang w:val="tr-TR"/>
        </w:rPr>
      </w:pPr>
    </w:p>
    <w:p w14:paraId="1A1B81FD" w14:textId="77777777" w:rsidR="00D05909" w:rsidRDefault="00D05909" w:rsidP="00D05909">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COVID-19 etkilerinin istihdam piyasası üzerindeki etkisinin hissedilmeye başlandığı, bir önceki yılın aynı dönemi ile kıyaslandığında araştırma kapsamındaki tüm bölgelerde işe alım beklentisi yükselmiş bulunuyor. En dikkat çekici yükseliş yüzde 14 puan artışla Akdeniz bölgesinden gelirken, İç Anadolu ve Marmara bölgelerinde de işe alım beklentileri bir yıl öncesine kıyasla yüzde 12 ve yüzde 11 puan artmış görünüyor. Ege bölgesindeki işverenler bir önceki yılın aynı dönemine kıyasla yüzde 4 puan daha düşük işe alım beklentisi bildirirken, Karadeniz bölgesindeki işverenler işe alım beklentilerindeki istikrarı koruyor.  </w:t>
      </w:r>
    </w:p>
    <w:p w14:paraId="3F3CDCC5" w14:textId="77777777" w:rsidR="00433A07" w:rsidRDefault="00433A07" w:rsidP="00B800A3">
      <w:pPr>
        <w:tabs>
          <w:tab w:val="left" w:pos="1770"/>
        </w:tabs>
        <w:spacing w:line="360" w:lineRule="auto"/>
        <w:ind w:right="-1"/>
        <w:contextualSpacing/>
        <w:jc w:val="both"/>
        <w:rPr>
          <w:rFonts w:ascii="Verdana" w:hAnsi="Verdana" w:cs="Arial"/>
          <w:b/>
          <w:lang w:val="tr-TR"/>
        </w:rPr>
      </w:pPr>
    </w:p>
    <w:p w14:paraId="18855BF9" w14:textId="77777777" w:rsidR="000623A8" w:rsidRDefault="000623A8" w:rsidP="000623A8">
      <w:pPr>
        <w:tabs>
          <w:tab w:val="left" w:pos="284"/>
        </w:tabs>
        <w:spacing w:line="360" w:lineRule="auto"/>
        <w:ind w:right="-1"/>
        <w:contextualSpacing/>
        <w:jc w:val="both"/>
        <w:rPr>
          <w:rFonts w:ascii="Verdana" w:hAnsi="Verdana" w:cs="Arial"/>
          <w:lang w:val="tr-TR"/>
        </w:rPr>
      </w:pPr>
      <w:proofErr w:type="spellStart"/>
      <w:r w:rsidRPr="00D71205">
        <w:rPr>
          <w:rFonts w:ascii="Verdana" w:hAnsi="Verdana" w:cs="Arial"/>
          <w:lang w:val="tr-TR"/>
        </w:rPr>
        <w:t>ManpowerGroup</w:t>
      </w:r>
      <w:proofErr w:type="spellEnd"/>
      <w:r w:rsidRPr="00CA0A23">
        <w:rPr>
          <w:rFonts w:ascii="Verdana" w:hAnsi="Verdana" w:cs="Arial"/>
          <w:lang w:val="tr-TR"/>
        </w:rPr>
        <w:t xml:space="preserve"> İstihdama Genel Bakış Araştırması, Türk işverenlerin 202</w:t>
      </w:r>
      <w:r>
        <w:rPr>
          <w:rFonts w:ascii="Verdana" w:hAnsi="Verdana" w:cs="Arial"/>
          <w:lang w:val="tr-TR"/>
        </w:rPr>
        <w:t>1</w:t>
      </w:r>
      <w:r w:rsidRPr="00CA0A23">
        <w:rPr>
          <w:rFonts w:ascii="Verdana" w:hAnsi="Verdana" w:cs="Arial"/>
          <w:lang w:val="tr-TR"/>
        </w:rPr>
        <w:t xml:space="preserve">’in </w:t>
      </w:r>
      <w:r>
        <w:rPr>
          <w:rFonts w:ascii="Verdana" w:hAnsi="Verdana" w:cs="Arial"/>
          <w:lang w:val="tr-TR"/>
        </w:rPr>
        <w:t>üçüncü</w:t>
      </w:r>
      <w:r w:rsidRPr="00CA0A23">
        <w:rPr>
          <w:rFonts w:ascii="Verdana" w:hAnsi="Verdana" w:cs="Arial"/>
          <w:lang w:val="tr-TR"/>
        </w:rPr>
        <w:t xml:space="preserve"> çeyreğine yönelik olarak </w:t>
      </w:r>
      <w:r>
        <w:rPr>
          <w:rFonts w:ascii="Verdana" w:hAnsi="Verdana" w:cs="Arial"/>
          <w:lang w:val="tr-TR"/>
        </w:rPr>
        <w:t>iyimser seviyede</w:t>
      </w:r>
      <w:r w:rsidRPr="00CA0A23">
        <w:rPr>
          <w:rFonts w:ascii="Verdana" w:hAnsi="Verdana" w:cs="Arial"/>
          <w:lang w:val="tr-TR"/>
        </w:rPr>
        <w:t xml:space="preserve"> işe alım beklentilerine sahip olduğunu ortaya koydu. COVID-19 salgınının şartları altında </w:t>
      </w:r>
      <w:r>
        <w:rPr>
          <w:rFonts w:ascii="Verdana" w:hAnsi="Verdana" w:cs="Arial"/>
          <w:lang w:val="tr-TR"/>
        </w:rPr>
        <w:t>860</w:t>
      </w:r>
      <w:r w:rsidRPr="00CA0A23">
        <w:rPr>
          <w:rFonts w:ascii="Verdana" w:hAnsi="Verdana" w:cs="Arial"/>
          <w:lang w:val="tr-TR"/>
        </w:rPr>
        <w:t xml:space="preserve"> Türk işverenin görüşlerine </w:t>
      </w:r>
      <w:r>
        <w:rPr>
          <w:rFonts w:ascii="Verdana" w:hAnsi="Verdana" w:cs="Arial"/>
          <w:lang w:val="tr-TR"/>
        </w:rPr>
        <w:t xml:space="preserve">baş vurularak yapılan araştırmanın verilerine </w:t>
      </w:r>
      <w:r w:rsidRPr="00CA0A23">
        <w:rPr>
          <w:rFonts w:ascii="Verdana" w:hAnsi="Verdana" w:cs="Arial"/>
          <w:lang w:val="tr-TR"/>
        </w:rPr>
        <w:t xml:space="preserve">göre Türk işverenlerin yüzde </w:t>
      </w:r>
      <w:r>
        <w:rPr>
          <w:rFonts w:ascii="Verdana" w:hAnsi="Verdana" w:cs="Arial"/>
          <w:lang w:val="tr-TR"/>
        </w:rPr>
        <w:t>18</w:t>
      </w:r>
      <w:r w:rsidRPr="00CA0A23">
        <w:rPr>
          <w:rFonts w:ascii="Verdana" w:hAnsi="Verdana" w:cs="Arial"/>
          <w:lang w:val="tr-TR"/>
        </w:rPr>
        <w:t>’</w:t>
      </w:r>
      <w:r>
        <w:rPr>
          <w:rFonts w:ascii="Verdana" w:hAnsi="Verdana" w:cs="Arial"/>
          <w:lang w:val="tr-TR"/>
        </w:rPr>
        <w:t>i</w:t>
      </w:r>
      <w:r w:rsidRPr="00CA0A23">
        <w:rPr>
          <w:rFonts w:ascii="Verdana" w:hAnsi="Verdana" w:cs="Arial"/>
          <w:lang w:val="tr-TR"/>
        </w:rPr>
        <w:t xml:space="preserve"> 202</w:t>
      </w:r>
      <w:r>
        <w:rPr>
          <w:rFonts w:ascii="Verdana" w:hAnsi="Verdana" w:cs="Arial"/>
          <w:lang w:val="tr-TR"/>
        </w:rPr>
        <w:t>1</w:t>
      </w:r>
      <w:r w:rsidRPr="00CA0A23">
        <w:rPr>
          <w:rFonts w:ascii="Verdana" w:hAnsi="Verdana" w:cs="Arial"/>
          <w:lang w:val="tr-TR"/>
        </w:rPr>
        <w:t xml:space="preserve">’in </w:t>
      </w:r>
      <w:r>
        <w:rPr>
          <w:rFonts w:ascii="Verdana" w:hAnsi="Verdana" w:cs="Arial"/>
          <w:lang w:val="tr-TR"/>
        </w:rPr>
        <w:t>üçüncü</w:t>
      </w:r>
      <w:r w:rsidRPr="00CA0A23">
        <w:rPr>
          <w:rFonts w:ascii="Verdana" w:hAnsi="Verdana" w:cs="Arial"/>
          <w:lang w:val="tr-TR"/>
        </w:rPr>
        <w:t xml:space="preserve"> çeyreğinde istihdam artışı beklerken, yüzde </w:t>
      </w:r>
      <w:r>
        <w:rPr>
          <w:rFonts w:ascii="Verdana" w:hAnsi="Verdana" w:cs="Arial"/>
          <w:lang w:val="tr-TR"/>
        </w:rPr>
        <w:t>7</w:t>
      </w:r>
      <w:r w:rsidRPr="00CA0A23">
        <w:rPr>
          <w:rFonts w:ascii="Verdana" w:hAnsi="Verdana" w:cs="Arial"/>
          <w:lang w:val="tr-TR"/>
        </w:rPr>
        <w:t>'</w:t>
      </w:r>
      <w:r>
        <w:rPr>
          <w:rFonts w:ascii="Verdana" w:hAnsi="Verdana" w:cs="Arial"/>
          <w:lang w:val="tr-TR"/>
        </w:rPr>
        <w:t>si</w:t>
      </w:r>
      <w:r w:rsidRPr="00CA0A23">
        <w:rPr>
          <w:rFonts w:ascii="Verdana" w:hAnsi="Verdana" w:cs="Arial"/>
          <w:lang w:val="tr-TR"/>
        </w:rPr>
        <w:t xml:space="preserve"> azalma öngörüyor ve yüzde </w:t>
      </w:r>
      <w:r>
        <w:rPr>
          <w:rFonts w:ascii="Verdana" w:hAnsi="Verdana" w:cs="Arial"/>
          <w:lang w:val="tr-TR"/>
        </w:rPr>
        <w:t>63</w:t>
      </w:r>
      <w:r w:rsidRPr="00CA0A23">
        <w:rPr>
          <w:rFonts w:ascii="Verdana" w:hAnsi="Verdana" w:cs="Arial"/>
          <w:lang w:val="tr-TR"/>
        </w:rPr>
        <w:t>'</w:t>
      </w:r>
      <w:r>
        <w:rPr>
          <w:rFonts w:ascii="Verdana" w:hAnsi="Verdana" w:cs="Arial"/>
          <w:lang w:val="tr-TR"/>
        </w:rPr>
        <w:t>ü</w:t>
      </w:r>
      <w:r w:rsidRPr="00CA0A23">
        <w:rPr>
          <w:rFonts w:ascii="Verdana" w:hAnsi="Verdana" w:cs="Arial"/>
          <w:lang w:val="tr-TR"/>
        </w:rPr>
        <w:t xml:space="preserve"> </w:t>
      </w:r>
      <w:r>
        <w:rPr>
          <w:rFonts w:ascii="Verdana" w:hAnsi="Verdana" w:cs="Arial"/>
          <w:lang w:val="tr-TR"/>
        </w:rPr>
        <w:t>ise</w:t>
      </w:r>
      <w:r w:rsidRPr="00CA0A23">
        <w:rPr>
          <w:rFonts w:ascii="Verdana" w:hAnsi="Verdana" w:cs="Arial"/>
          <w:lang w:val="tr-TR"/>
        </w:rPr>
        <w:t xml:space="preserve"> değişiklik olmayacağını tahmin ediyor. </w:t>
      </w:r>
      <w:r>
        <w:rPr>
          <w:rFonts w:ascii="Verdana" w:hAnsi="Verdana" w:cs="Arial"/>
          <w:lang w:val="tr-TR"/>
        </w:rPr>
        <w:t xml:space="preserve">2021’in üçüncü çeyreğine </w:t>
      </w:r>
      <w:r w:rsidRPr="00CA0A23">
        <w:rPr>
          <w:rFonts w:ascii="Verdana" w:hAnsi="Verdana" w:cs="Arial"/>
          <w:lang w:val="tr-TR"/>
        </w:rPr>
        <w:t>yönelik net istihdam görünümü ise +%</w:t>
      </w:r>
      <w:r>
        <w:rPr>
          <w:rFonts w:ascii="Verdana" w:hAnsi="Verdana" w:cs="Arial"/>
          <w:lang w:val="tr-TR"/>
        </w:rPr>
        <w:t>11’i</w:t>
      </w:r>
      <w:r w:rsidRPr="00CA0A23">
        <w:rPr>
          <w:rFonts w:ascii="Verdana" w:hAnsi="Verdana" w:cs="Arial"/>
          <w:lang w:val="tr-TR"/>
        </w:rPr>
        <w:t xml:space="preserve"> gösteriyor. Mevsimsel verilerden arındırılmış görünüm ise </w:t>
      </w:r>
      <w:r>
        <w:rPr>
          <w:rFonts w:ascii="Verdana" w:hAnsi="Verdana" w:cs="Arial"/>
          <w:lang w:val="tr-TR"/>
        </w:rPr>
        <w:t>+</w:t>
      </w:r>
      <w:r w:rsidRPr="00CA0A23">
        <w:rPr>
          <w:rFonts w:ascii="Verdana" w:hAnsi="Verdana" w:cs="Arial"/>
          <w:lang w:val="tr-TR"/>
        </w:rPr>
        <w:t>%</w:t>
      </w:r>
      <w:r>
        <w:rPr>
          <w:rFonts w:ascii="Verdana" w:hAnsi="Verdana" w:cs="Arial"/>
          <w:lang w:val="tr-TR"/>
        </w:rPr>
        <w:t>7</w:t>
      </w:r>
      <w:r w:rsidRPr="00CA0A23">
        <w:rPr>
          <w:rFonts w:ascii="Verdana" w:hAnsi="Verdana" w:cs="Arial"/>
          <w:lang w:val="tr-TR"/>
        </w:rPr>
        <w:t xml:space="preserve"> olarak ölçülüyor</w:t>
      </w:r>
      <w:r>
        <w:rPr>
          <w:rFonts w:ascii="Verdana" w:hAnsi="Verdana" w:cs="Arial"/>
          <w:lang w:val="tr-TR"/>
        </w:rPr>
        <w:t xml:space="preserve">. İşe alım planları 2021’in ikinci çeyreğine kıyasla yüzde 4 puan zayıflarken, COVID-19’un işe alım beklentileri üzerindeki ilk etkisini sergilediği </w:t>
      </w:r>
      <w:r w:rsidRPr="00CA0A23">
        <w:rPr>
          <w:rFonts w:ascii="Verdana" w:hAnsi="Verdana" w:cs="Arial"/>
          <w:lang w:val="tr-TR"/>
        </w:rPr>
        <w:t xml:space="preserve">geçen yılın aynı dönemine kıyasla </w:t>
      </w:r>
      <w:r>
        <w:rPr>
          <w:rFonts w:ascii="Verdana" w:hAnsi="Verdana" w:cs="Arial"/>
          <w:lang w:val="tr-TR"/>
        </w:rPr>
        <w:t>yüzde 9 puan artmış bulunuyor.</w:t>
      </w:r>
    </w:p>
    <w:p w14:paraId="4F262F1B" w14:textId="77777777" w:rsidR="000623A8" w:rsidRDefault="000623A8" w:rsidP="000623A8">
      <w:pPr>
        <w:tabs>
          <w:tab w:val="left" w:pos="284"/>
        </w:tabs>
        <w:spacing w:line="360" w:lineRule="auto"/>
        <w:ind w:right="-1"/>
        <w:contextualSpacing/>
        <w:jc w:val="both"/>
        <w:rPr>
          <w:rFonts w:ascii="Verdana" w:hAnsi="Verdana" w:cs="Arial"/>
        </w:rPr>
      </w:pPr>
    </w:p>
    <w:p w14:paraId="06E9FBE0" w14:textId="77777777" w:rsidR="000623A8" w:rsidRDefault="000623A8" w:rsidP="000623A8">
      <w:pPr>
        <w:tabs>
          <w:tab w:val="left" w:pos="284"/>
        </w:tabs>
        <w:spacing w:line="360" w:lineRule="auto"/>
        <w:ind w:right="-1"/>
        <w:contextualSpacing/>
        <w:jc w:val="both"/>
        <w:rPr>
          <w:rFonts w:ascii="Verdana" w:hAnsi="Verdana" w:cs="Arial"/>
        </w:rPr>
      </w:pPr>
      <w:proofErr w:type="spellStart"/>
      <w:r w:rsidRPr="00C06D06">
        <w:rPr>
          <w:rFonts w:ascii="Verdana" w:hAnsi="Verdana" w:cs="Arial"/>
          <w:b/>
          <w:lang w:val="tr-TR"/>
        </w:rPr>
        <w:t>ManpowerGroup</w:t>
      </w:r>
      <w:proofErr w:type="spellEnd"/>
      <w:r w:rsidRPr="00C06D06">
        <w:rPr>
          <w:rFonts w:ascii="Verdana" w:hAnsi="Verdana" w:cs="Arial"/>
          <w:b/>
          <w:lang w:val="tr-TR"/>
        </w:rPr>
        <w:t xml:space="preserve"> Türkiye Genel Müdürü Feyza Narlı</w:t>
      </w:r>
      <w:r w:rsidRPr="00C06D06">
        <w:rPr>
          <w:rFonts w:ascii="Verdana" w:hAnsi="Verdana" w:cs="Arial"/>
          <w:lang w:val="tr-TR"/>
        </w:rPr>
        <w:t xml:space="preserve">, Türkiye’nin 2021 </w:t>
      </w:r>
      <w:r>
        <w:rPr>
          <w:rFonts w:ascii="Verdana" w:hAnsi="Verdana" w:cs="Arial"/>
          <w:lang w:val="tr-TR"/>
        </w:rPr>
        <w:t>üçüncü</w:t>
      </w:r>
      <w:r w:rsidRPr="00C06D06">
        <w:rPr>
          <w:rFonts w:ascii="Verdana" w:hAnsi="Verdana" w:cs="Arial"/>
          <w:lang w:val="tr-TR"/>
        </w:rPr>
        <w:t xml:space="preserve"> çeyrek istihdam görünümü hakkında şunları söyledi: </w:t>
      </w:r>
      <w:r w:rsidRPr="000165C2">
        <w:rPr>
          <w:rFonts w:ascii="Verdana" w:hAnsi="Verdana" w:cs="Arial"/>
          <w:lang w:val="tr-TR"/>
        </w:rPr>
        <w:t>“</w:t>
      </w:r>
      <w:r>
        <w:rPr>
          <w:rFonts w:ascii="Verdana" w:hAnsi="Verdana" w:cs="Arial"/>
          <w:lang w:val="tr-TR"/>
        </w:rPr>
        <w:t xml:space="preserve">COVID-19 </w:t>
      </w:r>
      <w:proofErr w:type="spellStart"/>
      <w:r>
        <w:rPr>
          <w:rFonts w:ascii="Verdana" w:hAnsi="Verdana" w:cs="Arial"/>
          <w:lang w:val="tr-TR"/>
        </w:rPr>
        <w:t>pandemisinin</w:t>
      </w:r>
      <w:proofErr w:type="spellEnd"/>
      <w:r>
        <w:rPr>
          <w:rFonts w:ascii="Verdana" w:hAnsi="Verdana" w:cs="Arial"/>
          <w:lang w:val="tr-TR"/>
        </w:rPr>
        <w:t xml:space="preserve"> işverenlerin planları üzerindeki etkisini ilk olarak hissettirdiği günlerden bu yana tam olarak bir yıl geçti. Bir yıl önceki duruma kıyasla araştırma kapsamında analiz edilen tüm sektörlerde işe alım planlarının güçlenmiş olmasından mutluluk duyuyoruz. İyimser bir aşılama takviminin devreye girmesiyle birlikte sektörlerin genelinden daha iyimser işe alım planlarını duyacağımıza inanıyoruz.</w:t>
      </w:r>
      <w:r>
        <w:rPr>
          <w:rFonts w:ascii="Verdana" w:hAnsi="Verdana" w:cs="Arial"/>
        </w:rPr>
        <w:t xml:space="preserve">” </w:t>
      </w:r>
    </w:p>
    <w:p w14:paraId="5970646A" w14:textId="77777777" w:rsidR="000623A8" w:rsidRDefault="000623A8" w:rsidP="000623A8">
      <w:pPr>
        <w:tabs>
          <w:tab w:val="left" w:pos="284"/>
        </w:tabs>
        <w:spacing w:line="360" w:lineRule="auto"/>
        <w:ind w:right="-1"/>
        <w:contextualSpacing/>
        <w:jc w:val="both"/>
        <w:rPr>
          <w:rFonts w:ascii="Verdana" w:hAnsi="Verdana" w:cs="Arial"/>
          <w:b/>
          <w:bCs/>
        </w:rPr>
      </w:pPr>
    </w:p>
    <w:p w14:paraId="47C91E82" w14:textId="24635D1A" w:rsidR="000623A8" w:rsidRPr="00CA0A23" w:rsidRDefault="000623A8" w:rsidP="000623A8">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2021’in üçüncü</w:t>
      </w:r>
      <w:r w:rsidRPr="00CA0A23">
        <w:rPr>
          <w:rFonts w:ascii="Verdana" w:hAnsi="Verdana" w:cs="Arial"/>
          <w:b/>
          <w:bCs/>
          <w:lang w:val="tr-TR"/>
        </w:rPr>
        <w:t xml:space="preserve"> çeyre</w:t>
      </w:r>
      <w:r>
        <w:rPr>
          <w:rFonts w:ascii="Verdana" w:hAnsi="Verdana" w:cs="Arial"/>
          <w:b/>
          <w:bCs/>
          <w:lang w:val="tr-TR"/>
        </w:rPr>
        <w:t>ği</w:t>
      </w:r>
      <w:r w:rsidRPr="00CA0A23">
        <w:rPr>
          <w:rFonts w:ascii="Verdana" w:hAnsi="Verdana" w:cs="Arial"/>
          <w:b/>
          <w:bCs/>
          <w:lang w:val="tr-TR"/>
        </w:rPr>
        <w:t xml:space="preserve"> için en yüksek istihdam artışı beklentisi </w:t>
      </w:r>
      <w:r w:rsidR="00E813AB">
        <w:rPr>
          <w:rFonts w:ascii="Verdana" w:hAnsi="Verdana" w:cs="Arial"/>
          <w:b/>
          <w:bCs/>
          <w:lang w:val="tr-TR"/>
        </w:rPr>
        <w:t>i</w:t>
      </w:r>
      <w:r>
        <w:rPr>
          <w:rFonts w:ascii="Verdana" w:hAnsi="Verdana" w:cs="Arial"/>
          <w:b/>
          <w:bCs/>
          <w:lang w:val="tr-TR"/>
        </w:rPr>
        <w:t>laç sektöründe</w:t>
      </w:r>
    </w:p>
    <w:p w14:paraId="09A43F91" w14:textId="77777777" w:rsidR="000623A8" w:rsidRDefault="000623A8" w:rsidP="000623A8">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verilerine göre, </w:t>
      </w:r>
      <w:r>
        <w:rPr>
          <w:rFonts w:ascii="Verdana" w:hAnsi="Verdana" w:cs="Arial"/>
          <w:lang w:val="tr-TR"/>
        </w:rPr>
        <w:t xml:space="preserve">araştırma kapsamındaki </w:t>
      </w:r>
      <w:r w:rsidRPr="00CA0A23">
        <w:rPr>
          <w:rFonts w:ascii="Verdana" w:hAnsi="Verdana" w:cs="Arial"/>
          <w:lang w:val="tr-TR"/>
        </w:rPr>
        <w:t xml:space="preserve">sekiz </w:t>
      </w:r>
      <w:r>
        <w:rPr>
          <w:rFonts w:ascii="Verdana" w:hAnsi="Verdana" w:cs="Arial"/>
          <w:lang w:val="tr-TR"/>
        </w:rPr>
        <w:t xml:space="preserve">sektörün yedisinde işverenler Temmuz-Eylül arasını kapsayan dönemde işe alım seviyelerinde artış beklentisine sahip. </w:t>
      </w:r>
      <w:r w:rsidRPr="00CA0A23">
        <w:rPr>
          <w:rFonts w:ascii="Verdana" w:hAnsi="Verdana" w:cs="Arial"/>
          <w:lang w:val="tr-TR"/>
        </w:rPr>
        <w:t>İşverenlerin en güçlü işe alım beklentileri bildirdiği sektör +%</w:t>
      </w:r>
      <w:r>
        <w:rPr>
          <w:rFonts w:ascii="Verdana" w:hAnsi="Verdana" w:cs="Arial"/>
          <w:lang w:val="tr-TR"/>
        </w:rPr>
        <w:t>20</w:t>
      </w:r>
      <w:r w:rsidRPr="00CA0A23">
        <w:rPr>
          <w:rFonts w:ascii="Verdana" w:hAnsi="Verdana" w:cs="Arial"/>
          <w:lang w:val="tr-TR"/>
        </w:rPr>
        <w:t xml:space="preserve"> istihdam görünümüyle</w:t>
      </w:r>
      <w:r>
        <w:rPr>
          <w:rFonts w:ascii="Verdana" w:hAnsi="Verdana" w:cs="Arial"/>
          <w:lang w:val="tr-TR"/>
        </w:rPr>
        <w:t xml:space="preserve"> İlaç sektörü olurken, bunu istihdam görünümünün +%19 olarak ölçüldüğü Üretim sektörü takip ediyor. Finans ve Kurumsal Hizmetler sektörü +%12 ile istikrarlı bir işe alım beklentisi sergilerken, Diğer Hizmetler sektöründeki işverenler +%9’luk bir </w:t>
      </w:r>
      <w:r>
        <w:rPr>
          <w:rFonts w:ascii="Verdana" w:hAnsi="Verdana" w:cs="Arial"/>
          <w:lang w:val="tr-TR"/>
        </w:rPr>
        <w:lastRenderedPageBreak/>
        <w:t>istihdam görünümü bildiriyor. Diğer Üretim sektörü işverenleri +%6 istihdam görünümü ile ılımlı bir istihdam beklentisi bildirirken Toptan &amp; Perakende Ticaret ile Restoran &amp; Otelcilik sektörlerindeki istihdam görünümleri +%5 ile +%3 olarak sıralanıyor. Bununla birlikte İnşaat sektöründeki işverenler</w:t>
      </w:r>
      <w:proofErr w:type="gramStart"/>
      <w:r>
        <w:rPr>
          <w:rFonts w:ascii="Verdana" w:hAnsi="Verdana" w:cs="Arial"/>
          <w:lang w:val="tr-TR"/>
        </w:rPr>
        <w:t>, -</w:t>
      </w:r>
      <w:proofErr w:type="gramEnd"/>
      <w:r>
        <w:rPr>
          <w:rFonts w:ascii="Verdana" w:hAnsi="Verdana" w:cs="Arial"/>
          <w:lang w:val="tr-TR"/>
        </w:rPr>
        <w:t xml:space="preserve">%5 istihdam görünümüyle işe alımlarda azalma beklentisi sergiliyor. </w:t>
      </w:r>
    </w:p>
    <w:p w14:paraId="1CEE4F3B" w14:textId="77777777" w:rsidR="00433A07" w:rsidRDefault="00433A07" w:rsidP="00B800A3">
      <w:pPr>
        <w:tabs>
          <w:tab w:val="left" w:pos="1770"/>
        </w:tabs>
        <w:spacing w:line="360" w:lineRule="auto"/>
        <w:ind w:right="-1"/>
        <w:contextualSpacing/>
        <w:jc w:val="both"/>
        <w:rPr>
          <w:rFonts w:ascii="Verdana" w:hAnsi="Verdana" w:cs="Arial"/>
          <w:b/>
          <w:lang w:val="tr-TR"/>
        </w:rPr>
      </w:pPr>
    </w:p>
    <w:tbl>
      <w:tblPr>
        <w:tblpPr w:leftFromText="180" w:rightFromText="180" w:vertAnchor="text" w:horzAnchor="page" w:tblpX="1731" w:tblpY="3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E813AB" w:rsidRPr="00CA0A23" w14:paraId="72425BFC" w14:textId="77777777" w:rsidTr="00DF4D1E">
        <w:trPr>
          <w:trHeight w:val="718"/>
        </w:trPr>
        <w:tc>
          <w:tcPr>
            <w:tcW w:w="6521" w:type="dxa"/>
            <w:tcBorders>
              <w:top w:val="nil"/>
              <w:left w:val="nil"/>
              <w:bottom w:val="single" w:sz="4" w:space="0" w:color="auto"/>
              <w:right w:val="single" w:sz="4" w:space="0" w:color="auto"/>
            </w:tcBorders>
          </w:tcPr>
          <w:p w14:paraId="1A1CFF2B" w14:textId="77777777" w:rsidR="00E813AB" w:rsidRPr="00CA0A23" w:rsidRDefault="00E813AB" w:rsidP="00DF4D1E">
            <w:pPr>
              <w:tabs>
                <w:tab w:val="left" w:pos="284"/>
              </w:tabs>
              <w:spacing w:line="360" w:lineRule="auto"/>
              <w:ind w:right="-1"/>
              <w:contextualSpacing/>
              <w:rPr>
                <w:rFonts w:ascii="Verdana" w:hAnsi="Verdana" w:cs="Arial"/>
                <w:lang w:val="tr-TR"/>
              </w:rPr>
            </w:pPr>
          </w:p>
        </w:tc>
        <w:tc>
          <w:tcPr>
            <w:tcW w:w="2693" w:type="dxa"/>
            <w:tcBorders>
              <w:top w:val="single" w:sz="4" w:space="0" w:color="auto"/>
              <w:left w:val="single" w:sz="4" w:space="0" w:color="auto"/>
              <w:bottom w:val="single" w:sz="4" w:space="0" w:color="auto"/>
              <w:right w:val="single" w:sz="4" w:space="0" w:color="auto"/>
            </w:tcBorders>
            <w:hideMark/>
          </w:tcPr>
          <w:p w14:paraId="6575C639" w14:textId="77777777" w:rsidR="00E813AB" w:rsidRPr="00CA0A23" w:rsidRDefault="00E813AB" w:rsidP="00DF4D1E">
            <w:pPr>
              <w:tabs>
                <w:tab w:val="left" w:pos="284"/>
                <w:tab w:val="left" w:pos="1734"/>
                <w:tab w:val="left" w:pos="2018"/>
              </w:tabs>
              <w:spacing w:line="360" w:lineRule="auto"/>
              <w:ind w:right="-1"/>
              <w:contextualSpacing/>
              <w:jc w:val="center"/>
              <w:rPr>
                <w:rFonts w:ascii="Verdana" w:hAnsi="Verdana" w:cs="Arial"/>
                <w:b/>
                <w:bCs/>
                <w:lang w:val="tr-TR"/>
              </w:rPr>
            </w:pPr>
            <w:r w:rsidRPr="00CA0A23">
              <w:rPr>
                <w:rFonts w:ascii="Verdana" w:hAnsi="Verdana" w:cs="Arial"/>
                <w:b/>
                <w:bCs/>
                <w:lang w:val="tr-TR"/>
              </w:rPr>
              <w:t>MVA</w:t>
            </w:r>
            <w:r w:rsidRPr="00CA0A23">
              <w:rPr>
                <w:rStyle w:val="DipnotBavurusu"/>
                <w:rFonts w:ascii="Verdana" w:hAnsi="Verdana" w:cs="Arial"/>
                <w:b/>
                <w:bCs/>
                <w:color w:val="000000" w:themeColor="text1"/>
                <w:lang w:val="tr-TR"/>
              </w:rPr>
              <w:footnoteReference w:id="2"/>
            </w:r>
            <w:r w:rsidRPr="00CA0A23">
              <w:rPr>
                <w:rFonts w:ascii="Verdana" w:hAnsi="Verdana" w:cs="Arial"/>
                <w:b/>
                <w:bCs/>
                <w:lang w:val="tr-TR"/>
              </w:rPr>
              <w:t xml:space="preserve"> </w:t>
            </w:r>
            <w:r w:rsidRPr="00CA0A23">
              <w:rPr>
                <w:rFonts w:ascii="Verdana" w:hAnsi="Verdana" w:cs="Arial"/>
                <w:b/>
                <w:bCs/>
                <w:color w:val="000000" w:themeColor="text1"/>
                <w:lang w:val="tr-TR"/>
              </w:rPr>
              <w:t>İstihdam Görünümü</w:t>
            </w:r>
            <w:r w:rsidRPr="00CA0A23">
              <w:rPr>
                <w:rFonts w:ascii="Verdana" w:hAnsi="Verdana" w:cs="Arial"/>
                <w:b/>
                <w:bCs/>
                <w:lang w:val="tr-TR"/>
              </w:rPr>
              <w:t xml:space="preserve"> (%)</w:t>
            </w:r>
          </w:p>
        </w:tc>
      </w:tr>
      <w:tr w:rsidR="00E813AB" w:rsidRPr="00CA0A23" w14:paraId="1AE9B1F6"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6CFC63C" w14:textId="77777777" w:rsidR="00E813AB" w:rsidRPr="00CA0A23" w:rsidRDefault="00E813AB" w:rsidP="00DF4D1E">
            <w:pPr>
              <w:tabs>
                <w:tab w:val="left" w:pos="284"/>
              </w:tabs>
              <w:spacing w:line="360" w:lineRule="auto"/>
              <w:ind w:left="-392" w:right="-1" w:firstLine="392"/>
              <w:contextualSpacing/>
              <w:rPr>
                <w:rFonts w:ascii="Verdana" w:hAnsi="Verdana" w:cs="Arial"/>
                <w:lang w:val="tr-TR"/>
              </w:rPr>
            </w:pPr>
            <w:bookmarkStart w:id="0" w:name="_Hlk9159923"/>
            <w:r>
              <w:rPr>
                <w:rFonts w:ascii="Verdana" w:hAnsi="Verdana" w:cs="Arial"/>
                <w:lang w:val="tr-TR"/>
              </w:rPr>
              <w:t xml:space="preserve">İLAÇ </w:t>
            </w:r>
          </w:p>
        </w:tc>
        <w:tc>
          <w:tcPr>
            <w:tcW w:w="2693" w:type="dxa"/>
            <w:tcBorders>
              <w:top w:val="single" w:sz="4" w:space="0" w:color="auto"/>
              <w:left w:val="single" w:sz="4" w:space="0" w:color="auto"/>
              <w:bottom w:val="single" w:sz="4" w:space="0" w:color="auto"/>
              <w:right w:val="single" w:sz="4" w:space="0" w:color="auto"/>
            </w:tcBorders>
            <w:hideMark/>
          </w:tcPr>
          <w:p w14:paraId="1BF4D706"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sidRPr="00362738">
              <w:rPr>
                <w:rFonts w:ascii="Verdana" w:hAnsi="Verdana" w:cs="Arial"/>
              </w:rPr>
              <w:t>+%</w:t>
            </w:r>
            <w:r>
              <w:rPr>
                <w:rFonts w:ascii="Verdana" w:hAnsi="Verdana" w:cs="Arial"/>
              </w:rPr>
              <w:t xml:space="preserve">20 </w:t>
            </w:r>
          </w:p>
        </w:tc>
      </w:tr>
      <w:tr w:rsidR="00E813AB" w:rsidRPr="00CA0A23" w14:paraId="419DBB95"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25CE75D"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693" w:type="dxa"/>
            <w:tcBorders>
              <w:top w:val="single" w:sz="4" w:space="0" w:color="auto"/>
              <w:left w:val="single" w:sz="4" w:space="0" w:color="auto"/>
              <w:bottom w:val="single" w:sz="4" w:space="0" w:color="auto"/>
              <w:right w:val="single" w:sz="4" w:space="0" w:color="auto"/>
            </w:tcBorders>
            <w:hideMark/>
          </w:tcPr>
          <w:p w14:paraId="112488B8"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19</w:t>
            </w:r>
          </w:p>
        </w:tc>
      </w:tr>
      <w:tr w:rsidR="00E813AB" w:rsidRPr="00CA0A23" w14:paraId="1BCB2718"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5B321A92"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FİNANS VE KURUMSAL HİZMETLER</w:t>
            </w:r>
          </w:p>
        </w:tc>
        <w:tc>
          <w:tcPr>
            <w:tcW w:w="2693" w:type="dxa"/>
            <w:tcBorders>
              <w:top w:val="single" w:sz="4" w:space="0" w:color="auto"/>
              <w:left w:val="single" w:sz="4" w:space="0" w:color="auto"/>
              <w:bottom w:val="single" w:sz="4" w:space="0" w:color="auto"/>
              <w:right w:val="single" w:sz="4" w:space="0" w:color="auto"/>
            </w:tcBorders>
            <w:hideMark/>
          </w:tcPr>
          <w:p w14:paraId="2C322BE8"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sidRPr="005025C5">
              <w:rPr>
                <w:rFonts w:ascii="Verdana" w:hAnsi="Verdana" w:cs="Arial"/>
              </w:rPr>
              <w:t>+</w:t>
            </w:r>
            <w:r w:rsidRPr="00362738">
              <w:rPr>
                <w:rFonts w:ascii="Verdana" w:hAnsi="Verdana" w:cs="Arial"/>
              </w:rPr>
              <w:t>%</w:t>
            </w:r>
            <w:r>
              <w:rPr>
                <w:rFonts w:ascii="Verdana" w:hAnsi="Verdana" w:cs="Arial"/>
              </w:rPr>
              <w:t>12</w:t>
            </w:r>
          </w:p>
        </w:tc>
      </w:tr>
      <w:tr w:rsidR="00E813AB" w:rsidRPr="00CA0A23" w14:paraId="33CE8998" w14:textId="77777777" w:rsidTr="00DF4D1E">
        <w:trPr>
          <w:trHeight w:val="431"/>
        </w:trPr>
        <w:tc>
          <w:tcPr>
            <w:tcW w:w="6521" w:type="dxa"/>
            <w:tcBorders>
              <w:top w:val="single" w:sz="4" w:space="0" w:color="auto"/>
              <w:left w:val="single" w:sz="4" w:space="0" w:color="auto"/>
              <w:bottom w:val="single" w:sz="4" w:space="0" w:color="auto"/>
              <w:right w:val="single" w:sz="4" w:space="0" w:color="auto"/>
            </w:tcBorders>
            <w:vAlign w:val="bottom"/>
            <w:hideMark/>
          </w:tcPr>
          <w:p w14:paraId="5BA785F4"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 xml:space="preserve">DİĞER HİZMETLER </w:t>
            </w:r>
          </w:p>
        </w:tc>
        <w:tc>
          <w:tcPr>
            <w:tcW w:w="2693" w:type="dxa"/>
            <w:tcBorders>
              <w:top w:val="single" w:sz="4" w:space="0" w:color="auto"/>
              <w:left w:val="single" w:sz="4" w:space="0" w:color="auto"/>
              <w:bottom w:val="single" w:sz="4" w:space="0" w:color="auto"/>
              <w:right w:val="single" w:sz="4" w:space="0" w:color="auto"/>
            </w:tcBorders>
            <w:hideMark/>
          </w:tcPr>
          <w:p w14:paraId="44CAD15C"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9</w:t>
            </w:r>
          </w:p>
        </w:tc>
      </w:tr>
      <w:tr w:rsidR="00E813AB" w:rsidRPr="00CA0A23" w14:paraId="1F9B82DD"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5815786"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 xml:space="preserve">DİĞER ÜRETİM </w:t>
            </w:r>
          </w:p>
        </w:tc>
        <w:tc>
          <w:tcPr>
            <w:tcW w:w="2693" w:type="dxa"/>
            <w:tcBorders>
              <w:top w:val="single" w:sz="4" w:space="0" w:color="auto"/>
              <w:left w:val="single" w:sz="4" w:space="0" w:color="auto"/>
              <w:bottom w:val="single" w:sz="4" w:space="0" w:color="auto"/>
              <w:right w:val="single" w:sz="4" w:space="0" w:color="auto"/>
            </w:tcBorders>
            <w:hideMark/>
          </w:tcPr>
          <w:p w14:paraId="1E077836"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6</w:t>
            </w:r>
          </w:p>
        </w:tc>
      </w:tr>
      <w:tr w:rsidR="00E813AB" w:rsidRPr="00CA0A23" w14:paraId="1CCDC10B" w14:textId="77777777" w:rsidTr="00DF4D1E">
        <w:trPr>
          <w:trHeight w:val="56"/>
        </w:trPr>
        <w:tc>
          <w:tcPr>
            <w:tcW w:w="6521" w:type="dxa"/>
            <w:tcBorders>
              <w:top w:val="single" w:sz="4" w:space="0" w:color="auto"/>
              <w:left w:val="single" w:sz="4" w:space="0" w:color="auto"/>
              <w:bottom w:val="single" w:sz="4" w:space="0" w:color="auto"/>
              <w:right w:val="single" w:sz="4" w:space="0" w:color="auto"/>
            </w:tcBorders>
            <w:vAlign w:val="center"/>
            <w:hideMark/>
          </w:tcPr>
          <w:p w14:paraId="2BF82A8F"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 xml:space="preserve">TOPTAN VE PERAKENDE TİCARET </w:t>
            </w:r>
          </w:p>
        </w:tc>
        <w:tc>
          <w:tcPr>
            <w:tcW w:w="2693" w:type="dxa"/>
            <w:tcBorders>
              <w:top w:val="single" w:sz="4" w:space="0" w:color="auto"/>
              <w:left w:val="single" w:sz="4" w:space="0" w:color="auto"/>
              <w:bottom w:val="single" w:sz="4" w:space="0" w:color="auto"/>
              <w:right w:val="single" w:sz="4" w:space="0" w:color="auto"/>
            </w:tcBorders>
            <w:hideMark/>
          </w:tcPr>
          <w:p w14:paraId="6A85745B"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5</w:t>
            </w:r>
          </w:p>
        </w:tc>
      </w:tr>
      <w:tr w:rsidR="00E813AB" w:rsidRPr="00CA0A23" w14:paraId="78597713"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C7391C0"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RESTORAN &amp; OTELCİLİK</w:t>
            </w:r>
          </w:p>
        </w:tc>
        <w:tc>
          <w:tcPr>
            <w:tcW w:w="2693" w:type="dxa"/>
            <w:tcBorders>
              <w:top w:val="single" w:sz="4" w:space="0" w:color="auto"/>
              <w:left w:val="single" w:sz="4" w:space="0" w:color="auto"/>
              <w:bottom w:val="single" w:sz="4" w:space="0" w:color="auto"/>
              <w:right w:val="single" w:sz="4" w:space="0" w:color="auto"/>
            </w:tcBorders>
            <w:hideMark/>
          </w:tcPr>
          <w:p w14:paraId="18AB228F"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3</w:t>
            </w:r>
          </w:p>
        </w:tc>
      </w:tr>
      <w:tr w:rsidR="00E813AB" w:rsidRPr="00CA0A23" w14:paraId="2FE6A0F8" w14:textId="77777777" w:rsidTr="00DF4D1E">
        <w:trPr>
          <w:trHeight w:val="239"/>
        </w:trPr>
        <w:tc>
          <w:tcPr>
            <w:tcW w:w="6521" w:type="dxa"/>
            <w:tcBorders>
              <w:top w:val="single" w:sz="4" w:space="0" w:color="auto"/>
              <w:left w:val="single" w:sz="4" w:space="0" w:color="auto"/>
              <w:bottom w:val="single" w:sz="4" w:space="0" w:color="auto"/>
              <w:right w:val="single" w:sz="4" w:space="0" w:color="auto"/>
            </w:tcBorders>
            <w:vAlign w:val="center"/>
          </w:tcPr>
          <w:p w14:paraId="1B3A1DC6" w14:textId="77777777" w:rsidR="00E813AB" w:rsidRPr="00CA0A23" w:rsidRDefault="00E813AB" w:rsidP="00DF4D1E">
            <w:pPr>
              <w:tabs>
                <w:tab w:val="left" w:pos="284"/>
              </w:tabs>
              <w:spacing w:line="360" w:lineRule="auto"/>
              <w:ind w:right="-1"/>
              <w:contextualSpacing/>
              <w:rPr>
                <w:rFonts w:ascii="Verdana" w:hAnsi="Verdana" w:cs="Arial"/>
                <w:lang w:val="tr-TR"/>
              </w:rPr>
            </w:pPr>
            <w:r>
              <w:rPr>
                <w:rFonts w:ascii="Verdana" w:hAnsi="Verdana" w:cs="Arial"/>
                <w:lang w:val="tr-TR"/>
              </w:rPr>
              <w:t xml:space="preserve">İNŞAAT </w:t>
            </w:r>
          </w:p>
        </w:tc>
        <w:tc>
          <w:tcPr>
            <w:tcW w:w="2693" w:type="dxa"/>
            <w:tcBorders>
              <w:top w:val="single" w:sz="4" w:space="0" w:color="auto"/>
              <w:left w:val="single" w:sz="4" w:space="0" w:color="auto"/>
              <w:bottom w:val="single" w:sz="4" w:space="0" w:color="auto"/>
              <w:right w:val="single" w:sz="4" w:space="0" w:color="auto"/>
            </w:tcBorders>
          </w:tcPr>
          <w:p w14:paraId="1F94F0CD" w14:textId="77777777" w:rsidR="00E813AB" w:rsidRPr="00CA0A23" w:rsidRDefault="00E813AB" w:rsidP="00DF4D1E">
            <w:pPr>
              <w:tabs>
                <w:tab w:val="left" w:pos="284"/>
                <w:tab w:val="left" w:pos="2018"/>
              </w:tabs>
              <w:spacing w:line="360" w:lineRule="auto"/>
              <w:ind w:right="-1"/>
              <w:contextualSpacing/>
              <w:jc w:val="center"/>
              <w:rPr>
                <w:rFonts w:ascii="Verdana" w:hAnsi="Verdana" w:cs="Arial"/>
                <w:lang w:val="tr-TR"/>
              </w:rPr>
            </w:pPr>
            <w:r>
              <w:rPr>
                <w:rFonts w:ascii="Verdana" w:hAnsi="Verdana" w:cs="Arial"/>
              </w:rPr>
              <w:t>-</w:t>
            </w:r>
            <w:r w:rsidRPr="00362738">
              <w:rPr>
                <w:rFonts w:ascii="Verdana" w:hAnsi="Verdana" w:cs="Arial"/>
              </w:rPr>
              <w:t>%</w:t>
            </w:r>
            <w:r>
              <w:rPr>
                <w:rFonts w:ascii="Verdana" w:hAnsi="Verdana" w:cs="Arial"/>
              </w:rPr>
              <w:t>5</w:t>
            </w:r>
          </w:p>
        </w:tc>
      </w:tr>
      <w:bookmarkEnd w:id="0"/>
    </w:tbl>
    <w:p w14:paraId="3DBA2249" w14:textId="77777777" w:rsidR="00E813AB" w:rsidRPr="00CA0A23" w:rsidRDefault="00E813AB" w:rsidP="00E813AB">
      <w:pPr>
        <w:tabs>
          <w:tab w:val="left" w:pos="284"/>
        </w:tabs>
        <w:spacing w:line="360" w:lineRule="auto"/>
        <w:ind w:right="-1"/>
        <w:contextualSpacing/>
        <w:rPr>
          <w:rFonts w:ascii="Verdana" w:hAnsi="Verdana" w:cs="Arial"/>
          <w:lang w:val="tr-TR"/>
        </w:rPr>
      </w:pPr>
    </w:p>
    <w:p w14:paraId="28C21C58" w14:textId="77777777" w:rsidR="00E813AB" w:rsidRPr="00CA0A23" w:rsidRDefault="00E813AB" w:rsidP="00E813AB">
      <w:pPr>
        <w:tabs>
          <w:tab w:val="left" w:pos="284"/>
        </w:tabs>
        <w:spacing w:line="360" w:lineRule="auto"/>
        <w:ind w:right="-1"/>
        <w:contextualSpacing/>
        <w:rPr>
          <w:rFonts w:ascii="Verdana" w:hAnsi="Verdana" w:cs="Arial"/>
          <w:lang w:val="tr-TR"/>
        </w:rPr>
      </w:pPr>
    </w:p>
    <w:p w14:paraId="39C61CEF" w14:textId="77777777" w:rsidR="00E813AB" w:rsidRDefault="00E813AB" w:rsidP="00E813AB">
      <w:pPr>
        <w:tabs>
          <w:tab w:val="left" w:pos="284"/>
        </w:tabs>
        <w:spacing w:line="360" w:lineRule="auto"/>
        <w:ind w:right="-1"/>
        <w:contextualSpacing/>
        <w:jc w:val="both"/>
        <w:rPr>
          <w:rFonts w:ascii="Verdana" w:hAnsi="Verdana" w:cs="Arial"/>
          <w:lang w:val="tr-TR"/>
        </w:rPr>
      </w:pPr>
      <w:r>
        <w:rPr>
          <w:rFonts w:ascii="Verdana" w:hAnsi="Verdana" w:cs="Arial"/>
          <w:lang w:val="tr-TR"/>
        </w:rPr>
        <w:t>Yılın bir önceki çeyreğiyle</w:t>
      </w:r>
      <w:r w:rsidRPr="00CA0A23">
        <w:rPr>
          <w:rFonts w:ascii="Verdana" w:hAnsi="Verdana" w:cs="Arial"/>
          <w:lang w:val="tr-TR"/>
        </w:rPr>
        <w:t xml:space="preserve"> kıyasla işe alım beklentileri</w:t>
      </w:r>
      <w:r>
        <w:rPr>
          <w:rFonts w:ascii="Verdana" w:hAnsi="Verdana" w:cs="Arial"/>
          <w:lang w:val="tr-TR"/>
        </w:rPr>
        <w:t>nin</w:t>
      </w:r>
      <w:r w:rsidRPr="00CA0A23">
        <w:rPr>
          <w:rFonts w:ascii="Verdana" w:hAnsi="Verdana" w:cs="Arial"/>
          <w:lang w:val="tr-TR"/>
        </w:rPr>
        <w:t xml:space="preserve"> sekiz sektörün </w:t>
      </w:r>
      <w:r>
        <w:rPr>
          <w:rFonts w:ascii="Verdana" w:hAnsi="Verdana" w:cs="Arial"/>
          <w:lang w:val="tr-TR"/>
        </w:rPr>
        <w:t xml:space="preserve">beşinde zayıfladığı </w:t>
      </w:r>
      <w:r w:rsidRPr="00CA0A23">
        <w:rPr>
          <w:rFonts w:ascii="Verdana" w:hAnsi="Verdana" w:cs="Arial"/>
          <w:lang w:val="tr-TR"/>
        </w:rPr>
        <w:t>görülüyor.</w:t>
      </w:r>
      <w:r>
        <w:rPr>
          <w:rFonts w:ascii="Verdana" w:hAnsi="Verdana" w:cs="Arial"/>
          <w:lang w:val="tr-TR"/>
        </w:rPr>
        <w:t xml:space="preserve"> En çok göze çarpan düşüşler arasında yüzde 10 puan ile İnşaat sektörü öne çıkarken, Toptan ve Perakende Ticaret sektöründe yüzde 6’lık düşüş dikkat çekiyor. Üretim sektöründe işe alım planları söz konusu dönemde yüzde 5 puan düşüş sergilerken, Diğer Üretim sektöründe de yüzde 4 puanlık azalma görülüyor.  Bununla birlikte Diğer Hizmetler ve Restoran &amp; Otelcilik sektörlerindeki işe alım beklentilerinde yüzde 4’er puanlık artış dikkat çekiyor. </w:t>
      </w:r>
    </w:p>
    <w:p w14:paraId="0050C2D0" w14:textId="77777777" w:rsidR="00E813AB" w:rsidRPr="00CA0A23" w:rsidRDefault="00E813AB" w:rsidP="00E813AB">
      <w:pPr>
        <w:tabs>
          <w:tab w:val="left" w:pos="284"/>
        </w:tabs>
        <w:spacing w:line="360" w:lineRule="auto"/>
        <w:ind w:right="-1"/>
        <w:contextualSpacing/>
        <w:jc w:val="both"/>
        <w:rPr>
          <w:rFonts w:ascii="Verdana" w:hAnsi="Verdana" w:cs="Arial"/>
          <w:lang w:val="tr-TR"/>
        </w:rPr>
      </w:pPr>
    </w:p>
    <w:p w14:paraId="354E4BB4" w14:textId="77777777" w:rsidR="00E813AB" w:rsidRDefault="00E813AB" w:rsidP="00E813AB">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Önceki yılın aynı dönemine kıyasla sekiz sektörün </w:t>
      </w:r>
      <w:r>
        <w:rPr>
          <w:rFonts w:ascii="Verdana" w:hAnsi="Verdana" w:cs="Arial"/>
          <w:lang w:val="tr-TR"/>
        </w:rPr>
        <w:t>dördünde</w:t>
      </w:r>
      <w:r w:rsidRPr="00CA0A23">
        <w:rPr>
          <w:rFonts w:ascii="Verdana" w:hAnsi="Verdana" w:cs="Arial"/>
          <w:lang w:val="tr-TR"/>
        </w:rPr>
        <w:t xml:space="preserve"> işe alım beklentileri </w:t>
      </w:r>
      <w:r>
        <w:rPr>
          <w:rFonts w:ascii="Verdana" w:hAnsi="Verdana" w:cs="Arial"/>
          <w:lang w:val="tr-TR"/>
        </w:rPr>
        <w:t>yükselmiş görünüyor</w:t>
      </w:r>
      <w:r w:rsidRPr="00CA0A23">
        <w:rPr>
          <w:rFonts w:ascii="Verdana" w:hAnsi="Verdana" w:cs="Arial"/>
          <w:lang w:val="tr-TR"/>
        </w:rPr>
        <w:t xml:space="preserve">. En </w:t>
      </w:r>
      <w:r>
        <w:rPr>
          <w:rFonts w:ascii="Verdana" w:hAnsi="Verdana" w:cs="Arial"/>
          <w:lang w:val="tr-TR"/>
        </w:rPr>
        <w:t>dikkat çekici</w:t>
      </w:r>
      <w:r w:rsidRPr="00CA0A23">
        <w:rPr>
          <w:rFonts w:ascii="Verdana" w:hAnsi="Verdana" w:cs="Arial"/>
          <w:lang w:val="tr-TR"/>
        </w:rPr>
        <w:t xml:space="preserve"> </w:t>
      </w:r>
      <w:r>
        <w:rPr>
          <w:rFonts w:ascii="Verdana" w:hAnsi="Verdana" w:cs="Arial"/>
          <w:lang w:val="tr-TR"/>
        </w:rPr>
        <w:t xml:space="preserve">yükseliş yüzde 20 puan artışla Üretim sektöründe yaşanırken, Diğer Hizmetler ve İlaç sektörlerinde sırasıyla yüzde </w:t>
      </w:r>
      <w:r w:rsidRPr="00F11336">
        <w:rPr>
          <w:rFonts w:ascii="Verdana" w:hAnsi="Verdana" w:cs="Arial"/>
          <w:lang w:val="tr-TR"/>
        </w:rPr>
        <w:t>16 ve yüzde 15 puan</w:t>
      </w:r>
      <w:r>
        <w:rPr>
          <w:rFonts w:ascii="Verdana" w:hAnsi="Verdana" w:cs="Arial"/>
          <w:lang w:val="tr-TR"/>
        </w:rPr>
        <w:t xml:space="preserve">lık artış görülüyor. İşe alım beklentileri Restoran &amp; Otelcilik sektöründe yüzde 10 puan güçlenirken, İnşaat ve Diğer Üretim sektörlerinde işe alım beklentileri yüzde 7’şer puan artmış görünüyor. </w:t>
      </w:r>
      <w:r w:rsidRPr="00F11336">
        <w:rPr>
          <w:rFonts w:ascii="Verdana" w:hAnsi="Verdana" w:cs="Arial"/>
          <w:lang w:val="tr-TR"/>
        </w:rPr>
        <w:t xml:space="preserve"> </w:t>
      </w:r>
    </w:p>
    <w:p w14:paraId="4B626DD9" w14:textId="77777777" w:rsidR="00E813AB" w:rsidRDefault="00E813AB" w:rsidP="00B800A3">
      <w:pPr>
        <w:tabs>
          <w:tab w:val="left" w:pos="1770"/>
        </w:tabs>
        <w:spacing w:line="360" w:lineRule="auto"/>
        <w:ind w:right="-1"/>
        <w:contextualSpacing/>
        <w:jc w:val="both"/>
        <w:rPr>
          <w:rFonts w:ascii="Verdana" w:hAnsi="Verdana" w:cs="Arial"/>
          <w:b/>
          <w:lang w:val="tr-TR"/>
        </w:rPr>
      </w:pPr>
    </w:p>
    <w:p w14:paraId="38538BBA" w14:textId="77777777" w:rsidR="00E813AB" w:rsidRPr="00590210" w:rsidRDefault="00E813AB" w:rsidP="00E813AB">
      <w:pPr>
        <w:tabs>
          <w:tab w:val="left" w:pos="284"/>
        </w:tabs>
        <w:spacing w:line="360" w:lineRule="auto"/>
        <w:ind w:right="-1"/>
        <w:contextualSpacing/>
        <w:jc w:val="both"/>
        <w:rPr>
          <w:rFonts w:ascii="Verdana" w:hAnsi="Verdana" w:cs="Arial"/>
          <w:b/>
        </w:rPr>
      </w:pPr>
      <w:r>
        <w:rPr>
          <w:rFonts w:ascii="Verdana" w:hAnsi="Verdana" w:cs="Arial"/>
          <w:b/>
          <w:lang w:val="tr-TR"/>
        </w:rPr>
        <w:lastRenderedPageBreak/>
        <w:t xml:space="preserve">Büyük ölçekli şirketlerdeki işverenler 2021’in üçüncü çeyreğine yönelik sağlıklı işe alım beklentilerine sahip  </w:t>
      </w:r>
    </w:p>
    <w:p w14:paraId="78243D34" w14:textId="77777777" w:rsidR="00E813AB" w:rsidRDefault="00E813AB" w:rsidP="00E813AB">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202</w:t>
      </w:r>
      <w:r>
        <w:rPr>
          <w:rFonts w:ascii="Verdana" w:hAnsi="Verdana" w:cs="Arial"/>
          <w:lang w:val="tr-TR"/>
        </w:rPr>
        <w:t>1</w:t>
      </w:r>
      <w:r w:rsidRPr="00CA0A23">
        <w:rPr>
          <w:rFonts w:ascii="Verdana" w:hAnsi="Verdana" w:cs="Arial"/>
          <w:lang w:val="tr-TR"/>
        </w:rPr>
        <w:t xml:space="preserve">'in </w:t>
      </w:r>
      <w:r>
        <w:rPr>
          <w:rFonts w:ascii="Verdana" w:hAnsi="Verdana" w:cs="Arial"/>
          <w:lang w:val="tr-TR"/>
        </w:rPr>
        <w:t>üçüncü</w:t>
      </w:r>
      <w:r w:rsidRPr="00CA0A23">
        <w:rPr>
          <w:rFonts w:ascii="Verdana" w:hAnsi="Verdana" w:cs="Arial"/>
          <w:lang w:val="tr-TR"/>
        </w:rPr>
        <w:t xml:space="preserve"> çeyreğin</w:t>
      </w:r>
      <w:r>
        <w:rPr>
          <w:rFonts w:ascii="Verdana" w:hAnsi="Verdana" w:cs="Arial"/>
          <w:lang w:val="tr-TR"/>
        </w:rPr>
        <w:t>e yönelik olarak</w:t>
      </w:r>
      <w:r w:rsidRPr="00CA0A23">
        <w:rPr>
          <w:rFonts w:ascii="Verdana" w:hAnsi="Verdana" w:cs="Arial"/>
          <w:lang w:val="tr-TR"/>
        </w:rPr>
        <w:t xml:space="preserve"> </w:t>
      </w:r>
      <w:r w:rsidRPr="000165C2">
        <w:rPr>
          <w:rFonts w:ascii="Verdana" w:hAnsi="Verdana" w:cs="Arial"/>
          <w:lang w:val="tr-TR"/>
        </w:rPr>
        <w:t>dört işletme</w:t>
      </w:r>
      <w:r>
        <w:rPr>
          <w:rFonts w:ascii="Verdana" w:hAnsi="Verdana" w:cs="Arial"/>
          <w:lang w:val="tr-TR"/>
        </w:rPr>
        <w:t xml:space="preserve"> kategorisinin üçünde işe alımlarda artış bekleniyor.  Veriler mevsimsel verilerden arındırıldığında büyük şirket işverenleri +%23 istihdam görünümü ile en güçlü istihdam piyasası görünümünü bildirirken, Orta ölçekli şirketlerdeki işverenler +%9, Küçük ölçekli işverenler ise +%5’lik istihdam görünümü sergiliyor. Mikro ölçekli şirketlerdeki işverenlerin istihdam görünümleri </w:t>
      </w:r>
      <w:proofErr w:type="gramStart"/>
      <w:r>
        <w:rPr>
          <w:rFonts w:ascii="Verdana" w:hAnsi="Verdana" w:cs="Arial"/>
          <w:lang w:val="tr-TR"/>
        </w:rPr>
        <w:t>ise -</w:t>
      </w:r>
      <w:proofErr w:type="gramEnd"/>
      <w:r>
        <w:rPr>
          <w:rFonts w:ascii="Verdana" w:hAnsi="Verdana" w:cs="Arial"/>
          <w:lang w:val="tr-TR"/>
        </w:rPr>
        <w:t xml:space="preserve">%6 olarak ölçülüyor.  </w:t>
      </w:r>
    </w:p>
    <w:p w14:paraId="214CDD8B" w14:textId="77777777" w:rsidR="00E813AB" w:rsidRDefault="00E813AB" w:rsidP="00E813AB">
      <w:pPr>
        <w:tabs>
          <w:tab w:val="left" w:pos="284"/>
        </w:tabs>
        <w:spacing w:line="360" w:lineRule="auto"/>
        <w:ind w:right="-1"/>
        <w:contextualSpacing/>
        <w:jc w:val="both"/>
        <w:rPr>
          <w:rFonts w:ascii="Verdana" w:hAnsi="Verdana" w:cs="Arial"/>
          <w:b/>
        </w:rPr>
      </w:pPr>
    </w:p>
    <w:p w14:paraId="1CDBD578" w14:textId="77777777" w:rsidR="00E813AB" w:rsidRPr="0011749F" w:rsidRDefault="00E813AB" w:rsidP="00E813AB">
      <w:pPr>
        <w:tabs>
          <w:tab w:val="left" w:pos="284"/>
        </w:tabs>
        <w:spacing w:line="360" w:lineRule="auto"/>
        <w:ind w:right="-1"/>
        <w:contextualSpacing/>
        <w:jc w:val="both"/>
        <w:rPr>
          <w:rFonts w:ascii="Verdana" w:hAnsi="Verdana" w:cs="Arial"/>
          <w:color w:val="000000"/>
        </w:rPr>
      </w:pPr>
      <w:r w:rsidRPr="00CA0A23">
        <w:rPr>
          <w:rFonts w:ascii="Verdana" w:hAnsi="Verdana" w:cs="Arial"/>
          <w:lang w:val="tr-TR"/>
        </w:rPr>
        <w:t xml:space="preserve">Önceki çeyrekle karşılaştırıldığında </w:t>
      </w:r>
      <w:r>
        <w:rPr>
          <w:rFonts w:ascii="Verdana" w:hAnsi="Verdana" w:cs="Arial"/>
          <w:lang w:val="tr-TR"/>
        </w:rPr>
        <w:t>araştırma kapsamındaki dört işletme kategorisinden üçünde işe alım beklentileri zayıflamış görünüyor. Mikro</w:t>
      </w:r>
      <w:r w:rsidRPr="00CA0A23">
        <w:rPr>
          <w:rFonts w:ascii="Verdana" w:hAnsi="Verdana" w:cs="Arial"/>
          <w:lang w:val="tr-TR"/>
        </w:rPr>
        <w:t xml:space="preserve"> ölçekli işverenler</w:t>
      </w:r>
      <w:r>
        <w:rPr>
          <w:rFonts w:ascii="Verdana" w:hAnsi="Verdana" w:cs="Arial"/>
          <w:lang w:val="tr-TR"/>
        </w:rPr>
        <w:t>in</w:t>
      </w:r>
      <w:r w:rsidRPr="00CA0A23">
        <w:rPr>
          <w:rFonts w:ascii="Verdana" w:hAnsi="Verdana" w:cs="Arial"/>
          <w:lang w:val="tr-TR"/>
        </w:rPr>
        <w:t xml:space="preserve"> istihdam görünümü yüzde </w:t>
      </w:r>
      <w:r>
        <w:rPr>
          <w:rFonts w:ascii="Verdana" w:hAnsi="Verdana" w:cs="Arial"/>
          <w:lang w:val="tr-TR"/>
        </w:rPr>
        <w:t>11</w:t>
      </w:r>
      <w:r w:rsidRPr="00CA0A23">
        <w:rPr>
          <w:rFonts w:ascii="Verdana" w:hAnsi="Verdana" w:cs="Arial"/>
          <w:lang w:val="tr-TR"/>
        </w:rPr>
        <w:t xml:space="preserve"> puan </w:t>
      </w:r>
      <w:r>
        <w:rPr>
          <w:rFonts w:ascii="Verdana" w:hAnsi="Verdana" w:cs="Arial"/>
          <w:lang w:val="tr-TR"/>
        </w:rPr>
        <w:t>azalırken, Orta</w:t>
      </w:r>
      <w:r w:rsidRPr="00CA0A23">
        <w:rPr>
          <w:rFonts w:ascii="Verdana" w:hAnsi="Verdana" w:cs="Arial"/>
          <w:lang w:val="tr-TR"/>
        </w:rPr>
        <w:t xml:space="preserve"> ölçekli işverenlerde </w:t>
      </w:r>
      <w:r>
        <w:rPr>
          <w:rFonts w:ascii="Verdana" w:hAnsi="Verdana" w:cs="Arial"/>
          <w:lang w:val="tr-TR"/>
        </w:rPr>
        <w:t>de yüzde 6 puan azalış gözlemleniyor. Küçük</w:t>
      </w:r>
      <w:r w:rsidRPr="00CA0A23">
        <w:rPr>
          <w:rFonts w:ascii="Verdana" w:hAnsi="Verdana" w:cs="Arial"/>
          <w:lang w:val="tr-TR"/>
        </w:rPr>
        <w:t xml:space="preserve"> ölçekli işverenler</w:t>
      </w:r>
      <w:r>
        <w:rPr>
          <w:rFonts w:ascii="Verdana" w:hAnsi="Verdana" w:cs="Arial"/>
          <w:lang w:val="tr-TR"/>
        </w:rPr>
        <w:t xml:space="preserve">in görünümleri ise bir önceki çeyreğe kıyasla yüzde 5 puan azalırken, büyük ölçekli işverenlerin işe alım beklentisi yüzde 6 puan artmış görünüyor. </w:t>
      </w:r>
    </w:p>
    <w:p w14:paraId="38992A5F" w14:textId="77777777" w:rsidR="00E813AB" w:rsidRPr="00CA0A23" w:rsidRDefault="00E813AB" w:rsidP="00E813AB">
      <w:pPr>
        <w:tabs>
          <w:tab w:val="left" w:pos="284"/>
        </w:tabs>
        <w:spacing w:line="360" w:lineRule="auto"/>
        <w:ind w:right="-1"/>
        <w:contextualSpacing/>
        <w:jc w:val="both"/>
        <w:rPr>
          <w:rFonts w:ascii="Verdana" w:hAnsi="Verdana" w:cs="Arial"/>
          <w:lang w:val="tr-TR"/>
        </w:rPr>
      </w:pPr>
    </w:p>
    <w:p w14:paraId="66FB46D1" w14:textId="77777777" w:rsidR="00E813AB" w:rsidRDefault="00E813AB" w:rsidP="00E813AB">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Geçen yılın aynı dönemiyle </w:t>
      </w:r>
      <w:r>
        <w:rPr>
          <w:rFonts w:ascii="Verdana" w:hAnsi="Verdana" w:cs="Arial"/>
          <w:lang w:val="tr-TR"/>
        </w:rPr>
        <w:t xml:space="preserve">kıyaslandığında Büyük ölçekli işletmelerdeki işverenler yüzde 24 puan artışla işe alım beklentilerini ciddi oranda artırırken, Küçük ve Orta ölçekli işletmelerdeki yükselişler yüzde 13 ve 12 puan olarak sıralanıyor. Bununla birlikte Mikro ölçekli işletmelerdeki işe alım beklentisi geçen yılın aynı dönemine kıyasla yüzde 7 puan azalmış görünüyor. </w:t>
      </w:r>
    </w:p>
    <w:p w14:paraId="50D8A4A1" w14:textId="77777777" w:rsidR="00E813AB" w:rsidRDefault="00E813AB" w:rsidP="00E813AB">
      <w:pPr>
        <w:tabs>
          <w:tab w:val="left" w:pos="284"/>
        </w:tabs>
        <w:spacing w:line="360" w:lineRule="auto"/>
        <w:ind w:right="-1"/>
        <w:contextualSpacing/>
        <w:jc w:val="both"/>
        <w:rPr>
          <w:rFonts w:ascii="Verdana" w:hAnsi="Verdana" w:cs="Arial"/>
          <w:lang w:val="tr-TR"/>
        </w:rPr>
      </w:pPr>
    </w:p>
    <w:p w14:paraId="22309320" w14:textId="77777777" w:rsidR="00E813AB" w:rsidRPr="00A7031F" w:rsidRDefault="00E813AB" w:rsidP="00E813AB">
      <w:pPr>
        <w:tabs>
          <w:tab w:val="left" w:pos="284"/>
        </w:tabs>
        <w:spacing w:line="360" w:lineRule="auto"/>
        <w:ind w:right="-1"/>
        <w:contextualSpacing/>
        <w:jc w:val="both"/>
        <w:rPr>
          <w:rFonts w:ascii="Verdana" w:hAnsi="Verdana" w:cs="Arial"/>
          <w:sz w:val="18"/>
          <w:szCs w:val="18"/>
          <w:lang w:val="tr-TR"/>
        </w:rPr>
      </w:pPr>
    </w:p>
    <w:p w14:paraId="3C88F5E9"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r w:rsidRPr="00A7031F">
        <w:rPr>
          <w:rFonts w:ascii="Verdana" w:hAnsi="Verdana" w:cs="Arial"/>
          <w:i/>
          <w:iCs/>
          <w:sz w:val="18"/>
          <w:szCs w:val="18"/>
          <w:lang w:val="tr-TR"/>
        </w:rPr>
        <w:t xml:space="preserve">Editöre Not: </w:t>
      </w:r>
    </w:p>
    <w:p w14:paraId="6D4EC9D4"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proofErr w:type="spellStart"/>
      <w:r w:rsidRPr="00A7031F">
        <w:rPr>
          <w:rFonts w:ascii="Verdana" w:hAnsi="Verdana" w:cs="Arial"/>
          <w:i/>
          <w:iCs/>
          <w:sz w:val="18"/>
          <w:szCs w:val="18"/>
          <w:lang w:val="tr-TR"/>
        </w:rPr>
        <w:t>Manpower</w:t>
      </w:r>
      <w:proofErr w:type="spellEnd"/>
      <w:r w:rsidRPr="00A7031F">
        <w:rPr>
          <w:rFonts w:ascii="Verdana" w:hAnsi="Verdana" w:cs="Arial"/>
          <w:i/>
          <w:iCs/>
          <w:sz w:val="18"/>
          <w:szCs w:val="18"/>
          <w:lang w:val="tr-TR"/>
        </w:rPr>
        <w:t xml:space="preserve"> </w:t>
      </w:r>
      <w:proofErr w:type="spellStart"/>
      <w:r w:rsidRPr="00A7031F">
        <w:rPr>
          <w:rFonts w:ascii="Verdana" w:hAnsi="Verdana" w:cs="Arial"/>
          <w:i/>
          <w:iCs/>
          <w:sz w:val="18"/>
          <w:szCs w:val="18"/>
          <w:lang w:val="tr-TR"/>
        </w:rPr>
        <w:t>Group</w:t>
      </w:r>
      <w:proofErr w:type="spellEnd"/>
      <w:r w:rsidRPr="00A7031F">
        <w:rPr>
          <w:rFonts w:ascii="Verdana" w:hAnsi="Verdana" w:cs="Arial"/>
          <w:i/>
          <w:iCs/>
          <w:sz w:val="18"/>
          <w:szCs w:val="18"/>
          <w:lang w:val="tr-TR"/>
        </w:rPr>
        <w:t xml:space="preserve"> İstihdama Genel Bakış Araştırması’nın tüm sonuçları </w:t>
      </w:r>
      <w:hyperlink r:id="rId11" w:history="1">
        <w:r w:rsidRPr="00A7031F">
          <w:rPr>
            <w:rStyle w:val="Kpr"/>
            <w:rFonts w:ascii="Verdana" w:hAnsi="Verdana" w:cs="Arial"/>
            <w:i/>
            <w:iCs/>
            <w:sz w:val="18"/>
            <w:szCs w:val="18"/>
            <w:lang w:val="tr-TR"/>
          </w:rPr>
          <w:t>www.manpowergroup.com/MEOS</w:t>
        </w:r>
      </w:hyperlink>
      <w:r w:rsidRPr="00A7031F">
        <w:rPr>
          <w:rFonts w:ascii="Verdana" w:hAnsi="Verdana" w:cs="Arial"/>
          <w:i/>
          <w:iCs/>
          <w:sz w:val="18"/>
          <w:szCs w:val="18"/>
          <w:lang w:val="tr-TR"/>
        </w:rPr>
        <w:t xml:space="preserve"> üzerinden indirilebilir. </w:t>
      </w:r>
    </w:p>
    <w:p w14:paraId="02A1B039"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p>
    <w:p w14:paraId="0FF224E5"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r w:rsidRPr="00A7031F">
        <w:rPr>
          <w:rFonts w:ascii="Verdana" w:hAnsi="Verdana" w:cs="Arial"/>
          <w:i/>
          <w:iCs/>
          <w:sz w:val="18"/>
          <w:szCs w:val="18"/>
          <w:lang w:val="tr-TR"/>
        </w:rPr>
        <w:t>Net İstihdam Görünümü, işe alım faaliyetlerinde bir artış öngören işverenlerin yüzdesini alarak ve işe alım faaliyetlerinde bir düşüş bekleyen işverenlerin yüzdesini çıkararak elde edilir.</w:t>
      </w:r>
    </w:p>
    <w:p w14:paraId="577E22C9"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p>
    <w:p w14:paraId="1D094F57"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r w:rsidRPr="00A7031F">
        <w:rPr>
          <w:rFonts w:ascii="Verdana" w:hAnsi="Verdana" w:cs="Arial"/>
          <w:i/>
          <w:iCs/>
          <w:sz w:val="18"/>
          <w:szCs w:val="18"/>
          <w:lang w:val="tr-TR"/>
        </w:rPr>
        <w:t xml:space="preserve">Diğer Üretim sınıflandırması Madencilik, Tarım, Avcılık, Ormancılık &amp; Balıkçılık, Elektrik, Gaz &amp; Su sektörlerini kapsamaktadır. </w:t>
      </w:r>
    </w:p>
    <w:p w14:paraId="093579AD" w14:textId="77777777" w:rsidR="00E813AB" w:rsidRPr="00CA0A23" w:rsidRDefault="00E813AB" w:rsidP="00E813AB">
      <w:pPr>
        <w:tabs>
          <w:tab w:val="left" w:pos="284"/>
        </w:tabs>
        <w:spacing w:line="360" w:lineRule="auto"/>
        <w:ind w:right="-1"/>
        <w:contextualSpacing/>
        <w:jc w:val="both"/>
        <w:rPr>
          <w:rFonts w:ascii="Verdana" w:hAnsi="Verdana" w:cs="Arial"/>
          <w:i/>
          <w:iCs/>
          <w:lang w:val="tr-TR"/>
        </w:rPr>
      </w:pPr>
    </w:p>
    <w:p w14:paraId="638996BF" w14:textId="77777777" w:rsidR="00E813AB" w:rsidRPr="00A7031F" w:rsidRDefault="00E813AB" w:rsidP="00E813AB">
      <w:pPr>
        <w:tabs>
          <w:tab w:val="left" w:pos="284"/>
        </w:tabs>
        <w:spacing w:line="360" w:lineRule="auto"/>
        <w:ind w:right="-1"/>
        <w:contextualSpacing/>
        <w:jc w:val="both"/>
        <w:rPr>
          <w:rFonts w:ascii="Verdana" w:hAnsi="Verdana" w:cs="Arial"/>
          <w:i/>
          <w:iCs/>
          <w:sz w:val="18"/>
          <w:szCs w:val="18"/>
          <w:lang w:val="tr-TR"/>
        </w:rPr>
      </w:pPr>
      <w:r w:rsidRPr="00A7031F">
        <w:rPr>
          <w:rFonts w:ascii="Verdana" w:hAnsi="Verdana" w:cs="Arial"/>
          <w:i/>
          <w:iCs/>
          <w:sz w:val="18"/>
          <w:szCs w:val="18"/>
          <w:lang w:val="tr-TR"/>
        </w:rPr>
        <w:t xml:space="preserve">Diğer Hizmetler sınıflandırması Kamu &amp; Sosyal Hizmetler, Ulaştırma, Depolama &amp; İletişim sektörlerini kapsamaktadır. </w:t>
      </w:r>
    </w:p>
    <w:p w14:paraId="3069005E" w14:textId="77777777" w:rsidR="00E813AB" w:rsidRPr="00CA0A23" w:rsidRDefault="00E813AB" w:rsidP="00E813AB">
      <w:pPr>
        <w:tabs>
          <w:tab w:val="left" w:pos="1770"/>
        </w:tabs>
        <w:spacing w:line="360" w:lineRule="auto"/>
        <w:ind w:right="-1"/>
        <w:contextualSpacing/>
        <w:jc w:val="both"/>
        <w:rPr>
          <w:rFonts w:ascii="Verdana" w:hAnsi="Verdana" w:cs="Arial"/>
          <w:b/>
          <w:lang w:val="tr-TR"/>
        </w:rPr>
      </w:pPr>
    </w:p>
    <w:p w14:paraId="473FEDF7" w14:textId="77777777" w:rsidR="00E813AB" w:rsidRPr="00CA0A23" w:rsidRDefault="00E813AB" w:rsidP="00E813AB">
      <w:pPr>
        <w:spacing w:line="276" w:lineRule="auto"/>
        <w:ind w:right="-241"/>
        <w:jc w:val="both"/>
        <w:rPr>
          <w:rFonts w:ascii="Verdana" w:hAnsi="Verdana"/>
          <w:b/>
          <w:bCs/>
          <w:color w:val="000000" w:themeColor="text1"/>
          <w:sz w:val="18"/>
          <w:szCs w:val="18"/>
          <w:lang w:val="tr-TR"/>
        </w:rPr>
      </w:pPr>
      <w:r w:rsidRPr="00CA0A23">
        <w:rPr>
          <w:rFonts w:ascii="Verdana" w:hAnsi="Verdana"/>
          <w:b/>
          <w:bCs/>
          <w:color w:val="000000"/>
          <w:sz w:val="18"/>
          <w:szCs w:val="18"/>
          <w:lang w:val="tr-TR"/>
        </w:rPr>
        <w:t xml:space="preserve">İlgili Kişi: </w:t>
      </w:r>
      <w:r w:rsidRPr="00CA0A23">
        <w:rPr>
          <w:rFonts w:ascii="Verdana" w:hAnsi="Verdana"/>
          <w:b/>
          <w:bCs/>
          <w:color w:val="000000"/>
          <w:sz w:val="18"/>
          <w:lang w:val="tr-TR"/>
        </w:rPr>
        <w:tab/>
      </w:r>
    </w:p>
    <w:p w14:paraId="7A98F212" w14:textId="77777777" w:rsidR="00E813AB" w:rsidRPr="00CA0A23" w:rsidRDefault="00E813AB" w:rsidP="00E813AB">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 xml:space="preserve">Ceylan Naza </w:t>
      </w:r>
    </w:p>
    <w:p w14:paraId="588B9878" w14:textId="77777777" w:rsidR="00E813AB" w:rsidRPr="00CA0A23" w:rsidRDefault="00E813AB" w:rsidP="00E813AB">
      <w:pPr>
        <w:spacing w:line="276" w:lineRule="auto"/>
        <w:ind w:right="-241"/>
        <w:jc w:val="both"/>
        <w:rPr>
          <w:rFonts w:ascii="Verdana" w:hAnsi="Verdana"/>
          <w:color w:val="000000" w:themeColor="text1"/>
          <w:sz w:val="18"/>
          <w:szCs w:val="18"/>
          <w:lang w:val="tr-TR"/>
        </w:rPr>
      </w:pPr>
      <w:r w:rsidRPr="00CA0A23">
        <w:rPr>
          <w:rFonts w:ascii="Verdana" w:hAnsi="Verdana"/>
          <w:color w:val="000000"/>
          <w:sz w:val="18"/>
          <w:szCs w:val="18"/>
          <w:lang w:val="tr-TR"/>
        </w:rPr>
        <w:t xml:space="preserve">Marjinal </w:t>
      </w:r>
      <w:proofErr w:type="spellStart"/>
      <w:r w:rsidRPr="00CA0A23">
        <w:rPr>
          <w:rFonts w:ascii="Verdana" w:hAnsi="Verdana"/>
          <w:color w:val="000000"/>
          <w:sz w:val="18"/>
          <w:szCs w:val="18"/>
          <w:lang w:val="tr-TR"/>
        </w:rPr>
        <w:t>Porter</w:t>
      </w:r>
      <w:proofErr w:type="spellEnd"/>
      <w:r w:rsidRPr="00CA0A23">
        <w:rPr>
          <w:rFonts w:ascii="Verdana" w:hAnsi="Verdana"/>
          <w:color w:val="000000"/>
          <w:sz w:val="18"/>
          <w:szCs w:val="18"/>
          <w:lang w:val="tr-TR"/>
        </w:rPr>
        <w:t xml:space="preserve"> </w:t>
      </w:r>
      <w:proofErr w:type="spellStart"/>
      <w:r w:rsidRPr="00CA0A23">
        <w:rPr>
          <w:rFonts w:ascii="Verdana" w:hAnsi="Verdana"/>
          <w:color w:val="000000"/>
          <w:sz w:val="18"/>
          <w:szCs w:val="18"/>
          <w:lang w:val="tr-TR"/>
        </w:rPr>
        <w:t>Novelli</w:t>
      </w:r>
      <w:proofErr w:type="spellEnd"/>
      <w:r w:rsidRPr="00CA0A23">
        <w:rPr>
          <w:rFonts w:ascii="Verdana" w:hAnsi="Verdana"/>
          <w:bCs/>
          <w:color w:val="000000"/>
          <w:sz w:val="18"/>
          <w:lang w:val="tr-TR"/>
        </w:rPr>
        <w:tab/>
      </w:r>
      <w:r w:rsidRPr="00CA0A23">
        <w:rPr>
          <w:rFonts w:ascii="Verdana" w:hAnsi="Verdana"/>
          <w:bCs/>
          <w:color w:val="000000"/>
          <w:sz w:val="18"/>
          <w:lang w:val="tr-TR"/>
        </w:rPr>
        <w:tab/>
      </w:r>
    </w:p>
    <w:p w14:paraId="7E651E37" w14:textId="77777777" w:rsidR="00E813AB" w:rsidRPr="00CA0A23" w:rsidRDefault="00E813AB" w:rsidP="00E813AB">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0212 219 29 71</w:t>
      </w:r>
    </w:p>
    <w:p w14:paraId="08451008" w14:textId="77777777" w:rsidR="00E813AB" w:rsidRPr="00CA0A23" w:rsidRDefault="0053145F" w:rsidP="00E813AB">
      <w:pPr>
        <w:spacing w:line="276" w:lineRule="auto"/>
        <w:ind w:right="-241"/>
        <w:jc w:val="both"/>
        <w:rPr>
          <w:rFonts w:ascii="Verdana" w:hAnsi="Verdana"/>
          <w:b/>
          <w:bCs/>
          <w:color w:val="000000"/>
          <w:sz w:val="16"/>
          <w:szCs w:val="16"/>
          <w:lang w:val="tr-TR"/>
        </w:rPr>
      </w:pPr>
      <w:hyperlink r:id="rId12" w:history="1">
        <w:r w:rsidR="00E813AB" w:rsidRPr="00CA0A23">
          <w:rPr>
            <w:rStyle w:val="Kpr"/>
            <w:rFonts w:ascii="Verdana" w:hAnsi="Verdana" w:cstheme="minorBidi"/>
            <w:bCs/>
            <w:sz w:val="18"/>
            <w:lang w:val="tr-TR"/>
          </w:rPr>
          <w:t>ceylann@marjinal.com.tr</w:t>
        </w:r>
      </w:hyperlink>
    </w:p>
    <w:p w14:paraId="5C84B3AF" w14:textId="77777777" w:rsidR="00E813AB" w:rsidRPr="00CA0A23" w:rsidRDefault="00E813AB" w:rsidP="00E813AB">
      <w:pPr>
        <w:tabs>
          <w:tab w:val="left" w:pos="284"/>
        </w:tabs>
        <w:ind w:left="142" w:right="-1"/>
        <w:jc w:val="both"/>
        <w:rPr>
          <w:rFonts w:ascii="Verdana" w:hAnsi="Verdana" w:cs="Arial"/>
          <w:bCs/>
          <w:color w:val="444444"/>
          <w:sz w:val="16"/>
          <w:szCs w:val="16"/>
          <w:lang w:val="tr-TR"/>
        </w:rPr>
      </w:pPr>
    </w:p>
    <w:p w14:paraId="69EE23ED" w14:textId="77777777" w:rsidR="00E813AB" w:rsidRPr="00CA0A23" w:rsidRDefault="00E813AB" w:rsidP="00E813AB">
      <w:pPr>
        <w:tabs>
          <w:tab w:val="left" w:pos="284"/>
        </w:tabs>
        <w:ind w:left="142" w:right="-1"/>
        <w:jc w:val="both"/>
        <w:rPr>
          <w:rFonts w:ascii="Verdana" w:hAnsi="Verdana"/>
          <w:sz w:val="16"/>
          <w:szCs w:val="16"/>
          <w:lang w:val="tr-TR"/>
        </w:rPr>
      </w:pPr>
    </w:p>
    <w:p w14:paraId="6FE535C1" w14:textId="77777777" w:rsidR="00E813AB" w:rsidRPr="00CA0A23" w:rsidRDefault="00E813AB" w:rsidP="00E813AB">
      <w:pPr>
        <w:spacing w:line="276" w:lineRule="auto"/>
        <w:ind w:right="-241"/>
        <w:jc w:val="both"/>
        <w:rPr>
          <w:rFonts w:ascii="Verdana" w:hAnsi="Verdana"/>
          <w:b/>
          <w:bCs/>
          <w:color w:val="000000" w:themeColor="text1"/>
          <w:sz w:val="16"/>
          <w:szCs w:val="16"/>
          <w:lang w:val="tr-TR"/>
        </w:rPr>
      </w:pPr>
      <w:proofErr w:type="spellStart"/>
      <w:r w:rsidRPr="00CA0A23">
        <w:rPr>
          <w:rFonts w:ascii="Verdana" w:hAnsi="Verdana"/>
          <w:b/>
          <w:bCs/>
          <w:color w:val="000000" w:themeColor="text1"/>
          <w:sz w:val="16"/>
          <w:szCs w:val="16"/>
          <w:lang w:val="tr-TR"/>
        </w:rPr>
        <w:t>ManpowerGroup</w:t>
      </w:r>
      <w:proofErr w:type="spellEnd"/>
      <w:r w:rsidRPr="00CA0A23">
        <w:rPr>
          <w:rFonts w:ascii="Verdana" w:hAnsi="Verdana"/>
          <w:b/>
          <w:bCs/>
          <w:color w:val="000000" w:themeColor="text1"/>
          <w:sz w:val="16"/>
          <w:szCs w:val="16"/>
          <w:lang w:val="tr-TR"/>
        </w:rPr>
        <w:t xml:space="preserve"> Hakkında</w:t>
      </w:r>
    </w:p>
    <w:p w14:paraId="474C1437" w14:textId="77777777" w:rsidR="00E813AB" w:rsidRPr="00CA0A23" w:rsidRDefault="00E813AB" w:rsidP="00E813AB">
      <w:pPr>
        <w:spacing w:after="160" w:line="276" w:lineRule="auto"/>
        <w:ind w:right="-241"/>
        <w:jc w:val="both"/>
        <w:rPr>
          <w:color w:val="808080" w:themeColor="background1" w:themeShade="80"/>
          <w:lang w:val="tr-TR"/>
        </w:rPr>
      </w:pPr>
      <w:r w:rsidRPr="00CA0A23">
        <w:rPr>
          <w:rFonts w:ascii="Verdana" w:hAnsi="Verdana"/>
          <w:color w:val="000000" w:themeColor="text1"/>
          <w:sz w:val="16"/>
          <w:szCs w:val="16"/>
          <w:lang w:val="tr-TR"/>
        </w:rPr>
        <w:t xml:space="preserve">Küresel iş gücü çözümlerinde lider bir </w:t>
      </w:r>
      <w:r>
        <w:rPr>
          <w:rFonts w:ascii="Verdana" w:hAnsi="Verdana"/>
          <w:color w:val="000000" w:themeColor="text1"/>
          <w:sz w:val="16"/>
          <w:szCs w:val="16"/>
          <w:lang w:val="tr-TR"/>
        </w:rPr>
        <w:t>şirket</w:t>
      </w:r>
      <w:r w:rsidRPr="00CA0A23">
        <w:rPr>
          <w:rFonts w:ascii="Verdana" w:hAnsi="Verdana"/>
          <w:color w:val="000000" w:themeColor="text1"/>
          <w:sz w:val="16"/>
          <w:szCs w:val="16"/>
          <w:lang w:val="tr-TR"/>
        </w:rPr>
        <w:t xml:space="preserve"> olan </w:t>
      </w:r>
      <w:proofErr w:type="spellStart"/>
      <w:r w:rsidRPr="00CA0A23">
        <w:rPr>
          <w:rFonts w:ascii="Verdana" w:hAnsi="Verdana"/>
          <w:color w:val="000000" w:themeColor="text1"/>
          <w:sz w:val="16"/>
          <w:szCs w:val="16"/>
          <w:lang w:val="tr-TR"/>
        </w:rPr>
        <w:t>ManpowerGroup</w:t>
      </w:r>
      <w:proofErr w:type="spellEnd"/>
      <w:r w:rsidRPr="00EC02FE">
        <w:rPr>
          <w:rFonts w:ascii="Verdana" w:hAnsi="Verdana" w:cs="Calibri"/>
          <w:color w:val="000000"/>
          <w:sz w:val="16"/>
          <w:szCs w:val="16"/>
          <w:lang w:eastAsia="tr-TR"/>
        </w:rPr>
        <w:t>®</w:t>
      </w:r>
      <w:r w:rsidRPr="00CA0A23">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her yıl yüzbinlerce kuruma </w:t>
      </w:r>
      <w:r w:rsidRPr="00CA0A23">
        <w:rPr>
          <w:rFonts w:ascii="Verdana" w:hAnsi="Verdana"/>
          <w:color w:val="000000" w:themeColor="text1"/>
          <w:sz w:val="16"/>
          <w:szCs w:val="16"/>
          <w:lang w:val="tr-TR"/>
        </w:rPr>
        <w:t xml:space="preserve">yenilikçi çözümler geliştirerek, </w:t>
      </w:r>
      <w:r>
        <w:rPr>
          <w:rFonts w:ascii="Verdana" w:hAnsi="Verdana"/>
          <w:color w:val="000000" w:themeColor="text1"/>
          <w:sz w:val="16"/>
          <w:szCs w:val="16"/>
          <w:lang w:val="tr-TR"/>
        </w:rPr>
        <w:t xml:space="preserve">milyonlarca </w:t>
      </w:r>
      <w:r w:rsidRPr="00CA0A23">
        <w:rPr>
          <w:rFonts w:ascii="Verdana" w:hAnsi="Verdana"/>
          <w:color w:val="000000" w:themeColor="text1"/>
          <w:sz w:val="16"/>
          <w:szCs w:val="16"/>
          <w:lang w:val="tr-TR"/>
        </w:rPr>
        <w:t>insanı çok çeşitli sektör ve alanlarda anlamlı ve sürdürülebilir işlerle buluşturur.</w:t>
      </w:r>
      <w:r>
        <w:rPr>
          <w:rFonts w:ascii="Verdana" w:hAnsi="Verdana"/>
          <w:color w:val="000000" w:themeColor="text1"/>
          <w:sz w:val="16"/>
          <w:szCs w:val="16"/>
          <w:lang w:val="tr-TR"/>
        </w:rPr>
        <w:t xml:space="preserve"> Şirketin</w:t>
      </w:r>
      <w:r w:rsidRPr="00CA0A23">
        <w:rPr>
          <w:rFonts w:ascii="Verdana" w:hAnsi="Verdana"/>
          <w:color w:val="000000" w:themeColor="text1"/>
          <w:sz w:val="16"/>
          <w:szCs w:val="16"/>
          <w:lang w:val="tr-TR"/>
        </w:rPr>
        <w:t xml:space="preserve"> </w:t>
      </w:r>
      <w:proofErr w:type="spellStart"/>
      <w:r w:rsidRPr="00CA0A23">
        <w:rPr>
          <w:rFonts w:ascii="Verdana" w:hAnsi="Verdana"/>
          <w:color w:val="000000" w:themeColor="text1"/>
          <w:sz w:val="16"/>
          <w:szCs w:val="16"/>
          <w:lang w:val="tr-TR"/>
        </w:rPr>
        <w:t>Manpower</w:t>
      </w:r>
      <w:proofErr w:type="spellEnd"/>
      <w:r w:rsidRPr="00CA0A23">
        <w:rPr>
          <w:rFonts w:ascii="Verdana" w:hAnsi="Verdana"/>
          <w:color w:val="000000" w:themeColor="text1"/>
          <w:sz w:val="16"/>
          <w:szCs w:val="16"/>
          <w:lang w:val="tr-TR"/>
        </w:rPr>
        <w:t xml:space="preserve">®, </w:t>
      </w:r>
      <w:proofErr w:type="spellStart"/>
      <w:r w:rsidRPr="00CA0A23">
        <w:rPr>
          <w:rFonts w:ascii="Verdana" w:hAnsi="Verdana"/>
          <w:color w:val="000000" w:themeColor="text1"/>
          <w:sz w:val="16"/>
          <w:szCs w:val="16"/>
          <w:lang w:val="tr-TR"/>
        </w:rPr>
        <w:t>Experis</w:t>
      </w:r>
      <w:proofErr w:type="spellEnd"/>
      <w:r w:rsidRPr="00CA0A23">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Talent</w:t>
      </w:r>
      <w:proofErr w:type="spellEnd"/>
      <w:r>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Solutions</w:t>
      </w:r>
      <w:r w:rsidRPr="00CA0A23">
        <w:rPr>
          <w:rFonts w:ascii="Verdana" w:hAnsi="Verdana"/>
          <w:color w:val="000000" w:themeColor="text1"/>
          <w:sz w:val="16"/>
          <w:szCs w:val="16"/>
          <w:lang w:val="tr-TR"/>
        </w:rPr>
        <w:t>®</w:t>
      </w:r>
      <w:r>
        <w:rPr>
          <w:rFonts w:ascii="Verdana" w:hAnsi="Verdana"/>
          <w:color w:val="000000" w:themeColor="text1"/>
          <w:sz w:val="16"/>
          <w:szCs w:val="16"/>
          <w:lang w:val="tr-TR"/>
        </w:rPr>
        <w:t>’dan</w:t>
      </w:r>
      <w:proofErr w:type="spellEnd"/>
      <w:r>
        <w:rPr>
          <w:rFonts w:ascii="Verdana" w:hAnsi="Verdana"/>
          <w:color w:val="000000" w:themeColor="text1"/>
          <w:sz w:val="16"/>
          <w:szCs w:val="16"/>
          <w:lang w:val="tr-TR"/>
        </w:rPr>
        <w:t xml:space="preserve"> oluşan</w:t>
      </w:r>
      <w:r w:rsidRPr="00CA0A23">
        <w:rPr>
          <w:rFonts w:ascii="Verdana" w:hAnsi="Verdana"/>
          <w:color w:val="000000" w:themeColor="text1"/>
          <w:sz w:val="16"/>
          <w:szCs w:val="16"/>
          <w:lang w:val="tr-TR"/>
        </w:rPr>
        <w:t xml:space="preserve"> uzman </w:t>
      </w:r>
      <w:r>
        <w:rPr>
          <w:rFonts w:ascii="Verdana" w:hAnsi="Verdana"/>
          <w:color w:val="000000" w:themeColor="text1"/>
          <w:sz w:val="16"/>
          <w:szCs w:val="16"/>
          <w:lang w:val="tr-TR"/>
        </w:rPr>
        <w:t>markalar ailesi</w:t>
      </w:r>
      <w:r w:rsidRPr="00CA0A23">
        <w:rPr>
          <w:rFonts w:ascii="Verdana" w:hAnsi="Verdana"/>
          <w:color w:val="000000" w:themeColor="text1"/>
          <w:sz w:val="16"/>
          <w:szCs w:val="16"/>
          <w:lang w:val="tr-TR"/>
        </w:rPr>
        <w:t xml:space="preserve"> 70 yıldır, </w:t>
      </w:r>
      <w:r>
        <w:rPr>
          <w:rFonts w:ascii="Verdana" w:hAnsi="Verdana"/>
          <w:color w:val="000000" w:themeColor="text1"/>
          <w:sz w:val="16"/>
          <w:szCs w:val="16"/>
          <w:lang w:val="tr-TR"/>
        </w:rPr>
        <w:t>75</w:t>
      </w:r>
      <w:r w:rsidRPr="00CA0A23">
        <w:rPr>
          <w:rFonts w:ascii="Verdana" w:hAnsi="Verdana"/>
          <w:color w:val="000000" w:themeColor="text1"/>
          <w:sz w:val="16"/>
          <w:szCs w:val="16"/>
          <w:lang w:val="tr-TR"/>
        </w:rPr>
        <w:t xml:space="preserve"> ülke ve bölgedeki adaylar ve müşteriler için çok daha fazla değer yaratmaktadır.</w:t>
      </w:r>
      <w:r>
        <w:rPr>
          <w:rFonts w:ascii="Verdana" w:hAnsi="Verdana"/>
          <w:color w:val="000000" w:themeColor="text1"/>
          <w:sz w:val="16"/>
          <w:szCs w:val="16"/>
          <w:lang w:val="tr-TR"/>
        </w:rPr>
        <w:t xml:space="preserve"> Çeşitliliğe </w:t>
      </w:r>
      <w:proofErr w:type="gramStart"/>
      <w:r>
        <w:rPr>
          <w:rFonts w:ascii="Verdana" w:hAnsi="Verdana"/>
          <w:color w:val="000000" w:themeColor="text1"/>
          <w:sz w:val="16"/>
          <w:szCs w:val="16"/>
          <w:lang w:val="tr-TR"/>
        </w:rPr>
        <w:t>verdiği -</w:t>
      </w:r>
      <w:proofErr w:type="gramEnd"/>
      <w:r>
        <w:rPr>
          <w:rFonts w:ascii="Verdana" w:hAnsi="Verdana"/>
          <w:color w:val="000000" w:themeColor="text1"/>
          <w:sz w:val="16"/>
          <w:szCs w:val="16"/>
          <w:lang w:val="tr-TR"/>
        </w:rPr>
        <w:t xml:space="preserve"> </w:t>
      </w:r>
      <w:r w:rsidRPr="00BD6D5C">
        <w:rPr>
          <w:rFonts w:ascii="Verdana" w:hAnsi="Verdana"/>
          <w:color w:val="000000" w:themeColor="text1"/>
          <w:sz w:val="16"/>
          <w:szCs w:val="16"/>
          <w:lang w:val="tr-TR"/>
        </w:rPr>
        <w:t>Kadınlar, Kapsayıcılık, Eşitlik ve Engellilik</w:t>
      </w:r>
      <w:r>
        <w:rPr>
          <w:rFonts w:ascii="Verdana" w:hAnsi="Verdana"/>
          <w:color w:val="000000" w:themeColor="text1"/>
          <w:sz w:val="16"/>
          <w:szCs w:val="16"/>
          <w:lang w:val="tr-TR"/>
        </w:rPr>
        <w:t xml:space="preserve"> açısından çalışılacak en iyi yer olmak- önemle tanınan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20</w:t>
      </w:r>
      <w:r>
        <w:rPr>
          <w:rFonts w:ascii="Verdana" w:hAnsi="Verdana"/>
          <w:color w:val="000000" w:themeColor="text1"/>
          <w:sz w:val="16"/>
          <w:szCs w:val="16"/>
          <w:lang w:val="tr-TR"/>
        </w:rPr>
        <w:t>21</w:t>
      </w:r>
      <w:r w:rsidRPr="00CA0A23">
        <w:rPr>
          <w:rFonts w:ascii="Verdana" w:hAnsi="Verdana"/>
          <w:color w:val="000000" w:themeColor="text1"/>
          <w:sz w:val="16"/>
          <w:szCs w:val="16"/>
          <w:lang w:val="tr-TR"/>
        </w:rPr>
        <w:t xml:space="preserve"> yılında, üst üste </w:t>
      </w:r>
      <w:r>
        <w:rPr>
          <w:rFonts w:ascii="Verdana" w:hAnsi="Verdana"/>
          <w:color w:val="000000" w:themeColor="text1"/>
          <w:sz w:val="16"/>
          <w:szCs w:val="16"/>
          <w:lang w:val="tr-TR"/>
        </w:rPr>
        <w:t>12’nci</w:t>
      </w:r>
      <w:r w:rsidRPr="00CA0A23">
        <w:rPr>
          <w:rFonts w:ascii="Verdana" w:hAnsi="Verdana"/>
          <w:color w:val="000000" w:themeColor="text1"/>
          <w:sz w:val="16"/>
          <w:szCs w:val="16"/>
          <w:lang w:val="tr-TR"/>
        </w:rPr>
        <w:t xml:space="preserve"> </w:t>
      </w:r>
      <w:r>
        <w:rPr>
          <w:rFonts w:ascii="Verdana" w:hAnsi="Verdana"/>
          <w:color w:val="000000" w:themeColor="text1"/>
          <w:sz w:val="16"/>
          <w:szCs w:val="16"/>
          <w:lang w:val="tr-TR"/>
        </w:rPr>
        <w:t>kez</w:t>
      </w:r>
      <w:r w:rsidRPr="00CA0A23">
        <w:rPr>
          <w:rFonts w:ascii="Verdana" w:hAnsi="Verdana"/>
          <w:color w:val="000000" w:themeColor="text1"/>
          <w:sz w:val="16"/>
          <w:szCs w:val="16"/>
          <w:lang w:val="tr-TR"/>
        </w:rPr>
        <w:t xml:space="preserve"> </w:t>
      </w:r>
      <w:r w:rsidRPr="00CA0A23">
        <w:rPr>
          <w:rFonts w:ascii="Verdana" w:eastAsia="Verdana" w:hAnsi="Verdana" w:cs="Verdana"/>
          <w:sz w:val="16"/>
          <w:szCs w:val="16"/>
          <w:lang w:val="tr-TR"/>
        </w:rPr>
        <w:t xml:space="preserve">Dünyanın En Etik Şirketlerinden biri seçilerek sektörünün en çok güvenilen ve beğenilen markası olduğunu kanıtlamıştır. </w:t>
      </w:r>
      <w:proofErr w:type="spellStart"/>
      <w:r w:rsidRPr="00CA0A23">
        <w:rPr>
          <w:rFonts w:ascii="Verdana" w:hAnsi="Verdana"/>
          <w:color w:val="000000" w:themeColor="text1"/>
          <w:sz w:val="16"/>
          <w:szCs w:val="16"/>
          <w:lang w:val="tr-TR"/>
        </w:rPr>
        <w:t>ManpowerGroup'un</w:t>
      </w:r>
      <w:proofErr w:type="spellEnd"/>
      <w:r w:rsidRPr="00CA0A23">
        <w:rPr>
          <w:rFonts w:ascii="Verdana" w:hAnsi="Verdana"/>
          <w:color w:val="000000" w:themeColor="text1"/>
          <w:sz w:val="16"/>
          <w:szCs w:val="16"/>
          <w:lang w:val="tr-TR"/>
        </w:rPr>
        <w:t xml:space="preserve"> geleceğe nasıl güç verdiğini görmek için: </w:t>
      </w:r>
      <w:hyperlink r:id="rId13" w:history="1">
        <w:r w:rsidRPr="00CA0A23">
          <w:rPr>
            <w:rStyle w:val="Kpr"/>
            <w:rFonts w:ascii="Verdana" w:hAnsi="Verdana"/>
            <w:color w:val="000000" w:themeColor="text1"/>
            <w:sz w:val="16"/>
            <w:szCs w:val="16"/>
            <w:lang w:val="tr-TR"/>
          </w:rPr>
          <w:t>www.manpowergroup.com</w:t>
        </w:r>
      </w:hyperlink>
    </w:p>
    <w:p w14:paraId="411406BE" w14:textId="77777777" w:rsidR="00E813AB" w:rsidRDefault="00E813AB" w:rsidP="00B800A3">
      <w:pPr>
        <w:tabs>
          <w:tab w:val="left" w:pos="1770"/>
        </w:tabs>
        <w:spacing w:line="360" w:lineRule="auto"/>
        <w:ind w:right="-1"/>
        <w:contextualSpacing/>
        <w:jc w:val="both"/>
        <w:rPr>
          <w:rFonts w:ascii="Verdana" w:hAnsi="Verdana" w:cs="Arial"/>
          <w:b/>
          <w:lang w:val="tr-TR"/>
        </w:rPr>
      </w:pPr>
    </w:p>
    <w:p w14:paraId="7D623FDB" w14:textId="77777777" w:rsidR="00433A07" w:rsidRDefault="00433A07" w:rsidP="00B800A3">
      <w:pPr>
        <w:tabs>
          <w:tab w:val="left" w:pos="1770"/>
        </w:tabs>
        <w:spacing w:line="360" w:lineRule="auto"/>
        <w:ind w:right="-1"/>
        <w:contextualSpacing/>
        <w:jc w:val="both"/>
        <w:rPr>
          <w:rFonts w:ascii="Verdana" w:hAnsi="Verdana" w:cs="Arial"/>
          <w:b/>
          <w:lang w:val="tr-TR"/>
        </w:rPr>
      </w:pPr>
    </w:p>
    <w:p w14:paraId="3D38A1F4" w14:textId="77777777" w:rsidR="00433A07" w:rsidRPr="00CA0A23" w:rsidRDefault="00433A07" w:rsidP="00B800A3">
      <w:pPr>
        <w:tabs>
          <w:tab w:val="left" w:pos="1770"/>
        </w:tabs>
        <w:spacing w:line="360" w:lineRule="auto"/>
        <w:ind w:right="-1"/>
        <w:contextualSpacing/>
        <w:jc w:val="both"/>
        <w:rPr>
          <w:rFonts w:ascii="Verdana" w:hAnsi="Verdana" w:cs="Arial"/>
          <w:b/>
          <w:lang w:val="tr-TR"/>
        </w:rPr>
      </w:pPr>
    </w:p>
    <w:p w14:paraId="7B93FE84" w14:textId="77777777" w:rsidR="00B800A3" w:rsidRPr="00CA0A23" w:rsidRDefault="00B800A3" w:rsidP="00AB2D06">
      <w:pPr>
        <w:jc w:val="both"/>
        <w:rPr>
          <w:color w:val="808080" w:themeColor="background1" w:themeShade="80"/>
          <w:lang w:val="tr-TR"/>
        </w:rPr>
      </w:pPr>
    </w:p>
    <w:sectPr w:rsidR="00B800A3" w:rsidRPr="00CA0A23" w:rsidSect="00DE3F3F">
      <w:headerReference w:type="default" r:id="rId14"/>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B0B2" w14:textId="77777777" w:rsidR="0053145F" w:rsidRDefault="0053145F">
      <w:r>
        <w:separator/>
      </w:r>
    </w:p>
  </w:endnote>
  <w:endnote w:type="continuationSeparator" w:id="0">
    <w:p w14:paraId="05AB4BFC" w14:textId="77777777" w:rsidR="0053145F" w:rsidRDefault="0053145F">
      <w:r>
        <w:continuationSeparator/>
      </w:r>
    </w:p>
  </w:endnote>
  <w:endnote w:type="continuationNotice" w:id="1">
    <w:p w14:paraId="577CC646" w14:textId="77777777" w:rsidR="0053145F" w:rsidRDefault="0053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7ADC" w14:textId="77777777" w:rsidR="0053145F" w:rsidRDefault="0053145F">
      <w:r>
        <w:separator/>
      </w:r>
    </w:p>
  </w:footnote>
  <w:footnote w:type="continuationSeparator" w:id="0">
    <w:p w14:paraId="4A62BB31" w14:textId="77777777" w:rsidR="0053145F" w:rsidRDefault="0053145F">
      <w:r>
        <w:continuationSeparator/>
      </w:r>
    </w:p>
  </w:footnote>
  <w:footnote w:type="continuationNotice" w:id="1">
    <w:p w14:paraId="40BFA2FA" w14:textId="77777777" w:rsidR="0053145F" w:rsidRDefault="0053145F"/>
  </w:footnote>
  <w:footnote w:id="2">
    <w:p w14:paraId="17BAFD54" w14:textId="77777777" w:rsidR="00E813AB" w:rsidRPr="00B800A3" w:rsidRDefault="00E813AB" w:rsidP="00E813AB">
      <w:pPr>
        <w:pStyle w:val="DipnotMetni"/>
        <w:rPr>
          <w:lang w:val="tr-TR"/>
        </w:rPr>
      </w:pPr>
      <w:r>
        <w:rPr>
          <w:rStyle w:val="DipnotBavurusu"/>
        </w:rPr>
        <w:footnoteRef/>
      </w:r>
      <w:r>
        <w:t xml:space="preserve"> </w:t>
      </w:r>
      <w:r>
        <w:rPr>
          <w:lang w:val="tr-TR"/>
        </w:rPr>
        <w:t>Mevsimsel Verilerden Arındırılmış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294" w14:textId="77777777" w:rsidR="000623A8" w:rsidRDefault="000623A8">
    <w:pPr>
      <w:pStyle w:val="stBilgi"/>
      <w:jc w:val="right"/>
    </w:pPr>
  </w:p>
  <w:p w14:paraId="30501324" w14:textId="77777777" w:rsidR="000623A8" w:rsidRDefault="000623A8">
    <w:pPr>
      <w:pStyle w:val="stBilgi"/>
      <w:jc w:val="right"/>
      <w:rPr>
        <w:rFonts w:ascii="Arial" w:hAnsi="Arial" w:cs="Arial"/>
      </w:rPr>
    </w:pPr>
  </w:p>
  <w:p w14:paraId="0AFB0AB9" w14:textId="77777777" w:rsidR="000623A8" w:rsidRDefault="000623A8">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34CD7"/>
    <w:multiLevelType w:val="hybridMultilevel"/>
    <w:tmpl w:val="1F0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97BCA"/>
    <w:multiLevelType w:val="hybridMultilevel"/>
    <w:tmpl w:val="98B83F16"/>
    <w:lvl w:ilvl="0" w:tplc="871E2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114575"/>
    <w:multiLevelType w:val="hybridMultilevel"/>
    <w:tmpl w:val="CDD29ECC"/>
    <w:lvl w:ilvl="0" w:tplc="97645ADC">
      <w:start w:val="1"/>
      <w:numFmt w:val="bullet"/>
      <w:lvlText w:val=""/>
      <w:lvlJc w:val="left"/>
      <w:pPr>
        <w:ind w:left="720" w:hanging="360"/>
      </w:pPr>
      <w:rPr>
        <w:rFonts w:ascii="Symbol" w:hAnsi="Symbol" w:hint="default"/>
      </w:rPr>
    </w:lvl>
    <w:lvl w:ilvl="1" w:tplc="1D18800C">
      <w:start w:val="1"/>
      <w:numFmt w:val="bullet"/>
      <w:lvlText w:val="o"/>
      <w:lvlJc w:val="left"/>
      <w:pPr>
        <w:ind w:left="1440" w:hanging="360"/>
      </w:pPr>
      <w:rPr>
        <w:rFonts w:ascii="Courier New" w:hAnsi="Courier New" w:hint="default"/>
      </w:rPr>
    </w:lvl>
    <w:lvl w:ilvl="2" w:tplc="EA36C318">
      <w:start w:val="1"/>
      <w:numFmt w:val="bullet"/>
      <w:lvlText w:val=""/>
      <w:lvlJc w:val="left"/>
      <w:pPr>
        <w:ind w:left="2160" w:hanging="360"/>
      </w:pPr>
      <w:rPr>
        <w:rFonts w:ascii="Wingdings" w:hAnsi="Wingdings" w:hint="default"/>
      </w:rPr>
    </w:lvl>
    <w:lvl w:ilvl="3" w:tplc="09848F86">
      <w:start w:val="1"/>
      <w:numFmt w:val="bullet"/>
      <w:lvlText w:val=""/>
      <w:lvlJc w:val="left"/>
      <w:pPr>
        <w:ind w:left="2880" w:hanging="360"/>
      </w:pPr>
      <w:rPr>
        <w:rFonts w:ascii="Symbol" w:hAnsi="Symbol" w:hint="default"/>
      </w:rPr>
    </w:lvl>
    <w:lvl w:ilvl="4" w:tplc="AE441C8E">
      <w:start w:val="1"/>
      <w:numFmt w:val="bullet"/>
      <w:lvlText w:val="o"/>
      <w:lvlJc w:val="left"/>
      <w:pPr>
        <w:ind w:left="3600" w:hanging="360"/>
      </w:pPr>
      <w:rPr>
        <w:rFonts w:ascii="Courier New" w:hAnsi="Courier New" w:hint="default"/>
      </w:rPr>
    </w:lvl>
    <w:lvl w:ilvl="5" w:tplc="D85CE7B6">
      <w:start w:val="1"/>
      <w:numFmt w:val="bullet"/>
      <w:lvlText w:val=""/>
      <w:lvlJc w:val="left"/>
      <w:pPr>
        <w:ind w:left="4320" w:hanging="360"/>
      </w:pPr>
      <w:rPr>
        <w:rFonts w:ascii="Wingdings" w:hAnsi="Wingdings" w:hint="default"/>
      </w:rPr>
    </w:lvl>
    <w:lvl w:ilvl="6" w:tplc="D9C2603E">
      <w:start w:val="1"/>
      <w:numFmt w:val="bullet"/>
      <w:lvlText w:val=""/>
      <w:lvlJc w:val="left"/>
      <w:pPr>
        <w:ind w:left="5040" w:hanging="360"/>
      </w:pPr>
      <w:rPr>
        <w:rFonts w:ascii="Symbol" w:hAnsi="Symbol" w:hint="default"/>
      </w:rPr>
    </w:lvl>
    <w:lvl w:ilvl="7" w:tplc="C40ECCB4">
      <w:start w:val="1"/>
      <w:numFmt w:val="bullet"/>
      <w:lvlText w:val="o"/>
      <w:lvlJc w:val="left"/>
      <w:pPr>
        <w:ind w:left="5760" w:hanging="360"/>
      </w:pPr>
      <w:rPr>
        <w:rFonts w:ascii="Courier New" w:hAnsi="Courier New" w:hint="default"/>
      </w:rPr>
    </w:lvl>
    <w:lvl w:ilvl="8" w:tplc="A8D22B2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69C"/>
    <w:rsid w:val="00005754"/>
    <w:rsid w:val="00010699"/>
    <w:rsid w:val="00014F0E"/>
    <w:rsid w:val="000165C2"/>
    <w:rsid w:val="00027BD2"/>
    <w:rsid w:val="000315EB"/>
    <w:rsid w:val="00033A4D"/>
    <w:rsid w:val="00033E96"/>
    <w:rsid w:val="000347F8"/>
    <w:rsid w:val="000349D9"/>
    <w:rsid w:val="00054926"/>
    <w:rsid w:val="00057C26"/>
    <w:rsid w:val="000623A8"/>
    <w:rsid w:val="00072139"/>
    <w:rsid w:val="000775F5"/>
    <w:rsid w:val="00096EEC"/>
    <w:rsid w:val="000B329F"/>
    <w:rsid w:val="000B464C"/>
    <w:rsid w:val="000C3880"/>
    <w:rsid w:val="000C7CB5"/>
    <w:rsid w:val="000E04D0"/>
    <w:rsid w:val="001030A8"/>
    <w:rsid w:val="00110C02"/>
    <w:rsid w:val="00120022"/>
    <w:rsid w:val="00133242"/>
    <w:rsid w:val="001347A2"/>
    <w:rsid w:val="00135E55"/>
    <w:rsid w:val="00144039"/>
    <w:rsid w:val="00150FAE"/>
    <w:rsid w:val="0016078C"/>
    <w:rsid w:val="001638B7"/>
    <w:rsid w:val="00166365"/>
    <w:rsid w:val="00172C4F"/>
    <w:rsid w:val="00177C9F"/>
    <w:rsid w:val="00191152"/>
    <w:rsid w:val="00195443"/>
    <w:rsid w:val="001A5C8B"/>
    <w:rsid w:val="001B0F30"/>
    <w:rsid w:val="001B6B8A"/>
    <w:rsid w:val="001C106A"/>
    <w:rsid w:val="001C42C5"/>
    <w:rsid w:val="001C5DA1"/>
    <w:rsid w:val="001C5E8A"/>
    <w:rsid w:val="001C7D96"/>
    <w:rsid w:val="001D03E0"/>
    <w:rsid w:val="001E4AE8"/>
    <w:rsid w:val="001E72AD"/>
    <w:rsid w:val="001F1199"/>
    <w:rsid w:val="001F3CD2"/>
    <w:rsid w:val="001F4E7B"/>
    <w:rsid w:val="001F57F2"/>
    <w:rsid w:val="001F78A2"/>
    <w:rsid w:val="00201B82"/>
    <w:rsid w:val="0021029A"/>
    <w:rsid w:val="00221124"/>
    <w:rsid w:val="00221CA1"/>
    <w:rsid w:val="0022575A"/>
    <w:rsid w:val="00225A64"/>
    <w:rsid w:val="0023159F"/>
    <w:rsid w:val="00231871"/>
    <w:rsid w:val="00235578"/>
    <w:rsid w:val="002411CB"/>
    <w:rsid w:val="00243E24"/>
    <w:rsid w:val="002528F9"/>
    <w:rsid w:val="00253F64"/>
    <w:rsid w:val="00266D67"/>
    <w:rsid w:val="002714E3"/>
    <w:rsid w:val="002718B7"/>
    <w:rsid w:val="002742B4"/>
    <w:rsid w:val="002926AE"/>
    <w:rsid w:val="002B7AC9"/>
    <w:rsid w:val="002C13C6"/>
    <w:rsid w:val="002C2C16"/>
    <w:rsid w:val="002C33A1"/>
    <w:rsid w:val="002D0D8E"/>
    <w:rsid w:val="002D18BE"/>
    <w:rsid w:val="002D5FBD"/>
    <w:rsid w:val="002D669C"/>
    <w:rsid w:val="002D7A16"/>
    <w:rsid w:val="002E2FC2"/>
    <w:rsid w:val="002F158C"/>
    <w:rsid w:val="002F4DF5"/>
    <w:rsid w:val="002F5A86"/>
    <w:rsid w:val="00300631"/>
    <w:rsid w:val="003057AB"/>
    <w:rsid w:val="00307A06"/>
    <w:rsid w:val="003124EB"/>
    <w:rsid w:val="00313A5B"/>
    <w:rsid w:val="00323EC9"/>
    <w:rsid w:val="00325183"/>
    <w:rsid w:val="003268BE"/>
    <w:rsid w:val="0032754E"/>
    <w:rsid w:val="003319B6"/>
    <w:rsid w:val="00331D5E"/>
    <w:rsid w:val="003361CA"/>
    <w:rsid w:val="00336E10"/>
    <w:rsid w:val="0033717A"/>
    <w:rsid w:val="00353BF0"/>
    <w:rsid w:val="00355226"/>
    <w:rsid w:val="00355CAC"/>
    <w:rsid w:val="00357B22"/>
    <w:rsid w:val="00363E43"/>
    <w:rsid w:val="00363EE0"/>
    <w:rsid w:val="00370320"/>
    <w:rsid w:val="0037043C"/>
    <w:rsid w:val="00374D44"/>
    <w:rsid w:val="0037541D"/>
    <w:rsid w:val="00382AF8"/>
    <w:rsid w:val="00385368"/>
    <w:rsid w:val="00393E84"/>
    <w:rsid w:val="00396463"/>
    <w:rsid w:val="003A7712"/>
    <w:rsid w:val="003B01C7"/>
    <w:rsid w:val="003B0F59"/>
    <w:rsid w:val="003B3F3E"/>
    <w:rsid w:val="003B5445"/>
    <w:rsid w:val="003B59D1"/>
    <w:rsid w:val="003B5D65"/>
    <w:rsid w:val="003C011C"/>
    <w:rsid w:val="003C4422"/>
    <w:rsid w:val="003C454D"/>
    <w:rsid w:val="003C5613"/>
    <w:rsid w:val="003D32AA"/>
    <w:rsid w:val="003D3E08"/>
    <w:rsid w:val="003D69D3"/>
    <w:rsid w:val="003E1884"/>
    <w:rsid w:val="003E18F3"/>
    <w:rsid w:val="003E4615"/>
    <w:rsid w:val="003E74FD"/>
    <w:rsid w:val="003F59D3"/>
    <w:rsid w:val="0040127A"/>
    <w:rsid w:val="00401FA3"/>
    <w:rsid w:val="0040669A"/>
    <w:rsid w:val="00407ABE"/>
    <w:rsid w:val="00412BD2"/>
    <w:rsid w:val="00423D05"/>
    <w:rsid w:val="00424FC5"/>
    <w:rsid w:val="00431B78"/>
    <w:rsid w:val="00433A07"/>
    <w:rsid w:val="004353CA"/>
    <w:rsid w:val="00444F90"/>
    <w:rsid w:val="00450DC1"/>
    <w:rsid w:val="004515C1"/>
    <w:rsid w:val="00454B9F"/>
    <w:rsid w:val="0045756F"/>
    <w:rsid w:val="00470A70"/>
    <w:rsid w:val="00480F53"/>
    <w:rsid w:val="00485BA8"/>
    <w:rsid w:val="004931BE"/>
    <w:rsid w:val="00494C2F"/>
    <w:rsid w:val="004961DF"/>
    <w:rsid w:val="004B2167"/>
    <w:rsid w:val="004B2A5E"/>
    <w:rsid w:val="004C2FDE"/>
    <w:rsid w:val="004C6E65"/>
    <w:rsid w:val="004D497F"/>
    <w:rsid w:val="004D66B8"/>
    <w:rsid w:val="004E667C"/>
    <w:rsid w:val="004F1CBC"/>
    <w:rsid w:val="004F633D"/>
    <w:rsid w:val="004F6420"/>
    <w:rsid w:val="00502C26"/>
    <w:rsid w:val="00505840"/>
    <w:rsid w:val="00512FDF"/>
    <w:rsid w:val="005208C7"/>
    <w:rsid w:val="005236E8"/>
    <w:rsid w:val="0053145F"/>
    <w:rsid w:val="00531BA2"/>
    <w:rsid w:val="00532BE1"/>
    <w:rsid w:val="005355E6"/>
    <w:rsid w:val="00541052"/>
    <w:rsid w:val="005506E2"/>
    <w:rsid w:val="0055260B"/>
    <w:rsid w:val="00552FAB"/>
    <w:rsid w:val="005569CB"/>
    <w:rsid w:val="00556A8E"/>
    <w:rsid w:val="00557BF5"/>
    <w:rsid w:val="00561362"/>
    <w:rsid w:val="005636B9"/>
    <w:rsid w:val="0056697B"/>
    <w:rsid w:val="0057385C"/>
    <w:rsid w:val="005876A5"/>
    <w:rsid w:val="00587AB6"/>
    <w:rsid w:val="00590210"/>
    <w:rsid w:val="00594C73"/>
    <w:rsid w:val="005951BC"/>
    <w:rsid w:val="00596003"/>
    <w:rsid w:val="005A15E0"/>
    <w:rsid w:val="005A62A2"/>
    <w:rsid w:val="005B1A8B"/>
    <w:rsid w:val="005B2393"/>
    <w:rsid w:val="005C4DD4"/>
    <w:rsid w:val="005C6534"/>
    <w:rsid w:val="005C6773"/>
    <w:rsid w:val="005D2113"/>
    <w:rsid w:val="005E5264"/>
    <w:rsid w:val="005E6032"/>
    <w:rsid w:val="005E7724"/>
    <w:rsid w:val="005F0350"/>
    <w:rsid w:val="005F19DA"/>
    <w:rsid w:val="005F5C3F"/>
    <w:rsid w:val="00601FA7"/>
    <w:rsid w:val="00603501"/>
    <w:rsid w:val="0060698A"/>
    <w:rsid w:val="00606B65"/>
    <w:rsid w:val="00613FA5"/>
    <w:rsid w:val="00620E1C"/>
    <w:rsid w:val="0062122F"/>
    <w:rsid w:val="006252D4"/>
    <w:rsid w:val="00640C03"/>
    <w:rsid w:val="006457FF"/>
    <w:rsid w:val="00653106"/>
    <w:rsid w:val="00653D26"/>
    <w:rsid w:val="00655C9F"/>
    <w:rsid w:val="0065698D"/>
    <w:rsid w:val="00660E03"/>
    <w:rsid w:val="006635E7"/>
    <w:rsid w:val="0066750C"/>
    <w:rsid w:val="0066789B"/>
    <w:rsid w:val="006710AC"/>
    <w:rsid w:val="00694BA0"/>
    <w:rsid w:val="006B6DC3"/>
    <w:rsid w:val="006B75CE"/>
    <w:rsid w:val="006C1EF2"/>
    <w:rsid w:val="006D00D0"/>
    <w:rsid w:val="006E44AF"/>
    <w:rsid w:val="006E70CF"/>
    <w:rsid w:val="006F3962"/>
    <w:rsid w:val="00704B0B"/>
    <w:rsid w:val="00713302"/>
    <w:rsid w:val="007224D7"/>
    <w:rsid w:val="00726262"/>
    <w:rsid w:val="0073003F"/>
    <w:rsid w:val="007328E4"/>
    <w:rsid w:val="00734B6A"/>
    <w:rsid w:val="00735528"/>
    <w:rsid w:val="00736281"/>
    <w:rsid w:val="00750849"/>
    <w:rsid w:val="00751534"/>
    <w:rsid w:val="007579DC"/>
    <w:rsid w:val="00757F0A"/>
    <w:rsid w:val="00761514"/>
    <w:rsid w:val="00763438"/>
    <w:rsid w:val="00774461"/>
    <w:rsid w:val="007856B8"/>
    <w:rsid w:val="00785D3D"/>
    <w:rsid w:val="00795E11"/>
    <w:rsid w:val="0079640F"/>
    <w:rsid w:val="007A2E15"/>
    <w:rsid w:val="007A49D3"/>
    <w:rsid w:val="007B16E1"/>
    <w:rsid w:val="007B26C9"/>
    <w:rsid w:val="007B2BAA"/>
    <w:rsid w:val="007B3BFF"/>
    <w:rsid w:val="007B3DF5"/>
    <w:rsid w:val="007B54D2"/>
    <w:rsid w:val="007C1240"/>
    <w:rsid w:val="007C2E5F"/>
    <w:rsid w:val="007C771A"/>
    <w:rsid w:val="007D0816"/>
    <w:rsid w:val="007D147E"/>
    <w:rsid w:val="007D7566"/>
    <w:rsid w:val="007E2B0A"/>
    <w:rsid w:val="007E561E"/>
    <w:rsid w:val="007E7A8B"/>
    <w:rsid w:val="007F1075"/>
    <w:rsid w:val="007F26EA"/>
    <w:rsid w:val="007F3F21"/>
    <w:rsid w:val="007F4058"/>
    <w:rsid w:val="0080293D"/>
    <w:rsid w:val="00802B25"/>
    <w:rsid w:val="008150FE"/>
    <w:rsid w:val="00817238"/>
    <w:rsid w:val="00823DF4"/>
    <w:rsid w:val="00824274"/>
    <w:rsid w:val="008337BF"/>
    <w:rsid w:val="008353C8"/>
    <w:rsid w:val="008415C7"/>
    <w:rsid w:val="00844BD5"/>
    <w:rsid w:val="00845337"/>
    <w:rsid w:val="00845496"/>
    <w:rsid w:val="0085108E"/>
    <w:rsid w:val="00854CDF"/>
    <w:rsid w:val="0086152F"/>
    <w:rsid w:val="00863B47"/>
    <w:rsid w:val="00875CD0"/>
    <w:rsid w:val="00876172"/>
    <w:rsid w:val="008941B2"/>
    <w:rsid w:val="008947D8"/>
    <w:rsid w:val="008A2878"/>
    <w:rsid w:val="008A649A"/>
    <w:rsid w:val="008D386B"/>
    <w:rsid w:val="008D71B5"/>
    <w:rsid w:val="008F3991"/>
    <w:rsid w:val="008F5B44"/>
    <w:rsid w:val="008F6292"/>
    <w:rsid w:val="00904E98"/>
    <w:rsid w:val="00911C1B"/>
    <w:rsid w:val="00911CE6"/>
    <w:rsid w:val="00913354"/>
    <w:rsid w:val="0091583B"/>
    <w:rsid w:val="00916437"/>
    <w:rsid w:val="00917B13"/>
    <w:rsid w:val="00922C5C"/>
    <w:rsid w:val="009316B0"/>
    <w:rsid w:val="00932BB9"/>
    <w:rsid w:val="009364C7"/>
    <w:rsid w:val="00941C09"/>
    <w:rsid w:val="00951E62"/>
    <w:rsid w:val="00952982"/>
    <w:rsid w:val="00952EE6"/>
    <w:rsid w:val="009553E7"/>
    <w:rsid w:val="00970A64"/>
    <w:rsid w:val="00985900"/>
    <w:rsid w:val="00991281"/>
    <w:rsid w:val="009A2180"/>
    <w:rsid w:val="009A2A3A"/>
    <w:rsid w:val="009A6A70"/>
    <w:rsid w:val="009C3EEF"/>
    <w:rsid w:val="009C5011"/>
    <w:rsid w:val="009D086D"/>
    <w:rsid w:val="009D1590"/>
    <w:rsid w:val="009D2A23"/>
    <w:rsid w:val="009D4ED3"/>
    <w:rsid w:val="009D6CA5"/>
    <w:rsid w:val="009D6D1B"/>
    <w:rsid w:val="009D70B5"/>
    <w:rsid w:val="009E0A36"/>
    <w:rsid w:val="009F11BF"/>
    <w:rsid w:val="009F426D"/>
    <w:rsid w:val="009F455C"/>
    <w:rsid w:val="009F71A1"/>
    <w:rsid w:val="00A02E3B"/>
    <w:rsid w:val="00A10176"/>
    <w:rsid w:val="00A13F29"/>
    <w:rsid w:val="00A14976"/>
    <w:rsid w:val="00A160BD"/>
    <w:rsid w:val="00A16357"/>
    <w:rsid w:val="00A36D99"/>
    <w:rsid w:val="00A43E87"/>
    <w:rsid w:val="00A4475B"/>
    <w:rsid w:val="00A455F8"/>
    <w:rsid w:val="00A46084"/>
    <w:rsid w:val="00A47F56"/>
    <w:rsid w:val="00A52313"/>
    <w:rsid w:val="00A5317B"/>
    <w:rsid w:val="00A56D25"/>
    <w:rsid w:val="00A715D2"/>
    <w:rsid w:val="00A759C5"/>
    <w:rsid w:val="00A76101"/>
    <w:rsid w:val="00A90D00"/>
    <w:rsid w:val="00A92329"/>
    <w:rsid w:val="00A940FF"/>
    <w:rsid w:val="00A96859"/>
    <w:rsid w:val="00AB1FB9"/>
    <w:rsid w:val="00AB2D06"/>
    <w:rsid w:val="00AB3EC1"/>
    <w:rsid w:val="00AB57A2"/>
    <w:rsid w:val="00AD09DF"/>
    <w:rsid w:val="00AD1E25"/>
    <w:rsid w:val="00AD6747"/>
    <w:rsid w:val="00AD6A90"/>
    <w:rsid w:val="00AE4E90"/>
    <w:rsid w:val="00AF3DBF"/>
    <w:rsid w:val="00B039BC"/>
    <w:rsid w:val="00B06D89"/>
    <w:rsid w:val="00B1101E"/>
    <w:rsid w:val="00B1225B"/>
    <w:rsid w:val="00B13BBA"/>
    <w:rsid w:val="00B2030B"/>
    <w:rsid w:val="00B24DB5"/>
    <w:rsid w:val="00B27FA8"/>
    <w:rsid w:val="00B30E3C"/>
    <w:rsid w:val="00B41A60"/>
    <w:rsid w:val="00B43290"/>
    <w:rsid w:val="00B6090A"/>
    <w:rsid w:val="00B72621"/>
    <w:rsid w:val="00B756B1"/>
    <w:rsid w:val="00B800A3"/>
    <w:rsid w:val="00B92229"/>
    <w:rsid w:val="00BA65CE"/>
    <w:rsid w:val="00BA6722"/>
    <w:rsid w:val="00BB0916"/>
    <w:rsid w:val="00BB7738"/>
    <w:rsid w:val="00BC2402"/>
    <w:rsid w:val="00BD281D"/>
    <w:rsid w:val="00BD6D5C"/>
    <w:rsid w:val="00BD6E91"/>
    <w:rsid w:val="00BD7583"/>
    <w:rsid w:val="00BE1C27"/>
    <w:rsid w:val="00BE7E0A"/>
    <w:rsid w:val="00BF38FC"/>
    <w:rsid w:val="00C00602"/>
    <w:rsid w:val="00C02F33"/>
    <w:rsid w:val="00C067A5"/>
    <w:rsid w:val="00C06A7D"/>
    <w:rsid w:val="00C06D06"/>
    <w:rsid w:val="00C215DD"/>
    <w:rsid w:val="00C24271"/>
    <w:rsid w:val="00C436C4"/>
    <w:rsid w:val="00C47FB0"/>
    <w:rsid w:val="00C63C2C"/>
    <w:rsid w:val="00C75DFA"/>
    <w:rsid w:val="00C834EA"/>
    <w:rsid w:val="00C87C71"/>
    <w:rsid w:val="00C93D13"/>
    <w:rsid w:val="00CA0A23"/>
    <w:rsid w:val="00CA743B"/>
    <w:rsid w:val="00CB2FC4"/>
    <w:rsid w:val="00CB7D7F"/>
    <w:rsid w:val="00CC3D5F"/>
    <w:rsid w:val="00CD20D4"/>
    <w:rsid w:val="00CD412E"/>
    <w:rsid w:val="00CD5F62"/>
    <w:rsid w:val="00CE68B4"/>
    <w:rsid w:val="00CF2806"/>
    <w:rsid w:val="00D01A9D"/>
    <w:rsid w:val="00D05909"/>
    <w:rsid w:val="00D05C21"/>
    <w:rsid w:val="00D06DE6"/>
    <w:rsid w:val="00D12E1B"/>
    <w:rsid w:val="00D154AD"/>
    <w:rsid w:val="00D2276D"/>
    <w:rsid w:val="00D47649"/>
    <w:rsid w:val="00D5065D"/>
    <w:rsid w:val="00D515AD"/>
    <w:rsid w:val="00D57141"/>
    <w:rsid w:val="00D57166"/>
    <w:rsid w:val="00D600F7"/>
    <w:rsid w:val="00D67E69"/>
    <w:rsid w:val="00D71205"/>
    <w:rsid w:val="00D719B1"/>
    <w:rsid w:val="00D72036"/>
    <w:rsid w:val="00D7406E"/>
    <w:rsid w:val="00D7610E"/>
    <w:rsid w:val="00D830F8"/>
    <w:rsid w:val="00D849BE"/>
    <w:rsid w:val="00D84CF3"/>
    <w:rsid w:val="00D92E4C"/>
    <w:rsid w:val="00D94440"/>
    <w:rsid w:val="00D96B82"/>
    <w:rsid w:val="00DA0494"/>
    <w:rsid w:val="00DA27D1"/>
    <w:rsid w:val="00DA56CA"/>
    <w:rsid w:val="00DB2A1B"/>
    <w:rsid w:val="00DB2A94"/>
    <w:rsid w:val="00DB3B4C"/>
    <w:rsid w:val="00DB4BFC"/>
    <w:rsid w:val="00DB663C"/>
    <w:rsid w:val="00DC363A"/>
    <w:rsid w:val="00DC39DC"/>
    <w:rsid w:val="00DC3A99"/>
    <w:rsid w:val="00DD1E33"/>
    <w:rsid w:val="00DD4A4F"/>
    <w:rsid w:val="00DD57AF"/>
    <w:rsid w:val="00DE2E6F"/>
    <w:rsid w:val="00DE3F3F"/>
    <w:rsid w:val="00DE6FFB"/>
    <w:rsid w:val="00DF40E2"/>
    <w:rsid w:val="00DF52D5"/>
    <w:rsid w:val="00DF6437"/>
    <w:rsid w:val="00E038D6"/>
    <w:rsid w:val="00E158ED"/>
    <w:rsid w:val="00E171EE"/>
    <w:rsid w:val="00E24F93"/>
    <w:rsid w:val="00E253EE"/>
    <w:rsid w:val="00E26BBD"/>
    <w:rsid w:val="00E279FA"/>
    <w:rsid w:val="00E3452A"/>
    <w:rsid w:val="00E4356E"/>
    <w:rsid w:val="00E45505"/>
    <w:rsid w:val="00E73ACF"/>
    <w:rsid w:val="00E74E61"/>
    <w:rsid w:val="00E751F2"/>
    <w:rsid w:val="00E813AB"/>
    <w:rsid w:val="00E83034"/>
    <w:rsid w:val="00E85B79"/>
    <w:rsid w:val="00E93C18"/>
    <w:rsid w:val="00EA0C8B"/>
    <w:rsid w:val="00EA0DC6"/>
    <w:rsid w:val="00EA16B7"/>
    <w:rsid w:val="00EA37CB"/>
    <w:rsid w:val="00EA591B"/>
    <w:rsid w:val="00EA759D"/>
    <w:rsid w:val="00EB042F"/>
    <w:rsid w:val="00EB6BB9"/>
    <w:rsid w:val="00EC581C"/>
    <w:rsid w:val="00ED2F83"/>
    <w:rsid w:val="00ED349C"/>
    <w:rsid w:val="00ED5470"/>
    <w:rsid w:val="00EE00C5"/>
    <w:rsid w:val="00EE0E9B"/>
    <w:rsid w:val="00EE13E0"/>
    <w:rsid w:val="00EE2887"/>
    <w:rsid w:val="00EE2E87"/>
    <w:rsid w:val="00EE7CC9"/>
    <w:rsid w:val="00EF0D02"/>
    <w:rsid w:val="00EF3C7F"/>
    <w:rsid w:val="00F006D9"/>
    <w:rsid w:val="00F03160"/>
    <w:rsid w:val="00F10043"/>
    <w:rsid w:val="00F11A02"/>
    <w:rsid w:val="00F12E71"/>
    <w:rsid w:val="00F14A10"/>
    <w:rsid w:val="00F26D9F"/>
    <w:rsid w:val="00F41817"/>
    <w:rsid w:val="00F42380"/>
    <w:rsid w:val="00F55689"/>
    <w:rsid w:val="00F61A92"/>
    <w:rsid w:val="00F65DAC"/>
    <w:rsid w:val="00F94971"/>
    <w:rsid w:val="00F96983"/>
    <w:rsid w:val="00FA3F02"/>
    <w:rsid w:val="00FD1E5C"/>
    <w:rsid w:val="00FD3242"/>
    <w:rsid w:val="00FD4407"/>
    <w:rsid w:val="00FD77C5"/>
    <w:rsid w:val="00FE299F"/>
    <w:rsid w:val="00FE4895"/>
    <w:rsid w:val="00FF6246"/>
    <w:rsid w:val="00FF7A06"/>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A43018E6-3AD0-4BEE-9B3D-5D69EE5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unhideWhenUsed/>
    <w:rsid w:val="0085108E"/>
  </w:style>
  <w:style w:type="character" w:customStyle="1" w:styleId="AklamaMetniChar">
    <w:name w:val="Açıklama Metni Char"/>
    <w:basedOn w:val="VarsaylanParagrafYazTipi"/>
    <w:link w:val="AklamaMetni"/>
    <w:uiPriority w:val="99"/>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unhideWhenUsed/>
    <w:rsid w:val="00B800A3"/>
    <w:rPr>
      <w:color w:val="0563C1" w:themeColor="hyperlink"/>
      <w:u w:val="single"/>
    </w:rPr>
  </w:style>
  <w:style w:type="paragraph" w:styleId="AltBilgi">
    <w:name w:val="footer"/>
    <w:basedOn w:val="Normal"/>
    <w:link w:val="AltBilgiChar"/>
    <w:uiPriority w:val="99"/>
    <w:unhideWhenUsed/>
    <w:rsid w:val="0085108E"/>
    <w:pPr>
      <w:tabs>
        <w:tab w:val="center" w:pos="4680"/>
        <w:tab w:val="right" w:pos="9360"/>
      </w:tabs>
    </w:pPr>
  </w:style>
  <w:style w:type="character" w:customStyle="1" w:styleId="AltBilgiChar">
    <w:name w:val="Alt Bilgi Char"/>
    <w:basedOn w:val="VarsaylanParagrafYazTipi"/>
    <w:link w:val="AltBilgi"/>
    <w:uiPriority w:val="99"/>
    <w:rsid w:val="0085108E"/>
    <w:rPr>
      <w:rFonts w:ascii="Times New Roman" w:eastAsia="Times New Roman" w:hAnsi="Times New Roman" w:cs="Times New Roman"/>
      <w:sz w:val="20"/>
      <w:szCs w:val="20"/>
      <w:lang w:val="en-US"/>
    </w:rPr>
  </w:style>
  <w:style w:type="paragraph" w:styleId="Dzeltme">
    <w:name w:val="Revision"/>
    <w:hidden/>
    <w:uiPriority w:val="99"/>
    <w:semiHidden/>
    <w:rsid w:val="0085108E"/>
    <w:rPr>
      <w:rFonts w:ascii="Times New Roman" w:eastAsia="Times New Roman" w:hAnsi="Times New Roman" w:cs="Times New Roman"/>
      <w:sz w:val="20"/>
      <w:szCs w:val="20"/>
      <w:lang w:val="en-US"/>
    </w:rPr>
  </w:style>
  <w:style w:type="character" w:customStyle="1" w:styleId="zmlenmeyenBahsetme1">
    <w:name w:val="Çözümlenmeyen Bahsetme1"/>
    <w:basedOn w:val="VarsaylanParagrafYazTipi"/>
    <w:uiPriority w:val="99"/>
    <w:semiHidden/>
    <w:unhideWhenUsed/>
    <w:rsid w:val="00655C9F"/>
    <w:rPr>
      <w:color w:val="605E5C"/>
      <w:shd w:val="clear" w:color="auto" w:fill="E1DFDD"/>
    </w:rPr>
  </w:style>
  <w:style w:type="character" w:customStyle="1" w:styleId="apple-converted-space">
    <w:name w:val="apple-converted-space"/>
    <w:basedOn w:val="VarsaylanParagrafYazTipi"/>
    <w:rsid w:val="006D00D0"/>
  </w:style>
  <w:style w:type="character" w:styleId="Gl">
    <w:name w:val="Strong"/>
    <w:basedOn w:val="VarsaylanParagrafYazTipi"/>
    <w:uiPriority w:val="22"/>
    <w:qFormat/>
    <w:rsid w:val="00433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832">
      <w:bodyDiv w:val="1"/>
      <w:marLeft w:val="0"/>
      <w:marRight w:val="0"/>
      <w:marTop w:val="0"/>
      <w:marBottom w:val="0"/>
      <w:divBdr>
        <w:top w:val="none" w:sz="0" w:space="0" w:color="auto"/>
        <w:left w:val="none" w:sz="0" w:space="0" w:color="auto"/>
        <w:bottom w:val="none" w:sz="0" w:space="0" w:color="auto"/>
        <w:right w:val="none" w:sz="0" w:space="0" w:color="auto"/>
      </w:divBdr>
    </w:div>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184751528">
      <w:bodyDiv w:val="1"/>
      <w:marLeft w:val="0"/>
      <w:marRight w:val="0"/>
      <w:marTop w:val="0"/>
      <w:marBottom w:val="0"/>
      <w:divBdr>
        <w:top w:val="none" w:sz="0" w:space="0" w:color="auto"/>
        <w:left w:val="none" w:sz="0" w:space="0" w:color="auto"/>
        <w:bottom w:val="none" w:sz="0" w:space="0" w:color="auto"/>
        <w:right w:val="none" w:sz="0" w:space="0" w:color="auto"/>
      </w:divBdr>
    </w:div>
    <w:div w:id="283732601">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373817960">
      <w:bodyDiv w:val="1"/>
      <w:marLeft w:val="0"/>
      <w:marRight w:val="0"/>
      <w:marTop w:val="0"/>
      <w:marBottom w:val="0"/>
      <w:divBdr>
        <w:top w:val="none" w:sz="0" w:space="0" w:color="auto"/>
        <w:left w:val="none" w:sz="0" w:space="0" w:color="auto"/>
        <w:bottom w:val="none" w:sz="0" w:space="0" w:color="auto"/>
        <w:right w:val="none" w:sz="0" w:space="0" w:color="auto"/>
      </w:divBdr>
    </w:div>
    <w:div w:id="539245713">
      <w:bodyDiv w:val="1"/>
      <w:marLeft w:val="0"/>
      <w:marRight w:val="0"/>
      <w:marTop w:val="0"/>
      <w:marBottom w:val="0"/>
      <w:divBdr>
        <w:top w:val="none" w:sz="0" w:space="0" w:color="auto"/>
        <w:left w:val="none" w:sz="0" w:space="0" w:color="auto"/>
        <w:bottom w:val="none" w:sz="0" w:space="0" w:color="auto"/>
        <w:right w:val="none" w:sz="0" w:space="0" w:color="auto"/>
      </w:divBdr>
    </w:div>
    <w:div w:id="617758043">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798839585">
      <w:bodyDiv w:val="1"/>
      <w:marLeft w:val="0"/>
      <w:marRight w:val="0"/>
      <w:marTop w:val="0"/>
      <w:marBottom w:val="0"/>
      <w:divBdr>
        <w:top w:val="none" w:sz="0" w:space="0" w:color="auto"/>
        <w:left w:val="none" w:sz="0" w:space="0" w:color="auto"/>
        <w:bottom w:val="none" w:sz="0" w:space="0" w:color="auto"/>
        <w:right w:val="none" w:sz="0" w:space="0" w:color="auto"/>
      </w:divBdr>
    </w:div>
    <w:div w:id="101549925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115250819">
      <w:bodyDiv w:val="1"/>
      <w:marLeft w:val="0"/>
      <w:marRight w:val="0"/>
      <w:marTop w:val="0"/>
      <w:marBottom w:val="0"/>
      <w:divBdr>
        <w:top w:val="none" w:sz="0" w:space="0" w:color="auto"/>
        <w:left w:val="none" w:sz="0" w:space="0" w:color="auto"/>
        <w:bottom w:val="none" w:sz="0" w:space="0" w:color="auto"/>
        <w:right w:val="none" w:sz="0" w:space="0" w:color="auto"/>
      </w:divBdr>
    </w:div>
    <w:div w:id="1193574051">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388141893">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669290222">
      <w:bodyDiv w:val="1"/>
      <w:marLeft w:val="0"/>
      <w:marRight w:val="0"/>
      <w:marTop w:val="0"/>
      <w:marBottom w:val="0"/>
      <w:divBdr>
        <w:top w:val="none" w:sz="0" w:space="0" w:color="auto"/>
        <w:left w:val="none" w:sz="0" w:space="0" w:color="auto"/>
        <w:bottom w:val="none" w:sz="0" w:space="0" w:color="auto"/>
        <w:right w:val="none" w:sz="0" w:space="0" w:color="auto"/>
      </w:divBdr>
    </w:div>
    <w:div w:id="1725134747">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65627429">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 w:id="200339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lann@marjinal.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com/M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D46AD289-F7E4-6544-8A96-6CAB35152AF7}">
  <ds:schemaRefs>
    <ds:schemaRef ds:uri="http://schemas.openxmlformats.org/officeDocument/2006/bibliography"/>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091E9B88-76EA-4617-BA54-46A5B339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1310</Words>
  <Characters>7468</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Onder Kalkanci</cp:lastModifiedBy>
  <cp:revision>20</cp:revision>
  <cp:lastPrinted>2020-02-28T13:38:00Z</cp:lastPrinted>
  <dcterms:created xsi:type="dcterms:W3CDTF">2020-12-23T10:13:00Z</dcterms:created>
  <dcterms:modified xsi:type="dcterms:W3CDTF">2021-06-29T08:20:00Z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