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07CA" w14:textId="77777777" w:rsidR="00BA053C" w:rsidRPr="003C79F7" w:rsidRDefault="00BA053C" w:rsidP="007E0F1F">
      <w:pPr>
        <w:spacing w:line="360" w:lineRule="auto"/>
        <w:jc w:val="center"/>
        <w:rPr>
          <w:rFonts w:ascii="Verdana" w:hAnsi="Verdana"/>
          <w:b/>
          <w:bCs/>
          <w:sz w:val="28"/>
          <w:szCs w:val="28"/>
          <w:lang w:val="tr-TR"/>
        </w:rPr>
      </w:pPr>
    </w:p>
    <w:p w14:paraId="38875907" w14:textId="77777777" w:rsidR="00E14DA5" w:rsidRDefault="00E14DA5" w:rsidP="00E14DA5">
      <w:pPr>
        <w:spacing w:line="360" w:lineRule="auto"/>
        <w:rPr>
          <w:rFonts w:ascii="Verdana" w:hAnsi="Verdana"/>
          <w:b/>
          <w:bCs/>
          <w:sz w:val="32"/>
          <w:szCs w:val="32"/>
          <w:u w:val="single"/>
        </w:rPr>
      </w:pPr>
      <w:r>
        <w:rPr>
          <w:rFonts w:ascii="Verdana" w:hAnsi="Verdana"/>
          <w:b/>
          <w:bCs/>
          <w:sz w:val="32"/>
          <w:szCs w:val="32"/>
          <w:u w:val="single"/>
        </w:rPr>
        <w:t>BASIN BÜLTENİ</w:t>
      </w:r>
    </w:p>
    <w:p w14:paraId="128C563A" w14:textId="77777777" w:rsidR="00E14DA5" w:rsidRDefault="00E14DA5" w:rsidP="00446E8A">
      <w:pPr>
        <w:pStyle w:val="KonuBal"/>
        <w:spacing w:line="360" w:lineRule="auto"/>
        <w:jc w:val="center"/>
        <w:rPr>
          <w:rStyle w:val="normaltextrun"/>
          <w:rFonts w:ascii="Verdana" w:hAnsi="Verdana" w:cs="Segoe UI"/>
          <w:b/>
          <w:bCs/>
          <w:sz w:val="28"/>
          <w:szCs w:val="28"/>
        </w:rPr>
      </w:pPr>
    </w:p>
    <w:p w14:paraId="2207412A" w14:textId="0767527F" w:rsidR="007A033F" w:rsidRDefault="007A033F" w:rsidP="007A033F">
      <w:pPr>
        <w:pStyle w:val="KonuBal"/>
        <w:spacing w:line="360" w:lineRule="auto"/>
        <w:jc w:val="center"/>
        <w:rPr>
          <w:rStyle w:val="normaltextrun"/>
          <w:rFonts w:ascii="Verdana" w:hAnsi="Verdana" w:cs="Segoe UI"/>
          <w:b/>
          <w:bCs/>
          <w:sz w:val="28"/>
          <w:szCs w:val="28"/>
        </w:rPr>
      </w:pPr>
      <w:r w:rsidRPr="449C25A2">
        <w:rPr>
          <w:rStyle w:val="normaltextrun"/>
          <w:rFonts w:ascii="Verdana" w:hAnsi="Verdana" w:cs="Segoe UI"/>
          <w:b/>
          <w:bCs/>
          <w:sz w:val="28"/>
          <w:szCs w:val="28"/>
        </w:rPr>
        <w:t>Mobilexpress’ten sigorta sektörüne güvenlik uyarısı</w:t>
      </w:r>
    </w:p>
    <w:p w14:paraId="21D491AE" w14:textId="77777777" w:rsidR="007A033F" w:rsidRPr="007A033F" w:rsidRDefault="007A033F" w:rsidP="007A033F">
      <w:pPr>
        <w:rPr>
          <w:lang w:val="tr-TR"/>
        </w:rPr>
      </w:pPr>
    </w:p>
    <w:p w14:paraId="0B5BA22E" w14:textId="164C79F8" w:rsidR="007A033F" w:rsidRPr="007A033F" w:rsidRDefault="007A033F" w:rsidP="007A033F">
      <w:pPr>
        <w:pStyle w:val="paragraph"/>
        <w:spacing w:before="0" w:beforeAutospacing="0" w:after="0" w:afterAutospacing="0" w:line="360" w:lineRule="auto"/>
        <w:jc w:val="center"/>
        <w:textAlignment w:val="baseline"/>
        <w:rPr>
          <w:rStyle w:val="eop"/>
          <w:rFonts w:ascii="Verdana" w:hAnsi="Verdana" w:cs="Segoe UI"/>
          <w:b/>
          <w:bCs/>
          <w:lang w:val="tr-TR"/>
        </w:rPr>
      </w:pPr>
      <w:r w:rsidRPr="007A033F">
        <w:rPr>
          <w:rStyle w:val="eop"/>
          <w:rFonts w:ascii="Verdana" w:hAnsi="Verdana" w:cs="Segoe UI"/>
          <w:b/>
          <w:bCs/>
          <w:lang w:val="tr-TR"/>
        </w:rPr>
        <w:t xml:space="preserve">Dokuz yılı aşkın süredir uluslararası kart kuruluşlarının en üst seviye </w:t>
      </w:r>
      <w:r w:rsidR="005A33C3">
        <w:rPr>
          <w:rStyle w:val="eop"/>
          <w:rFonts w:ascii="Verdana" w:hAnsi="Verdana" w:cs="Segoe UI"/>
          <w:b/>
          <w:bCs/>
          <w:lang w:val="tr-TR"/>
        </w:rPr>
        <w:t>güvenlik standardı</w:t>
      </w:r>
      <w:r w:rsidR="005A33C3" w:rsidRPr="007A033F">
        <w:rPr>
          <w:rStyle w:val="eop"/>
          <w:rFonts w:ascii="Verdana" w:hAnsi="Verdana" w:cs="Segoe UI"/>
          <w:b/>
          <w:bCs/>
          <w:lang w:val="tr-TR"/>
        </w:rPr>
        <w:t xml:space="preserve"> </w:t>
      </w:r>
      <w:r w:rsidRPr="007A033F">
        <w:rPr>
          <w:rStyle w:val="eop"/>
          <w:rFonts w:ascii="Verdana" w:hAnsi="Verdana" w:cs="Segoe UI"/>
          <w:b/>
          <w:bCs/>
          <w:lang w:val="tr-TR"/>
        </w:rPr>
        <w:t xml:space="preserve">olan PCI DSS Level 1 güvencesiyle altyapı hizmetleri sunan Mobilexpress, sigorta sektörünü güvenli ödeme altyapısı konusunda uyarıyor. Veri güvenliğinin ve kart sahiplerinin karşı karşıya kaldığı risklerin altını çizen </w:t>
      </w:r>
      <w:r w:rsidR="00C621DB" w:rsidRPr="00206685">
        <w:rPr>
          <w:rStyle w:val="eop"/>
          <w:rFonts w:ascii="Verdana" w:hAnsi="Verdana" w:cs="Segoe UI"/>
          <w:b/>
          <w:bCs/>
          <w:lang w:val="tr-TR"/>
        </w:rPr>
        <w:t>Mobilexpress CPO'su Erhan Ula</w:t>
      </w:r>
      <w:r w:rsidR="00206685">
        <w:rPr>
          <w:rStyle w:val="eop"/>
          <w:rFonts w:ascii="Verdana" w:hAnsi="Verdana" w:cs="Segoe UI"/>
          <w:b/>
          <w:bCs/>
          <w:lang w:val="tr-TR"/>
        </w:rPr>
        <w:t xml:space="preserve"> </w:t>
      </w:r>
      <w:r w:rsidRPr="00206685">
        <w:rPr>
          <w:rStyle w:val="eop"/>
          <w:rFonts w:ascii="Verdana" w:hAnsi="Verdana" w:cs="Segoe UI"/>
          <w:b/>
          <w:bCs/>
          <w:lang w:val="tr-TR"/>
        </w:rPr>
        <w:t>“Hassas kart bilgilerini PCI DSS Level 1 uyumlu ortamlarda muhafaza eden ödeme altyapılarının tercih edilmesini” öneriyor.</w:t>
      </w:r>
      <w:r w:rsidRPr="007A033F">
        <w:rPr>
          <w:rStyle w:val="eop"/>
          <w:rFonts w:ascii="Verdana" w:hAnsi="Verdana" w:cs="Segoe UI"/>
          <w:b/>
          <w:bCs/>
          <w:lang w:val="tr-TR"/>
        </w:rPr>
        <w:t xml:space="preserve"> </w:t>
      </w:r>
    </w:p>
    <w:p w14:paraId="12C0BEE0" w14:textId="77777777" w:rsidR="007A033F" w:rsidRPr="007A033F" w:rsidRDefault="007A033F" w:rsidP="007A033F">
      <w:pPr>
        <w:pStyle w:val="paragraph"/>
        <w:spacing w:before="0" w:beforeAutospacing="0" w:after="0" w:afterAutospacing="0" w:line="360" w:lineRule="auto"/>
        <w:jc w:val="both"/>
        <w:textAlignment w:val="baseline"/>
        <w:rPr>
          <w:rFonts w:ascii="Verdana" w:hAnsi="Verdana"/>
          <w:sz w:val="20"/>
          <w:szCs w:val="20"/>
          <w:lang w:val="tr-TR"/>
        </w:rPr>
      </w:pPr>
      <w:bookmarkStart w:id="0" w:name="_GoBack"/>
      <w:bookmarkEnd w:id="0"/>
    </w:p>
    <w:p w14:paraId="556981D9" w14:textId="50BB03A6" w:rsidR="007A033F" w:rsidRPr="00EF03D6" w:rsidRDefault="007A033F" w:rsidP="007A033F">
      <w:pPr>
        <w:pStyle w:val="paragraph"/>
        <w:spacing w:before="0" w:beforeAutospacing="0" w:after="0" w:afterAutospacing="0" w:line="360" w:lineRule="auto"/>
        <w:jc w:val="both"/>
        <w:textAlignment w:val="baseline"/>
        <w:rPr>
          <w:rFonts w:ascii="Verdana" w:hAnsi="Verdana"/>
          <w:sz w:val="20"/>
          <w:szCs w:val="20"/>
          <w:lang w:val="tr-TR"/>
        </w:rPr>
      </w:pPr>
      <w:r w:rsidRPr="00E817A3">
        <w:rPr>
          <w:rFonts w:ascii="Verdana" w:hAnsi="Verdana"/>
          <w:sz w:val="20"/>
          <w:szCs w:val="20"/>
          <w:lang w:val="tr-TR"/>
        </w:rPr>
        <w:t>B2B ve B2C tahsilat yöntemleriyle farklı sektörlerden pek çok firmaya ödeme çözümleri sunan</w:t>
      </w:r>
      <w:r w:rsidR="005801FC">
        <w:rPr>
          <w:rFonts w:ascii="Verdana" w:hAnsi="Verdana"/>
          <w:sz w:val="20"/>
          <w:szCs w:val="20"/>
          <w:lang w:val="tr-TR"/>
        </w:rPr>
        <w:t xml:space="preserve"> ve </w:t>
      </w:r>
      <w:r w:rsidR="004600A4" w:rsidRPr="00E817A3">
        <w:rPr>
          <w:rFonts w:ascii="Verdana" w:hAnsi="Verdana"/>
          <w:sz w:val="20"/>
          <w:szCs w:val="20"/>
          <w:lang w:val="tr-TR"/>
        </w:rPr>
        <w:t>201</w:t>
      </w:r>
      <w:r w:rsidR="004600A4">
        <w:rPr>
          <w:rFonts w:ascii="Verdana" w:hAnsi="Verdana"/>
          <w:sz w:val="20"/>
          <w:szCs w:val="20"/>
          <w:lang w:val="tr-TR"/>
        </w:rPr>
        <w:t>5</w:t>
      </w:r>
      <w:r w:rsidR="004600A4" w:rsidRPr="00E817A3">
        <w:rPr>
          <w:rFonts w:ascii="Verdana" w:hAnsi="Verdana"/>
          <w:sz w:val="20"/>
          <w:szCs w:val="20"/>
          <w:lang w:val="tr-TR"/>
        </w:rPr>
        <w:t xml:space="preserve"> </w:t>
      </w:r>
      <w:r w:rsidRPr="00E817A3">
        <w:rPr>
          <w:rFonts w:ascii="Verdana" w:hAnsi="Verdana"/>
          <w:sz w:val="20"/>
          <w:szCs w:val="20"/>
          <w:lang w:val="tr-TR"/>
        </w:rPr>
        <w:t>yılından bu yana sigortacılık sektörünün önde gelen oyuncularıyla işbirliği yap</w:t>
      </w:r>
      <w:r w:rsidR="005801FC">
        <w:rPr>
          <w:rFonts w:ascii="Verdana" w:hAnsi="Verdana"/>
          <w:sz w:val="20"/>
          <w:szCs w:val="20"/>
          <w:lang w:val="tr-TR"/>
        </w:rPr>
        <w:t xml:space="preserve">an </w:t>
      </w:r>
      <w:r w:rsidR="005801FC" w:rsidRPr="00E817A3">
        <w:rPr>
          <w:rFonts w:ascii="Verdana" w:hAnsi="Verdana"/>
          <w:sz w:val="20"/>
          <w:szCs w:val="20"/>
          <w:lang w:val="tr-TR"/>
        </w:rPr>
        <w:t>Mobilexpress,</w:t>
      </w:r>
      <w:r w:rsidR="005801FC">
        <w:rPr>
          <w:rFonts w:ascii="Verdana" w:hAnsi="Verdana"/>
          <w:sz w:val="20"/>
          <w:szCs w:val="20"/>
          <w:lang w:val="tr-TR"/>
        </w:rPr>
        <w:t xml:space="preserve"> sektör birikimlerinden hareketle </w:t>
      </w:r>
      <w:r w:rsidR="007F4A38">
        <w:rPr>
          <w:rFonts w:ascii="Verdana" w:hAnsi="Verdana"/>
          <w:sz w:val="20"/>
          <w:szCs w:val="20"/>
          <w:lang w:val="tr-TR"/>
        </w:rPr>
        <w:t xml:space="preserve">sigorta </w:t>
      </w:r>
      <w:r w:rsidR="005801FC">
        <w:rPr>
          <w:rFonts w:ascii="Verdana" w:hAnsi="Verdana"/>
          <w:sz w:val="20"/>
          <w:szCs w:val="20"/>
          <w:lang w:val="tr-TR"/>
        </w:rPr>
        <w:t>firmaların</w:t>
      </w:r>
      <w:r w:rsidR="007F4A38">
        <w:rPr>
          <w:rFonts w:ascii="Verdana" w:hAnsi="Verdana"/>
          <w:sz w:val="20"/>
          <w:szCs w:val="20"/>
          <w:lang w:val="tr-TR"/>
        </w:rPr>
        <w:t>ın</w:t>
      </w:r>
      <w:r w:rsidR="005801FC">
        <w:rPr>
          <w:rFonts w:ascii="Verdana" w:hAnsi="Verdana"/>
          <w:sz w:val="20"/>
          <w:szCs w:val="20"/>
          <w:lang w:val="tr-TR"/>
        </w:rPr>
        <w:t xml:space="preserve"> ödeme sistemleri altyapısı seçimlerinde kritik önem taşıyan </w:t>
      </w:r>
      <w:r w:rsidR="007F4A38">
        <w:rPr>
          <w:rFonts w:ascii="Verdana" w:hAnsi="Verdana"/>
          <w:sz w:val="20"/>
          <w:szCs w:val="20"/>
          <w:lang w:val="tr-TR"/>
        </w:rPr>
        <w:t xml:space="preserve">güvenlik ve tüketici deneyimi konularına dikkat çekiyor.  </w:t>
      </w:r>
    </w:p>
    <w:p w14:paraId="3564BA63" w14:textId="77777777" w:rsidR="006A3522" w:rsidRPr="007A033F" w:rsidRDefault="006A3522" w:rsidP="007A033F">
      <w:pPr>
        <w:pStyle w:val="paragraph"/>
        <w:spacing w:before="0" w:beforeAutospacing="0" w:after="0" w:afterAutospacing="0" w:line="360" w:lineRule="auto"/>
        <w:jc w:val="both"/>
        <w:textAlignment w:val="baseline"/>
        <w:rPr>
          <w:rFonts w:ascii="Verdana" w:hAnsi="Verdana"/>
          <w:sz w:val="20"/>
          <w:szCs w:val="20"/>
          <w:lang w:val="tr-TR"/>
        </w:rPr>
      </w:pPr>
    </w:p>
    <w:p w14:paraId="683917B5" w14:textId="5EB79FE7" w:rsidR="007A033F" w:rsidRDefault="007A033F" w:rsidP="007A033F">
      <w:pPr>
        <w:pStyle w:val="paragraph"/>
        <w:spacing w:before="0" w:beforeAutospacing="0" w:after="0" w:afterAutospacing="0" w:line="360" w:lineRule="auto"/>
        <w:jc w:val="both"/>
        <w:textAlignment w:val="baseline"/>
        <w:rPr>
          <w:rFonts w:ascii="Verdana" w:hAnsi="Verdana"/>
          <w:sz w:val="20"/>
          <w:szCs w:val="20"/>
          <w:lang w:val="tr-TR"/>
        </w:rPr>
      </w:pPr>
      <w:r w:rsidRPr="007A033F">
        <w:rPr>
          <w:rFonts w:ascii="Verdana" w:hAnsi="Verdana"/>
          <w:sz w:val="20"/>
          <w:szCs w:val="20"/>
          <w:lang w:val="tr-TR"/>
        </w:rPr>
        <w:t xml:space="preserve">Sigorta sektörü online ödemelerin ve ödeme bilgilerinin kayıt altında tutulmasıyla tekrarlayan ödeme kullanımının en yoğun olduğu sektörlerden biri olarak biliniyor ve ödeme bilgilerinin güvenliği sektör için büyük önem arz ediyor. Büyük sigorta firmalarının çoğu kartlı ödemelerin ve kart bilgilerinin alındığı kullanıcı arayüzlerinin güvenliği, açık kart bilgileri veya sigorta sektörü özelinde </w:t>
      </w:r>
      <w:r w:rsidR="00384DF3">
        <w:rPr>
          <w:rFonts w:ascii="Verdana" w:hAnsi="Verdana"/>
          <w:sz w:val="20"/>
          <w:szCs w:val="20"/>
          <w:lang w:val="tr-TR"/>
        </w:rPr>
        <w:t>“</w:t>
      </w:r>
      <w:r w:rsidRPr="007A033F">
        <w:rPr>
          <w:rFonts w:ascii="Verdana" w:hAnsi="Verdana"/>
          <w:sz w:val="20"/>
          <w:szCs w:val="20"/>
          <w:lang w:val="tr-TR"/>
        </w:rPr>
        <w:t>kartın ilk 6 ve son 4 hanesi</w:t>
      </w:r>
      <w:r w:rsidR="007C1AF2">
        <w:rPr>
          <w:rFonts w:ascii="Verdana" w:hAnsi="Verdana"/>
          <w:sz w:val="20"/>
          <w:szCs w:val="20"/>
          <w:lang w:val="tr-TR"/>
        </w:rPr>
        <w:t xml:space="preserve"> ve</w:t>
      </w:r>
      <w:r w:rsidR="007C1AF2" w:rsidRPr="007A033F">
        <w:rPr>
          <w:rFonts w:ascii="Verdana" w:hAnsi="Verdana"/>
          <w:sz w:val="20"/>
          <w:szCs w:val="20"/>
          <w:lang w:val="tr-TR"/>
        </w:rPr>
        <w:t xml:space="preserve"> </w:t>
      </w:r>
      <w:r w:rsidRPr="007A033F">
        <w:rPr>
          <w:rFonts w:ascii="Verdana" w:hAnsi="Verdana"/>
          <w:sz w:val="20"/>
          <w:szCs w:val="20"/>
          <w:lang w:val="tr-TR"/>
        </w:rPr>
        <w:t>T.C. Kimlik No</w:t>
      </w:r>
      <w:r w:rsidR="00384DF3">
        <w:rPr>
          <w:rFonts w:ascii="Verdana" w:hAnsi="Verdana"/>
          <w:sz w:val="20"/>
          <w:szCs w:val="20"/>
          <w:lang w:val="tr-TR"/>
        </w:rPr>
        <w:t>”</w:t>
      </w:r>
      <w:r w:rsidRPr="007A033F">
        <w:rPr>
          <w:rFonts w:ascii="Verdana" w:hAnsi="Verdana"/>
          <w:sz w:val="20"/>
          <w:szCs w:val="20"/>
          <w:lang w:val="tr-TR"/>
        </w:rPr>
        <w:t xml:space="preserve"> gibi direkt ödemeye olanak veren hassas bilgilerin PCI DSS Level 1 uyumlu ortamlarda muhafaza edilmesini sağlayan firmalarla çalışmaya özen gösteriyor. Sigorta şirketleri aynı zamanda, firma özelindeki iş öncelikleri, altyapı özellikleri, geçmişte kullandığı veri ve arayüzsel yapılara uyum veya kolay geçiş olanakları anlamında, kendi iş yapışına en uygun ve esnek çözümleri sağlayan ödeme partneriyle çalışmayı tercih ediyor. </w:t>
      </w:r>
    </w:p>
    <w:p w14:paraId="457E4133" w14:textId="77777777" w:rsidR="00777B5D" w:rsidRPr="007A033F" w:rsidRDefault="00777B5D" w:rsidP="007A033F">
      <w:pPr>
        <w:pStyle w:val="paragraph"/>
        <w:spacing w:before="0" w:beforeAutospacing="0" w:after="0" w:afterAutospacing="0" w:line="360" w:lineRule="auto"/>
        <w:jc w:val="both"/>
        <w:textAlignment w:val="baseline"/>
        <w:rPr>
          <w:rFonts w:ascii="Verdana" w:hAnsi="Verdana"/>
          <w:sz w:val="20"/>
          <w:szCs w:val="20"/>
          <w:lang w:val="tr-TR"/>
        </w:rPr>
      </w:pPr>
    </w:p>
    <w:p w14:paraId="716788A9" w14:textId="3E94AEFA" w:rsidR="00957FA2" w:rsidRPr="007A033F" w:rsidRDefault="007A033F" w:rsidP="449C25A2">
      <w:pPr>
        <w:pStyle w:val="paragraph"/>
        <w:spacing w:before="0" w:beforeAutospacing="0" w:after="0" w:afterAutospacing="0" w:line="360" w:lineRule="auto"/>
        <w:jc w:val="both"/>
        <w:textAlignment w:val="baseline"/>
        <w:rPr>
          <w:rFonts w:ascii="Verdana" w:hAnsi="Verdana"/>
          <w:sz w:val="20"/>
          <w:szCs w:val="20"/>
          <w:lang w:val="tr-TR"/>
        </w:rPr>
      </w:pPr>
      <w:r w:rsidRPr="449C25A2">
        <w:rPr>
          <w:rFonts w:ascii="Verdana" w:hAnsi="Verdana"/>
          <w:b/>
          <w:bCs/>
          <w:sz w:val="20"/>
          <w:szCs w:val="20"/>
          <w:lang w:val="tr-TR"/>
        </w:rPr>
        <w:t xml:space="preserve">Mobilexpress’in farkının bu noktada öne çıktığını vurgulayan </w:t>
      </w:r>
      <w:r w:rsidR="00384DF3" w:rsidRPr="449C25A2">
        <w:rPr>
          <w:rFonts w:ascii="Verdana" w:hAnsi="Verdana"/>
          <w:b/>
          <w:bCs/>
          <w:sz w:val="20"/>
          <w:szCs w:val="20"/>
          <w:lang w:val="tr-TR"/>
        </w:rPr>
        <w:t>Mobilexpress</w:t>
      </w:r>
      <w:r w:rsidR="00504A38" w:rsidRPr="449C25A2">
        <w:rPr>
          <w:rFonts w:ascii="Verdana" w:hAnsi="Verdana"/>
          <w:b/>
          <w:bCs/>
          <w:sz w:val="20"/>
          <w:szCs w:val="20"/>
          <w:lang w:val="tr-TR"/>
        </w:rPr>
        <w:t xml:space="preserve"> CPO’su Erhan Ula, </w:t>
      </w:r>
      <w:r w:rsidR="00384DF3" w:rsidRPr="449C25A2">
        <w:rPr>
          <w:rFonts w:ascii="Verdana" w:hAnsi="Verdana"/>
          <w:b/>
          <w:bCs/>
          <w:sz w:val="20"/>
          <w:szCs w:val="20"/>
          <w:lang w:val="tr-TR"/>
        </w:rPr>
        <w:t xml:space="preserve"> </w:t>
      </w:r>
      <w:r w:rsidRPr="449C25A2">
        <w:rPr>
          <w:rFonts w:ascii="Verdana" w:hAnsi="Verdana"/>
          <w:b/>
          <w:bCs/>
          <w:sz w:val="20"/>
          <w:szCs w:val="20"/>
          <w:lang w:val="tr-TR"/>
        </w:rPr>
        <w:t>konu hakkında şunları söylüyor</w:t>
      </w:r>
      <w:r w:rsidRPr="449C25A2">
        <w:rPr>
          <w:rFonts w:ascii="Verdana" w:hAnsi="Verdana"/>
          <w:sz w:val="20"/>
          <w:szCs w:val="20"/>
          <w:lang w:val="tr-TR"/>
        </w:rPr>
        <w:t xml:space="preserve">: “Mobilexpress sigorta çözümleri kapsamında, gerek ödeme işlemi gerek kart bilgilerinin alınması ve saklanması için geniş servis </w:t>
      </w:r>
      <w:r w:rsidRPr="449C25A2">
        <w:rPr>
          <w:rFonts w:ascii="Verdana" w:hAnsi="Verdana"/>
          <w:sz w:val="20"/>
          <w:szCs w:val="20"/>
          <w:lang w:val="tr-TR"/>
        </w:rPr>
        <w:lastRenderedPageBreak/>
        <w:t xml:space="preserve">seçeneklerine sahip Mobilexpress API üzerinden işlem sağlanması, güvenli Mobilexpress Hosted Ödeme, Hosted Kart Ekleme/Yönetim, Link ile Ödeme, Link ile Kart Ekleme gibi PCI DSS Level 1 uyumlu güvenli kullanıcı arayüzleri üzerinden işlem </w:t>
      </w:r>
      <w:r w:rsidR="00957FA2" w:rsidRPr="449C25A2">
        <w:rPr>
          <w:rFonts w:ascii="Verdana" w:hAnsi="Verdana"/>
          <w:sz w:val="20"/>
          <w:szCs w:val="20"/>
          <w:lang w:val="tr-TR"/>
        </w:rPr>
        <w:t>yapılarak</w:t>
      </w:r>
      <w:r w:rsidRPr="449C25A2">
        <w:rPr>
          <w:rFonts w:ascii="Verdana" w:hAnsi="Verdana"/>
          <w:sz w:val="20"/>
          <w:szCs w:val="20"/>
          <w:lang w:val="tr-TR"/>
        </w:rPr>
        <w:t xml:space="preserve"> firma için PCI DSS yükümlülüklerinin en aza indirgenmesi gibi farklı seçenekler sunuyoruz.</w:t>
      </w:r>
      <w:r w:rsidR="00CA0961">
        <w:rPr>
          <w:rFonts w:ascii="Verdana" w:hAnsi="Verdana"/>
          <w:sz w:val="20"/>
          <w:szCs w:val="20"/>
          <w:lang w:val="tr-TR"/>
        </w:rPr>
        <w:t xml:space="preserve"> B</w:t>
      </w:r>
      <w:r w:rsidR="00CA0961" w:rsidRPr="00CA0961">
        <w:rPr>
          <w:rFonts w:ascii="Verdana" w:hAnsi="Verdana"/>
          <w:sz w:val="20"/>
          <w:szCs w:val="20"/>
          <w:lang w:val="tr-TR"/>
        </w:rPr>
        <w:t xml:space="preserve">u kanalların her birinde ister </w:t>
      </w:r>
      <w:r w:rsidR="00CA0961">
        <w:rPr>
          <w:rFonts w:ascii="Verdana" w:hAnsi="Verdana"/>
          <w:sz w:val="20"/>
          <w:szCs w:val="20"/>
          <w:lang w:val="tr-TR"/>
        </w:rPr>
        <w:t xml:space="preserve">geleneksel full </w:t>
      </w:r>
      <w:r w:rsidR="00CA0961" w:rsidRPr="00CA0961">
        <w:rPr>
          <w:rFonts w:ascii="Verdana" w:hAnsi="Verdana"/>
          <w:sz w:val="20"/>
          <w:szCs w:val="20"/>
          <w:lang w:val="tr-TR"/>
        </w:rPr>
        <w:t>kart bilgisiyle işlem yapılabiliyor</w:t>
      </w:r>
      <w:r w:rsidR="00CA0961">
        <w:rPr>
          <w:rFonts w:ascii="Verdana" w:hAnsi="Verdana"/>
          <w:sz w:val="20"/>
          <w:szCs w:val="20"/>
          <w:lang w:val="tr-TR"/>
        </w:rPr>
        <w:t>, istenirse de</w:t>
      </w:r>
      <w:r w:rsidR="00CA0961" w:rsidRPr="00CA0961">
        <w:rPr>
          <w:rFonts w:ascii="Verdana" w:hAnsi="Verdana"/>
          <w:sz w:val="20"/>
          <w:szCs w:val="20"/>
          <w:lang w:val="tr-TR"/>
        </w:rPr>
        <w:t xml:space="preserve"> banka ve işlem</w:t>
      </w:r>
      <w:r w:rsidR="00CA0961">
        <w:rPr>
          <w:rFonts w:ascii="Verdana" w:hAnsi="Verdana"/>
          <w:sz w:val="20"/>
          <w:szCs w:val="20"/>
          <w:lang w:val="tr-TR"/>
        </w:rPr>
        <w:t xml:space="preserve"> tipi (non3D, OnUs)</w:t>
      </w:r>
      <w:r w:rsidR="00CA0961" w:rsidRPr="00CA0961">
        <w:rPr>
          <w:rFonts w:ascii="Verdana" w:hAnsi="Verdana"/>
          <w:sz w:val="20"/>
          <w:szCs w:val="20"/>
          <w:lang w:val="tr-TR"/>
        </w:rPr>
        <w:t xml:space="preserve"> uyumluluğu otomatik yönetilerek kartın ilk 6 ve son 4 hanesi ve T</w:t>
      </w:r>
      <w:r w:rsidR="00011E03">
        <w:rPr>
          <w:rFonts w:ascii="Verdana" w:hAnsi="Verdana"/>
          <w:sz w:val="20"/>
          <w:szCs w:val="20"/>
          <w:lang w:val="tr-TR"/>
        </w:rPr>
        <w:t>CKN</w:t>
      </w:r>
      <w:r w:rsidR="00CA0961" w:rsidRPr="00CA0961">
        <w:rPr>
          <w:rFonts w:ascii="Verdana" w:hAnsi="Verdana"/>
          <w:sz w:val="20"/>
          <w:szCs w:val="20"/>
          <w:lang w:val="tr-TR"/>
        </w:rPr>
        <w:t xml:space="preserve"> </w:t>
      </w:r>
      <w:r w:rsidR="00011E03">
        <w:rPr>
          <w:rFonts w:ascii="Verdana" w:hAnsi="Verdana"/>
          <w:sz w:val="20"/>
          <w:szCs w:val="20"/>
          <w:lang w:val="tr-TR"/>
        </w:rPr>
        <w:t>modeliyle</w:t>
      </w:r>
      <w:r w:rsidR="00CA0961" w:rsidRPr="00CA0961">
        <w:rPr>
          <w:rFonts w:ascii="Verdana" w:hAnsi="Verdana"/>
          <w:sz w:val="20"/>
          <w:szCs w:val="20"/>
          <w:lang w:val="tr-TR"/>
        </w:rPr>
        <w:t xml:space="preserve"> ödeme alınabiliyor.</w:t>
      </w:r>
      <w:r w:rsidR="00CA0961" w:rsidRPr="449C25A2">
        <w:rPr>
          <w:rFonts w:ascii="Verdana" w:hAnsi="Verdana"/>
          <w:sz w:val="20"/>
          <w:szCs w:val="20"/>
          <w:lang w:val="tr-TR"/>
        </w:rPr>
        <w:t xml:space="preserve"> </w:t>
      </w:r>
      <w:r w:rsidRPr="449C25A2">
        <w:rPr>
          <w:rFonts w:ascii="Verdana" w:hAnsi="Verdana"/>
          <w:sz w:val="20"/>
          <w:szCs w:val="20"/>
          <w:lang w:val="tr-TR"/>
        </w:rPr>
        <w:t xml:space="preserve">Güvenli kart saklama hizmeti (tokenization) de her iki kart bilgisi modeliyle, açık kart bilgisi veya ilk 6 son 4 ve TCKN uyumlu şekilde çalışıyor. </w:t>
      </w:r>
      <w:r w:rsidR="007F4A38" w:rsidRPr="449C25A2">
        <w:rPr>
          <w:rFonts w:ascii="Verdana" w:hAnsi="Verdana"/>
          <w:sz w:val="20"/>
          <w:szCs w:val="20"/>
          <w:lang w:val="tr-TR"/>
        </w:rPr>
        <w:t>S</w:t>
      </w:r>
      <w:r w:rsidRPr="449C25A2">
        <w:rPr>
          <w:rFonts w:ascii="Verdana" w:hAnsi="Verdana"/>
          <w:sz w:val="20"/>
          <w:szCs w:val="20"/>
          <w:lang w:val="tr-TR"/>
        </w:rPr>
        <w:t xml:space="preserve">igorta şirketlerinin tercih ettiği hosted </w:t>
      </w:r>
      <w:r w:rsidR="007F4A38" w:rsidRPr="449C25A2">
        <w:rPr>
          <w:rFonts w:ascii="Verdana" w:hAnsi="Verdana"/>
          <w:sz w:val="20"/>
          <w:szCs w:val="20"/>
          <w:lang w:val="tr-TR"/>
        </w:rPr>
        <w:t xml:space="preserve">(Mobilexpress’in güvenli kart formu) </w:t>
      </w:r>
      <w:r w:rsidRPr="449C25A2">
        <w:rPr>
          <w:rFonts w:ascii="Verdana" w:hAnsi="Verdana"/>
          <w:sz w:val="20"/>
          <w:szCs w:val="20"/>
          <w:lang w:val="tr-TR"/>
        </w:rPr>
        <w:t>sayfalar</w:t>
      </w:r>
      <w:r w:rsidR="004C67D6" w:rsidRPr="449C25A2">
        <w:rPr>
          <w:rFonts w:ascii="Verdana" w:hAnsi="Verdana"/>
          <w:sz w:val="20"/>
          <w:szCs w:val="20"/>
          <w:lang w:val="tr-TR"/>
        </w:rPr>
        <w:t>d</w:t>
      </w:r>
      <w:r w:rsidRPr="449C25A2">
        <w:rPr>
          <w:rFonts w:ascii="Verdana" w:hAnsi="Verdana"/>
          <w:sz w:val="20"/>
          <w:szCs w:val="20"/>
          <w:lang w:val="tr-TR"/>
        </w:rPr>
        <w:t>a firma ihtiyacına göre konfigüre edilebilen özelliklerle sigorta</w:t>
      </w:r>
      <w:r w:rsidR="00000366" w:rsidRPr="449C25A2">
        <w:rPr>
          <w:rFonts w:ascii="Verdana" w:hAnsi="Verdana"/>
          <w:sz w:val="20"/>
          <w:szCs w:val="20"/>
          <w:lang w:val="tr-TR"/>
        </w:rPr>
        <w:t xml:space="preserve"> hizmetini</w:t>
      </w:r>
      <w:r w:rsidRPr="449C25A2">
        <w:rPr>
          <w:rFonts w:ascii="Verdana" w:hAnsi="Verdana"/>
          <w:sz w:val="20"/>
          <w:szCs w:val="20"/>
          <w:lang w:val="tr-TR"/>
        </w:rPr>
        <w:t xml:space="preserve"> sat</w:t>
      </w:r>
      <w:r w:rsidR="00000366" w:rsidRPr="449C25A2">
        <w:rPr>
          <w:rFonts w:ascii="Verdana" w:hAnsi="Verdana"/>
          <w:sz w:val="20"/>
          <w:szCs w:val="20"/>
          <w:lang w:val="tr-TR"/>
        </w:rPr>
        <w:t>ı</w:t>
      </w:r>
      <w:r w:rsidRPr="449C25A2">
        <w:rPr>
          <w:rFonts w:ascii="Verdana" w:hAnsi="Verdana"/>
          <w:sz w:val="20"/>
          <w:szCs w:val="20"/>
          <w:lang w:val="tr-TR"/>
        </w:rPr>
        <w:t>n alan son tüketiciye kolaylık sağlıyoruz. Firmada tam ya da kısmi olarak bulunan, önceden girilmiş müşteri ve ödeme bilgilerinin sayfalara beslenmesi, BIN/POS/taksit yönetiminin Mobilexpress tarafından otomatik yönetimi veya firma servisleri üzerinden dinamik sorgulanabilmesi gibi esneklikler sunuyoruz. Hosted sayfa içindeki kullanıcı davranışıyla firma platformu arasında anlık iletişim ve etkileşime imkan veren altyapımızla sektör</w:t>
      </w:r>
      <w:r w:rsidR="00AE5CFB" w:rsidRPr="449C25A2">
        <w:rPr>
          <w:rFonts w:ascii="Verdana" w:hAnsi="Verdana"/>
          <w:sz w:val="20"/>
          <w:szCs w:val="20"/>
          <w:lang w:val="tr-TR"/>
        </w:rPr>
        <w:t>d</w:t>
      </w:r>
      <w:r w:rsidRPr="449C25A2">
        <w:rPr>
          <w:rFonts w:ascii="Verdana" w:hAnsi="Verdana"/>
          <w:sz w:val="20"/>
          <w:szCs w:val="20"/>
          <w:lang w:val="tr-TR"/>
        </w:rPr>
        <w:t>e güvenli ödemenin yolunu açıyoruz.</w:t>
      </w:r>
      <w:r w:rsidR="00957FA2" w:rsidRPr="449C25A2">
        <w:rPr>
          <w:rFonts w:ascii="Verdana" w:hAnsi="Verdana"/>
          <w:sz w:val="20"/>
          <w:szCs w:val="20"/>
          <w:lang w:val="tr-TR"/>
        </w:rPr>
        <w:t xml:space="preserve"> </w:t>
      </w:r>
      <w:r w:rsidR="007927EA" w:rsidRPr="449C25A2">
        <w:rPr>
          <w:rFonts w:ascii="Verdana" w:hAnsi="Verdana"/>
          <w:sz w:val="20"/>
          <w:szCs w:val="20"/>
          <w:lang w:val="tr-TR"/>
        </w:rPr>
        <w:t>Tüm bu süreçlerde KVKK gereksinimlerini eksiksiz yerine getiriyor, sigorta şirketleri</w:t>
      </w:r>
      <w:r w:rsidR="004505ED" w:rsidRPr="449C25A2">
        <w:rPr>
          <w:rFonts w:ascii="Verdana" w:hAnsi="Verdana"/>
          <w:sz w:val="20"/>
          <w:szCs w:val="20"/>
          <w:lang w:val="tr-TR"/>
        </w:rPr>
        <w:t xml:space="preserve"> için</w:t>
      </w:r>
      <w:r w:rsidR="007927EA" w:rsidRPr="449C25A2">
        <w:rPr>
          <w:rFonts w:ascii="Verdana" w:hAnsi="Verdana"/>
          <w:sz w:val="20"/>
          <w:szCs w:val="20"/>
          <w:lang w:val="tr-TR"/>
        </w:rPr>
        <w:t xml:space="preserve"> acenta </w:t>
      </w:r>
      <w:r w:rsidR="00CE7FC3" w:rsidRPr="449C25A2">
        <w:rPr>
          <w:rFonts w:ascii="Verdana" w:hAnsi="Verdana"/>
          <w:sz w:val="20"/>
          <w:szCs w:val="20"/>
          <w:lang w:val="tr-TR"/>
        </w:rPr>
        <w:t xml:space="preserve">ve müşteri hizmetleri </w:t>
      </w:r>
      <w:r w:rsidR="007927EA" w:rsidRPr="449C25A2">
        <w:rPr>
          <w:rFonts w:ascii="Verdana" w:hAnsi="Verdana"/>
          <w:sz w:val="20"/>
          <w:szCs w:val="20"/>
          <w:lang w:val="tr-TR"/>
        </w:rPr>
        <w:t xml:space="preserve">süreçlerinde kart bilgilerinin </w:t>
      </w:r>
      <w:r w:rsidR="004505ED" w:rsidRPr="449C25A2">
        <w:rPr>
          <w:rFonts w:ascii="Verdana" w:hAnsi="Verdana"/>
          <w:sz w:val="20"/>
          <w:szCs w:val="20"/>
          <w:lang w:val="tr-TR"/>
        </w:rPr>
        <w:t>güvenli olmayan yollarla temin ve muhafazası, yetkisiz</w:t>
      </w:r>
      <w:r w:rsidR="007927EA" w:rsidRPr="449C25A2">
        <w:rPr>
          <w:rFonts w:ascii="Verdana" w:hAnsi="Verdana"/>
          <w:sz w:val="20"/>
          <w:szCs w:val="20"/>
          <w:lang w:val="tr-TR"/>
        </w:rPr>
        <w:t xml:space="preserve"> </w:t>
      </w:r>
      <w:r w:rsidR="004505ED" w:rsidRPr="449C25A2">
        <w:rPr>
          <w:rFonts w:ascii="Verdana" w:hAnsi="Verdana"/>
          <w:sz w:val="20"/>
          <w:szCs w:val="20"/>
          <w:lang w:val="tr-TR"/>
        </w:rPr>
        <w:t xml:space="preserve">dolaşımı gibi riskleri ekarte edici pratik çözümler sunuyoruz. </w:t>
      </w:r>
      <w:r w:rsidR="00957FA2" w:rsidRPr="449C25A2">
        <w:rPr>
          <w:rFonts w:ascii="Verdana" w:hAnsi="Verdana"/>
          <w:sz w:val="20"/>
          <w:szCs w:val="20"/>
          <w:lang w:val="tr-TR"/>
        </w:rPr>
        <w:t>Sektördeki tüm oyunculara hassas kart bilgilerini PCI DSS Level 1 uyumlu ortamlarda</w:t>
      </w:r>
      <w:r w:rsidR="004505ED" w:rsidRPr="449C25A2">
        <w:rPr>
          <w:rFonts w:ascii="Verdana" w:hAnsi="Verdana"/>
          <w:sz w:val="20"/>
          <w:szCs w:val="20"/>
          <w:lang w:val="tr-TR"/>
        </w:rPr>
        <w:t xml:space="preserve"> temin ve</w:t>
      </w:r>
      <w:r w:rsidR="00957FA2" w:rsidRPr="449C25A2">
        <w:rPr>
          <w:rFonts w:ascii="Verdana" w:hAnsi="Verdana"/>
          <w:sz w:val="20"/>
          <w:szCs w:val="20"/>
          <w:lang w:val="tr-TR"/>
        </w:rPr>
        <w:t xml:space="preserve"> muhafaza eden ödeme altyapılarını tercih etmelerini öneriyoruz.”</w:t>
      </w:r>
    </w:p>
    <w:p w14:paraId="06DB3184" w14:textId="03CD4C94" w:rsidR="007A033F" w:rsidRDefault="007A033F" w:rsidP="00446E8A">
      <w:pPr>
        <w:pStyle w:val="paragraph"/>
        <w:spacing w:before="0" w:beforeAutospacing="0" w:after="0" w:afterAutospacing="0" w:line="360" w:lineRule="auto"/>
        <w:jc w:val="center"/>
        <w:textAlignment w:val="baseline"/>
        <w:rPr>
          <w:rStyle w:val="eop"/>
          <w:rFonts w:ascii="Verdana" w:hAnsi="Verdana" w:cs="Segoe UI"/>
          <w:b/>
          <w:bCs/>
          <w:lang w:val="tr-TR"/>
        </w:rPr>
      </w:pPr>
    </w:p>
    <w:p w14:paraId="6588A44A" w14:textId="77777777" w:rsidR="006A3522" w:rsidRPr="007A033F" w:rsidRDefault="006A3522" w:rsidP="006A3522">
      <w:pPr>
        <w:pStyle w:val="paragraph"/>
        <w:spacing w:before="0" w:beforeAutospacing="0" w:after="0" w:afterAutospacing="0" w:line="360" w:lineRule="auto"/>
        <w:jc w:val="both"/>
        <w:textAlignment w:val="baseline"/>
        <w:rPr>
          <w:rFonts w:ascii="Verdana" w:hAnsi="Verdana"/>
          <w:sz w:val="20"/>
          <w:szCs w:val="20"/>
          <w:lang w:val="tr-TR"/>
        </w:rPr>
      </w:pPr>
      <w:r w:rsidRPr="007A033F">
        <w:rPr>
          <w:rFonts w:ascii="Verdana" w:hAnsi="Verdana"/>
          <w:sz w:val="20"/>
          <w:szCs w:val="20"/>
          <w:lang w:val="tr-TR"/>
        </w:rPr>
        <w:t>Türkiye’nin en büyük ödeme platformu olarak aylık 15 milyonun üzerinde işlem gerçekleştiren Mobilexpress, 31 milyon kayıtlı karta ev sahipliği yapıyor. Bu kayıtlı kartların 1,5 milyonu,  Mobilexpress iş ortaklarının kullanımına açık kart havuzunda yer alıyor.</w:t>
      </w:r>
      <w:r>
        <w:rPr>
          <w:rFonts w:ascii="Verdana" w:hAnsi="Verdana"/>
          <w:sz w:val="20"/>
          <w:szCs w:val="20"/>
          <w:lang w:val="tr-TR"/>
        </w:rPr>
        <w:t xml:space="preserve"> </w:t>
      </w:r>
    </w:p>
    <w:p w14:paraId="75FF7DC3" w14:textId="77777777" w:rsidR="006A3522" w:rsidRPr="003C79F7" w:rsidRDefault="006A3522" w:rsidP="00446E8A">
      <w:pPr>
        <w:pStyle w:val="paragraph"/>
        <w:spacing w:before="0" w:beforeAutospacing="0" w:after="0" w:afterAutospacing="0" w:line="360" w:lineRule="auto"/>
        <w:jc w:val="center"/>
        <w:textAlignment w:val="baseline"/>
        <w:rPr>
          <w:rStyle w:val="eop"/>
          <w:rFonts w:ascii="Verdana" w:hAnsi="Verdana" w:cs="Segoe UI"/>
          <w:b/>
          <w:bCs/>
          <w:lang w:val="tr-TR"/>
        </w:rPr>
      </w:pPr>
    </w:p>
    <w:p w14:paraId="173A823F" w14:textId="77777777" w:rsidR="004F7BC5" w:rsidRDefault="004F7BC5" w:rsidP="003C79F7">
      <w:pPr>
        <w:pStyle w:val="paragraph"/>
        <w:spacing w:before="0" w:beforeAutospacing="0" w:after="0" w:afterAutospacing="0" w:line="360" w:lineRule="auto"/>
        <w:jc w:val="both"/>
        <w:textAlignment w:val="baseline"/>
        <w:rPr>
          <w:rFonts w:ascii="Verdana" w:hAnsi="Verdana" w:cs="Segoe UI"/>
          <w:sz w:val="20"/>
          <w:szCs w:val="20"/>
          <w:lang w:val="tr-TR"/>
        </w:rPr>
      </w:pPr>
    </w:p>
    <w:p w14:paraId="67CC540F" w14:textId="64317755" w:rsidR="003C79F7" w:rsidRPr="00C41FDA" w:rsidRDefault="00C41FDA" w:rsidP="00C41FDA">
      <w:pPr>
        <w:pStyle w:val="paragraph"/>
        <w:spacing w:before="0" w:beforeAutospacing="0" w:after="0" w:afterAutospacing="0" w:line="360" w:lineRule="auto"/>
        <w:textAlignment w:val="baseline"/>
        <w:rPr>
          <w:rFonts w:ascii="Verdana" w:hAnsi="Verdana"/>
          <w:sz w:val="18"/>
          <w:szCs w:val="18"/>
        </w:rPr>
      </w:pPr>
      <w:r w:rsidRPr="00C41FDA">
        <w:rPr>
          <w:rStyle w:val="Gl"/>
          <w:rFonts w:ascii="Verdana" w:hAnsi="Verdana"/>
          <w:sz w:val="18"/>
          <w:szCs w:val="18"/>
        </w:rPr>
        <w:t>İlgili Kişi:</w:t>
      </w:r>
      <w:r w:rsidRPr="00C41FDA">
        <w:rPr>
          <w:rFonts w:ascii="Verdana" w:hAnsi="Verdana"/>
          <w:sz w:val="18"/>
          <w:szCs w:val="18"/>
        </w:rPr>
        <w:br/>
        <w:t>Sezin Bulum</w:t>
      </w:r>
      <w:r w:rsidRPr="00C41FDA">
        <w:rPr>
          <w:rFonts w:ascii="Verdana" w:hAnsi="Verdana"/>
          <w:sz w:val="18"/>
          <w:szCs w:val="18"/>
        </w:rPr>
        <w:br/>
        <w:t>Bordo PR</w:t>
      </w:r>
      <w:r w:rsidRPr="00C41FDA">
        <w:rPr>
          <w:rFonts w:ascii="Verdana" w:hAnsi="Verdana"/>
          <w:sz w:val="18"/>
          <w:szCs w:val="18"/>
        </w:rPr>
        <w:br/>
      </w:r>
      <w:r w:rsidR="00267BF1" w:rsidRPr="00267BF1">
        <w:rPr>
          <w:rFonts w:ascii="Verdana" w:hAnsi="Verdana"/>
          <w:sz w:val="18"/>
          <w:szCs w:val="18"/>
        </w:rPr>
        <w:t>0533 282 29 70</w:t>
      </w:r>
      <w:r w:rsidRPr="00C41FDA">
        <w:rPr>
          <w:rFonts w:ascii="Verdana" w:hAnsi="Verdana"/>
          <w:sz w:val="18"/>
          <w:szCs w:val="18"/>
        </w:rPr>
        <w:br/>
      </w:r>
      <w:hyperlink r:id="rId6" w:history="1">
        <w:r w:rsidRPr="00C41FDA">
          <w:rPr>
            <w:rStyle w:val="Kpr"/>
            <w:rFonts w:ascii="Verdana" w:hAnsi="Verdana"/>
            <w:sz w:val="18"/>
            <w:szCs w:val="18"/>
          </w:rPr>
          <w:t>sezinb@bordopr.com</w:t>
        </w:r>
      </w:hyperlink>
    </w:p>
    <w:p w14:paraId="6546302F" w14:textId="77777777" w:rsidR="00C41FDA" w:rsidRPr="004F7BC5" w:rsidRDefault="00C41FDA" w:rsidP="003C79F7">
      <w:pPr>
        <w:pStyle w:val="paragraph"/>
        <w:spacing w:before="0" w:beforeAutospacing="0" w:after="0" w:afterAutospacing="0" w:line="360" w:lineRule="auto"/>
        <w:jc w:val="both"/>
        <w:textAlignment w:val="baseline"/>
        <w:rPr>
          <w:rFonts w:ascii="Verdana" w:hAnsi="Verdana"/>
          <w:sz w:val="20"/>
          <w:szCs w:val="20"/>
          <w:lang w:val="tr-TR"/>
        </w:rPr>
      </w:pPr>
    </w:p>
    <w:p w14:paraId="15E99414" w14:textId="39ADEADF" w:rsidR="0088698E" w:rsidRPr="001C576B" w:rsidRDefault="004F7BC5" w:rsidP="009514DA">
      <w:pPr>
        <w:pStyle w:val="paragraph"/>
        <w:spacing w:before="0" w:beforeAutospacing="0" w:after="0" w:afterAutospacing="0" w:line="360" w:lineRule="auto"/>
        <w:jc w:val="both"/>
        <w:textAlignment w:val="baseline"/>
        <w:rPr>
          <w:rFonts w:ascii="Segoe UI" w:hAnsi="Segoe UI" w:cs="Segoe UI"/>
          <w:b/>
          <w:bCs/>
          <w:sz w:val="18"/>
          <w:szCs w:val="18"/>
          <w:lang w:val="tr-TR"/>
        </w:rPr>
      </w:pPr>
      <w:r w:rsidRPr="001C576B">
        <w:rPr>
          <w:rFonts w:ascii="Verdana" w:hAnsi="Verdana"/>
          <w:b/>
          <w:bCs/>
          <w:sz w:val="18"/>
          <w:szCs w:val="18"/>
          <w:lang w:val="tr-TR"/>
        </w:rPr>
        <w:t>Mobilexpress</w:t>
      </w:r>
      <w:r w:rsidR="009514DA" w:rsidRPr="001C576B">
        <w:rPr>
          <w:rFonts w:ascii="Verdana" w:hAnsi="Verdana"/>
          <w:b/>
          <w:bCs/>
          <w:sz w:val="18"/>
          <w:szCs w:val="18"/>
          <w:lang w:val="tr-TR"/>
        </w:rPr>
        <w:t xml:space="preserve"> hakkında: </w:t>
      </w:r>
      <w:r w:rsidR="0088698E" w:rsidRPr="001C576B">
        <w:rPr>
          <w:rStyle w:val="eop"/>
          <w:rFonts w:ascii="Verdana" w:eastAsiaTheme="majorEastAsia" w:hAnsi="Verdana" w:cs="Segoe UI"/>
          <w:b/>
          <w:bCs/>
          <w:sz w:val="18"/>
          <w:szCs w:val="18"/>
          <w:lang w:val="tr-TR"/>
        </w:rPr>
        <w:t> </w:t>
      </w:r>
    </w:p>
    <w:p w14:paraId="054B20F5" w14:textId="62BADD60" w:rsidR="009514DA" w:rsidRPr="001C576B" w:rsidRDefault="009514DA" w:rsidP="009514DA">
      <w:pPr>
        <w:spacing w:line="360" w:lineRule="auto"/>
        <w:jc w:val="both"/>
        <w:rPr>
          <w:rFonts w:ascii="Verdana" w:hAnsi="Verdana"/>
          <w:sz w:val="18"/>
          <w:szCs w:val="18"/>
          <w:lang w:val="tr-TR"/>
        </w:rPr>
      </w:pPr>
      <w:bookmarkStart w:id="1" w:name="_Hlk44502827"/>
      <w:r w:rsidRPr="001C576B">
        <w:rPr>
          <w:rFonts w:ascii="Verdana" w:hAnsi="Verdana"/>
          <w:sz w:val="18"/>
          <w:szCs w:val="18"/>
          <w:lang w:val="tr-TR"/>
        </w:rPr>
        <w:t xml:space="preserve">2011 yılında kurulan </w:t>
      </w:r>
      <w:r w:rsidR="00BA053C" w:rsidRPr="001C576B">
        <w:rPr>
          <w:rFonts w:ascii="Verdana" w:hAnsi="Verdana"/>
          <w:sz w:val="18"/>
          <w:szCs w:val="18"/>
          <w:lang w:val="tr-TR"/>
        </w:rPr>
        <w:t xml:space="preserve">Mobilexpress online ödeme geçidi, akıllı işlem yönlendirme, kart saklama, sahtecilik önleme gibi yapay zeka destekli birçok servisini ihtiyaç duyabilecek tüm banka ve ödeme kuruluşlarına entegre çalışan platformuyla işletme ve kullanıcılarına sunuyor. Mobilexpress halihazırda Türkiye’nin </w:t>
      </w:r>
      <w:r w:rsidR="00BA053C" w:rsidRPr="001C576B">
        <w:rPr>
          <w:rFonts w:ascii="Verdana" w:hAnsi="Verdana"/>
          <w:sz w:val="18"/>
          <w:szCs w:val="18"/>
          <w:lang w:val="tr-TR"/>
        </w:rPr>
        <w:lastRenderedPageBreak/>
        <w:t>önde gelen e-Ticaret, Perakende, Sigorta ve Telekom şirketlerine özel servisler geliştiriyor.</w:t>
      </w:r>
      <w:r w:rsidRPr="001C576B">
        <w:rPr>
          <w:rFonts w:ascii="Verdana" w:hAnsi="Verdana"/>
          <w:sz w:val="18"/>
          <w:szCs w:val="18"/>
          <w:lang w:val="tr-TR"/>
        </w:rPr>
        <w:t xml:space="preserve"> </w:t>
      </w:r>
      <w:bookmarkEnd w:id="1"/>
      <w:r w:rsidRPr="009514DA">
        <w:rPr>
          <w:rFonts w:ascii="Verdana" w:hAnsi="Verdana"/>
          <w:sz w:val="18"/>
          <w:szCs w:val="18"/>
          <w:lang w:val="tr-TR"/>
        </w:rPr>
        <w:t>2013</w:t>
      </w:r>
      <w:r w:rsidR="00E82FB5">
        <w:rPr>
          <w:rFonts w:ascii="Verdana" w:hAnsi="Verdana"/>
          <w:sz w:val="18"/>
          <w:szCs w:val="18"/>
          <w:lang w:val="tr-TR"/>
        </w:rPr>
        <w:t xml:space="preserve">, </w:t>
      </w:r>
      <w:r w:rsidRPr="009514DA">
        <w:rPr>
          <w:rFonts w:ascii="Verdana" w:hAnsi="Verdana"/>
          <w:sz w:val="18"/>
          <w:szCs w:val="18"/>
          <w:lang w:val="tr-TR"/>
        </w:rPr>
        <w:t>2014</w:t>
      </w:r>
      <w:r w:rsidR="00E82FB5">
        <w:rPr>
          <w:rFonts w:ascii="Verdana" w:hAnsi="Verdana"/>
          <w:sz w:val="18"/>
          <w:szCs w:val="18"/>
          <w:lang w:val="tr-TR"/>
        </w:rPr>
        <w:t xml:space="preserve"> ve 2020</w:t>
      </w:r>
      <w:r w:rsidRPr="009514DA">
        <w:rPr>
          <w:rFonts w:ascii="Verdana" w:hAnsi="Verdana"/>
          <w:sz w:val="18"/>
          <w:szCs w:val="18"/>
          <w:lang w:val="tr-TR"/>
        </w:rPr>
        <w:t xml:space="preserve"> yıllarında aldığı yabancı yatırımlarla sürekli büyüyen ve </w:t>
      </w:r>
      <w:r w:rsidR="00E82FB5" w:rsidRPr="00FC0B77">
        <w:rPr>
          <w:rFonts w:ascii="Verdana" w:hAnsi="Verdana"/>
          <w:sz w:val="18"/>
          <w:szCs w:val="18"/>
          <w:lang w:val="tr-TR"/>
        </w:rPr>
        <w:t xml:space="preserve">bir Lidio şirketi </w:t>
      </w:r>
      <w:r w:rsidR="00E82FB5">
        <w:rPr>
          <w:rFonts w:ascii="Verdana" w:hAnsi="Verdana"/>
          <w:sz w:val="18"/>
          <w:szCs w:val="18"/>
          <w:lang w:val="tr-TR"/>
        </w:rPr>
        <w:t xml:space="preserve">olan </w:t>
      </w:r>
      <w:r w:rsidRPr="009514DA">
        <w:rPr>
          <w:rFonts w:ascii="Verdana" w:hAnsi="Verdana"/>
          <w:sz w:val="18"/>
          <w:szCs w:val="18"/>
          <w:lang w:val="tr-TR"/>
        </w:rPr>
        <w:t>Mobilexpress, kredi kartı işlem güvenliğinde dünyanın en yüksek güvenlik standardı PCI DSS Level 1 uyumluluk sertifikasına sahip</w:t>
      </w:r>
      <w:r w:rsidRPr="001C576B">
        <w:rPr>
          <w:rFonts w:ascii="Verdana" w:hAnsi="Verdana"/>
          <w:sz w:val="18"/>
          <w:szCs w:val="18"/>
          <w:lang w:val="tr-TR"/>
        </w:rPr>
        <w:t xml:space="preserve">. </w:t>
      </w:r>
    </w:p>
    <w:sectPr w:rsidR="009514DA" w:rsidRPr="001C576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D6158" w14:textId="77777777" w:rsidR="003447A6" w:rsidRDefault="003447A6" w:rsidP="001B6AAD">
      <w:r>
        <w:separator/>
      </w:r>
    </w:p>
  </w:endnote>
  <w:endnote w:type="continuationSeparator" w:id="0">
    <w:p w14:paraId="1A0B6C30" w14:textId="77777777" w:rsidR="003447A6" w:rsidRDefault="003447A6" w:rsidP="001B6AAD">
      <w:r>
        <w:continuationSeparator/>
      </w:r>
    </w:p>
  </w:endnote>
  <w:endnote w:type="continuationNotice" w:id="1">
    <w:p w14:paraId="5EAA1800" w14:textId="77777777" w:rsidR="003447A6" w:rsidRDefault="00344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4BB1" w14:textId="77777777" w:rsidR="003447A6" w:rsidRDefault="003447A6" w:rsidP="001B6AAD">
      <w:r>
        <w:separator/>
      </w:r>
    </w:p>
  </w:footnote>
  <w:footnote w:type="continuationSeparator" w:id="0">
    <w:p w14:paraId="1781F3C0" w14:textId="77777777" w:rsidR="003447A6" w:rsidRDefault="003447A6" w:rsidP="001B6AAD">
      <w:r>
        <w:continuationSeparator/>
      </w:r>
    </w:p>
  </w:footnote>
  <w:footnote w:type="continuationNotice" w:id="1">
    <w:p w14:paraId="5759B6E6" w14:textId="77777777" w:rsidR="003447A6" w:rsidRDefault="003447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AD"/>
    <w:rsid w:val="00000366"/>
    <w:rsid w:val="000105E1"/>
    <w:rsid w:val="00011E03"/>
    <w:rsid w:val="00047AE6"/>
    <w:rsid w:val="0006034D"/>
    <w:rsid w:val="000605AA"/>
    <w:rsid w:val="00092487"/>
    <w:rsid w:val="000A29F1"/>
    <w:rsid w:val="000B5276"/>
    <w:rsid w:val="000E749E"/>
    <w:rsid w:val="00171FB3"/>
    <w:rsid w:val="001936A6"/>
    <w:rsid w:val="001A0EE4"/>
    <w:rsid w:val="001B6AAD"/>
    <w:rsid w:val="001C576B"/>
    <w:rsid w:val="001E2430"/>
    <w:rsid w:val="001E55B8"/>
    <w:rsid w:val="001E70AF"/>
    <w:rsid w:val="00202094"/>
    <w:rsid w:val="00206685"/>
    <w:rsid w:val="0021519E"/>
    <w:rsid w:val="00217D67"/>
    <w:rsid w:val="002202B8"/>
    <w:rsid w:val="00235733"/>
    <w:rsid w:val="0025330F"/>
    <w:rsid w:val="002624AD"/>
    <w:rsid w:val="00267BF1"/>
    <w:rsid w:val="00290CD7"/>
    <w:rsid w:val="002927F1"/>
    <w:rsid w:val="002E56BD"/>
    <w:rsid w:val="003229C6"/>
    <w:rsid w:val="003256E6"/>
    <w:rsid w:val="003447A6"/>
    <w:rsid w:val="00363064"/>
    <w:rsid w:val="003679ED"/>
    <w:rsid w:val="00384DF3"/>
    <w:rsid w:val="003C6D9A"/>
    <w:rsid w:val="003C79F7"/>
    <w:rsid w:val="0040789F"/>
    <w:rsid w:val="00436154"/>
    <w:rsid w:val="00446E8A"/>
    <w:rsid w:val="004505ED"/>
    <w:rsid w:val="004600A4"/>
    <w:rsid w:val="0046434D"/>
    <w:rsid w:val="00485E61"/>
    <w:rsid w:val="0049030F"/>
    <w:rsid w:val="004949F1"/>
    <w:rsid w:val="004C67D6"/>
    <w:rsid w:val="004F0BA8"/>
    <w:rsid w:val="004F1F4B"/>
    <w:rsid w:val="004F7BC5"/>
    <w:rsid w:val="00504A38"/>
    <w:rsid w:val="00536753"/>
    <w:rsid w:val="0056196E"/>
    <w:rsid w:val="0057759A"/>
    <w:rsid w:val="005801FC"/>
    <w:rsid w:val="00591575"/>
    <w:rsid w:val="005A33C3"/>
    <w:rsid w:val="005B1C22"/>
    <w:rsid w:val="005B6213"/>
    <w:rsid w:val="005D34AD"/>
    <w:rsid w:val="005E4734"/>
    <w:rsid w:val="005F3317"/>
    <w:rsid w:val="005F3FC7"/>
    <w:rsid w:val="006024F8"/>
    <w:rsid w:val="00603DD2"/>
    <w:rsid w:val="00615C44"/>
    <w:rsid w:val="006211D8"/>
    <w:rsid w:val="00632987"/>
    <w:rsid w:val="00693CB2"/>
    <w:rsid w:val="006A3522"/>
    <w:rsid w:val="006B1639"/>
    <w:rsid w:val="006C2E75"/>
    <w:rsid w:val="006E4EAA"/>
    <w:rsid w:val="00703D1B"/>
    <w:rsid w:val="0074396E"/>
    <w:rsid w:val="007560CC"/>
    <w:rsid w:val="00761B12"/>
    <w:rsid w:val="00775A8A"/>
    <w:rsid w:val="00777B5D"/>
    <w:rsid w:val="007927EA"/>
    <w:rsid w:val="007A033F"/>
    <w:rsid w:val="007C1AF2"/>
    <w:rsid w:val="007E0F1F"/>
    <w:rsid w:val="007E2366"/>
    <w:rsid w:val="007F4A38"/>
    <w:rsid w:val="00832901"/>
    <w:rsid w:val="00846334"/>
    <w:rsid w:val="00873C59"/>
    <w:rsid w:val="0088698E"/>
    <w:rsid w:val="00887D3F"/>
    <w:rsid w:val="008D2BC5"/>
    <w:rsid w:val="008F236F"/>
    <w:rsid w:val="00900A19"/>
    <w:rsid w:val="00935720"/>
    <w:rsid w:val="009454CE"/>
    <w:rsid w:val="00947CA8"/>
    <w:rsid w:val="009514DA"/>
    <w:rsid w:val="00957FA2"/>
    <w:rsid w:val="009759D1"/>
    <w:rsid w:val="00975A7E"/>
    <w:rsid w:val="00980488"/>
    <w:rsid w:val="00985F95"/>
    <w:rsid w:val="00986BDA"/>
    <w:rsid w:val="009A2BCF"/>
    <w:rsid w:val="009C7C8D"/>
    <w:rsid w:val="00A05C1D"/>
    <w:rsid w:val="00A075C7"/>
    <w:rsid w:val="00A07CE8"/>
    <w:rsid w:val="00A11701"/>
    <w:rsid w:val="00A14980"/>
    <w:rsid w:val="00A15E7A"/>
    <w:rsid w:val="00A161DB"/>
    <w:rsid w:val="00A21029"/>
    <w:rsid w:val="00A73426"/>
    <w:rsid w:val="00A82F5F"/>
    <w:rsid w:val="00A843D2"/>
    <w:rsid w:val="00AB3A75"/>
    <w:rsid w:val="00AC48BA"/>
    <w:rsid w:val="00AE180E"/>
    <w:rsid w:val="00AE4874"/>
    <w:rsid w:val="00AE5CFB"/>
    <w:rsid w:val="00B05F96"/>
    <w:rsid w:val="00B14118"/>
    <w:rsid w:val="00B167FA"/>
    <w:rsid w:val="00B17730"/>
    <w:rsid w:val="00B25418"/>
    <w:rsid w:val="00B35A07"/>
    <w:rsid w:val="00B460BE"/>
    <w:rsid w:val="00B4786D"/>
    <w:rsid w:val="00B527C7"/>
    <w:rsid w:val="00B72C95"/>
    <w:rsid w:val="00BA053C"/>
    <w:rsid w:val="00BA5FE8"/>
    <w:rsid w:val="00BB3063"/>
    <w:rsid w:val="00BF125B"/>
    <w:rsid w:val="00C20930"/>
    <w:rsid w:val="00C2363E"/>
    <w:rsid w:val="00C35148"/>
    <w:rsid w:val="00C41FDA"/>
    <w:rsid w:val="00C520BD"/>
    <w:rsid w:val="00C621DB"/>
    <w:rsid w:val="00C64EF0"/>
    <w:rsid w:val="00C76336"/>
    <w:rsid w:val="00C840EC"/>
    <w:rsid w:val="00C900C9"/>
    <w:rsid w:val="00CA0961"/>
    <w:rsid w:val="00CB4BE2"/>
    <w:rsid w:val="00CD72B5"/>
    <w:rsid w:val="00CE7FC3"/>
    <w:rsid w:val="00CF5F4F"/>
    <w:rsid w:val="00D30D16"/>
    <w:rsid w:val="00D32FAB"/>
    <w:rsid w:val="00D51A7F"/>
    <w:rsid w:val="00D5795E"/>
    <w:rsid w:val="00D6092C"/>
    <w:rsid w:val="00D72647"/>
    <w:rsid w:val="00D75CC5"/>
    <w:rsid w:val="00D92093"/>
    <w:rsid w:val="00D922B8"/>
    <w:rsid w:val="00D938B9"/>
    <w:rsid w:val="00DA5F13"/>
    <w:rsid w:val="00DB6913"/>
    <w:rsid w:val="00DD1A08"/>
    <w:rsid w:val="00DF2AB1"/>
    <w:rsid w:val="00DF6A79"/>
    <w:rsid w:val="00E11E2C"/>
    <w:rsid w:val="00E14DA5"/>
    <w:rsid w:val="00E241E0"/>
    <w:rsid w:val="00E567EC"/>
    <w:rsid w:val="00E67575"/>
    <w:rsid w:val="00E77FC0"/>
    <w:rsid w:val="00E811F7"/>
    <w:rsid w:val="00E817A3"/>
    <w:rsid w:val="00E82FB5"/>
    <w:rsid w:val="00E831C5"/>
    <w:rsid w:val="00ED1FD1"/>
    <w:rsid w:val="00ED642F"/>
    <w:rsid w:val="00EE172A"/>
    <w:rsid w:val="00EE2B5E"/>
    <w:rsid w:val="00EF03D6"/>
    <w:rsid w:val="00EF13F3"/>
    <w:rsid w:val="00F102B2"/>
    <w:rsid w:val="00F1603D"/>
    <w:rsid w:val="00F273A1"/>
    <w:rsid w:val="00F42192"/>
    <w:rsid w:val="00F45E52"/>
    <w:rsid w:val="00F46AF9"/>
    <w:rsid w:val="00F568E0"/>
    <w:rsid w:val="00F636EF"/>
    <w:rsid w:val="00F74115"/>
    <w:rsid w:val="00F74F39"/>
    <w:rsid w:val="00FA5EB8"/>
    <w:rsid w:val="00FA6159"/>
    <w:rsid w:val="00FB306D"/>
    <w:rsid w:val="00FB32A6"/>
    <w:rsid w:val="00FB5484"/>
    <w:rsid w:val="00FC0B77"/>
    <w:rsid w:val="00FC700E"/>
    <w:rsid w:val="00FF1F72"/>
    <w:rsid w:val="449C25A2"/>
    <w:rsid w:val="6783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D18B"/>
  <w15:chartTrackingRefBased/>
  <w15:docId w15:val="{96D6A3B2-4669-46A7-B2FC-FC533061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6AAD"/>
    <w:pPr>
      <w:tabs>
        <w:tab w:val="center" w:pos="4680"/>
        <w:tab w:val="right" w:pos="9360"/>
      </w:tabs>
    </w:pPr>
  </w:style>
  <w:style w:type="character" w:customStyle="1" w:styleId="stbilgiChar">
    <w:name w:val="Üstbilgi Char"/>
    <w:basedOn w:val="VarsaylanParagrafYazTipi"/>
    <w:link w:val="stbilgi"/>
    <w:uiPriority w:val="99"/>
    <w:rsid w:val="001B6AAD"/>
  </w:style>
  <w:style w:type="paragraph" w:styleId="Altbilgi">
    <w:name w:val="footer"/>
    <w:basedOn w:val="Normal"/>
    <w:link w:val="AltbilgiChar"/>
    <w:uiPriority w:val="99"/>
    <w:unhideWhenUsed/>
    <w:rsid w:val="001B6AAD"/>
    <w:pPr>
      <w:tabs>
        <w:tab w:val="center" w:pos="4680"/>
        <w:tab w:val="right" w:pos="9360"/>
      </w:tabs>
    </w:pPr>
  </w:style>
  <w:style w:type="character" w:customStyle="1" w:styleId="AltbilgiChar">
    <w:name w:val="Altbilgi Char"/>
    <w:basedOn w:val="VarsaylanParagrafYazTipi"/>
    <w:link w:val="Altbilgi"/>
    <w:uiPriority w:val="99"/>
    <w:rsid w:val="001B6AAD"/>
  </w:style>
  <w:style w:type="character" w:customStyle="1" w:styleId="apple-converted-space">
    <w:name w:val="apple-converted-space"/>
    <w:basedOn w:val="VarsaylanParagrafYazTipi"/>
    <w:rsid w:val="0057759A"/>
  </w:style>
  <w:style w:type="character" w:styleId="AklamaBavurusu">
    <w:name w:val="annotation reference"/>
    <w:basedOn w:val="VarsaylanParagrafYazTipi"/>
    <w:uiPriority w:val="99"/>
    <w:semiHidden/>
    <w:unhideWhenUsed/>
    <w:rsid w:val="00FB5484"/>
    <w:rPr>
      <w:sz w:val="16"/>
      <w:szCs w:val="16"/>
    </w:rPr>
  </w:style>
  <w:style w:type="paragraph" w:styleId="AklamaMetni">
    <w:name w:val="annotation text"/>
    <w:basedOn w:val="Normal"/>
    <w:link w:val="AklamaMetniChar"/>
    <w:uiPriority w:val="99"/>
    <w:semiHidden/>
    <w:unhideWhenUsed/>
    <w:rsid w:val="00FB5484"/>
    <w:rPr>
      <w:sz w:val="20"/>
      <w:szCs w:val="20"/>
    </w:rPr>
  </w:style>
  <w:style w:type="character" w:customStyle="1" w:styleId="AklamaMetniChar">
    <w:name w:val="Açıklama Metni Char"/>
    <w:basedOn w:val="VarsaylanParagrafYazTipi"/>
    <w:link w:val="AklamaMetni"/>
    <w:uiPriority w:val="99"/>
    <w:semiHidden/>
    <w:rsid w:val="00FB5484"/>
    <w:rPr>
      <w:sz w:val="20"/>
      <w:szCs w:val="20"/>
    </w:rPr>
  </w:style>
  <w:style w:type="paragraph" w:styleId="AklamaKonusu">
    <w:name w:val="annotation subject"/>
    <w:basedOn w:val="AklamaMetni"/>
    <w:next w:val="AklamaMetni"/>
    <w:link w:val="AklamaKonusuChar"/>
    <w:uiPriority w:val="99"/>
    <w:semiHidden/>
    <w:unhideWhenUsed/>
    <w:rsid w:val="00FB5484"/>
    <w:rPr>
      <w:b/>
      <w:bCs/>
    </w:rPr>
  </w:style>
  <w:style w:type="character" w:customStyle="1" w:styleId="AklamaKonusuChar">
    <w:name w:val="Açıklama Konusu Char"/>
    <w:basedOn w:val="AklamaMetniChar"/>
    <w:link w:val="AklamaKonusu"/>
    <w:uiPriority w:val="99"/>
    <w:semiHidden/>
    <w:rsid w:val="00FB5484"/>
    <w:rPr>
      <w:b/>
      <w:bCs/>
      <w:sz w:val="20"/>
      <w:szCs w:val="20"/>
    </w:rPr>
  </w:style>
  <w:style w:type="paragraph" w:styleId="BalonMetni">
    <w:name w:val="Balloon Text"/>
    <w:basedOn w:val="Normal"/>
    <w:link w:val="BalonMetniChar"/>
    <w:uiPriority w:val="99"/>
    <w:semiHidden/>
    <w:unhideWhenUsed/>
    <w:rsid w:val="00FB548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484"/>
    <w:rPr>
      <w:rFonts w:ascii="Segoe UI" w:hAnsi="Segoe UI" w:cs="Segoe UI"/>
      <w:sz w:val="18"/>
      <w:szCs w:val="18"/>
    </w:rPr>
  </w:style>
  <w:style w:type="paragraph" w:styleId="Dzeltme">
    <w:name w:val="Revision"/>
    <w:hidden/>
    <w:uiPriority w:val="99"/>
    <w:semiHidden/>
    <w:rsid w:val="00AE180E"/>
  </w:style>
  <w:style w:type="paragraph" w:customStyle="1" w:styleId="paragraph">
    <w:name w:val="paragraph"/>
    <w:basedOn w:val="Normal"/>
    <w:rsid w:val="00D6092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VarsaylanParagrafYazTipi"/>
    <w:rsid w:val="00D6092C"/>
  </w:style>
  <w:style w:type="character" w:customStyle="1" w:styleId="eop">
    <w:name w:val="eop"/>
    <w:basedOn w:val="VarsaylanParagrafYazTipi"/>
    <w:rsid w:val="00D6092C"/>
  </w:style>
  <w:style w:type="paragraph" w:styleId="KonuBal">
    <w:name w:val="Title"/>
    <w:basedOn w:val="Normal"/>
    <w:next w:val="Normal"/>
    <w:link w:val="KonuBalChar"/>
    <w:uiPriority w:val="10"/>
    <w:qFormat/>
    <w:rsid w:val="00D6092C"/>
    <w:pPr>
      <w:contextualSpacing/>
    </w:pPr>
    <w:rPr>
      <w:rFonts w:asciiTheme="majorHAnsi" w:eastAsiaTheme="majorEastAsia" w:hAnsiTheme="majorHAnsi" w:cstheme="majorBidi"/>
      <w:spacing w:val="-10"/>
      <w:kern w:val="28"/>
      <w:sz w:val="56"/>
      <w:szCs w:val="56"/>
      <w:lang w:val="tr-TR"/>
    </w:rPr>
  </w:style>
  <w:style w:type="character" w:customStyle="1" w:styleId="KonuBalChar">
    <w:name w:val="Konu Başlığı Char"/>
    <w:basedOn w:val="VarsaylanParagrafYazTipi"/>
    <w:link w:val="KonuBal"/>
    <w:uiPriority w:val="10"/>
    <w:rsid w:val="00D6092C"/>
    <w:rPr>
      <w:rFonts w:asciiTheme="majorHAnsi" w:eastAsiaTheme="majorEastAsia" w:hAnsiTheme="majorHAnsi" w:cstheme="majorBidi"/>
      <w:spacing w:val="-10"/>
      <w:kern w:val="28"/>
      <w:sz w:val="56"/>
      <w:szCs w:val="56"/>
      <w:lang w:val="tr-TR"/>
    </w:rPr>
  </w:style>
  <w:style w:type="paragraph" w:styleId="NormalWeb">
    <w:name w:val="Normal (Web)"/>
    <w:basedOn w:val="Normal"/>
    <w:uiPriority w:val="99"/>
    <w:semiHidden/>
    <w:unhideWhenUsed/>
    <w:rsid w:val="009514DA"/>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C41FDA"/>
    <w:rPr>
      <w:b/>
      <w:bCs/>
    </w:rPr>
  </w:style>
  <w:style w:type="character" w:styleId="Kpr">
    <w:name w:val="Hyperlink"/>
    <w:basedOn w:val="VarsaylanParagrafYazTipi"/>
    <w:uiPriority w:val="99"/>
    <w:semiHidden/>
    <w:unhideWhenUsed/>
    <w:rsid w:val="00C41FDA"/>
    <w:rPr>
      <w:color w:val="D447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6805">
      <w:bodyDiv w:val="1"/>
      <w:marLeft w:val="0"/>
      <w:marRight w:val="0"/>
      <w:marTop w:val="0"/>
      <w:marBottom w:val="0"/>
      <w:divBdr>
        <w:top w:val="none" w:sz="0" w:space="0" w:color="auto"/>
        <w:left w:val="none" w:sz="0" w:space="0" w:color="auto"/>
        <w:bottom w:val="none" w:sz="0" w:space="0" w:color="auto"/>
        <w:right w:val="none" w:sz="0" w:space="0" w:color="auto"/>
      </w:divBdr>
    </w:div>
    <w:div w:id="356346530">
      <w:bodyDiv w:val="1"/>
      <w:marLeft w:val="0"/>
      <w:marRight w:val="0"/>
      <w:marTop w:val="0"/>
      <w:marBottom w:val="0"/>
      <w:divBdr>
        <w:top w:val="none" w:sz="0" w:space="0" w:color="auto"/>
        <w:left w:val="none" w:sz="0" w:space="0" w:color="auto"/>
        <w:bottom w:val="none" w:sz="0" w:space="0" w:color="auto"/>
        <w:right w:val="none" w:sz="0" w:space="0" w:color="auto"/>
      </w:divBdr>
    </w:div>
    <w:div w:id="567033388">
      <w:bodyDiv w:val="1"/>
      <w:marLeft w:val="0"/>
      <w:marRight w:val="0"/>
      <w:marTop w:val="0"/>
      <w:marBottom w:val="0"/>
      <w:divBdr>
        <w:top w:val="none" w:sz="0" w:space="0" w:color="auto"/>
        <w:left w:val="none" w:sz="0" w:space="0" w:color="auto"/>
        <w:bottom w:val="none" w:sz="0" w:space="0" w:color="auto"/>
        <w:right w:val="none" w:sz="0" w:space="0" w:color="auto"/>
      </w:divBdr>
    </w:div>
    <w:div w:id="642076310">
      <w:bodyDiv w:val="1"/>
      <w:marLeft w:val="0"/>
      <w:marRight w:val="0"/>
      <w:marTop w:val="0"/>
      <w:marBottom w:val="0"/>
      <w:divBdr>
        <w:top w:val="none" w:sz="0" w:space="0" w:color="auto"/>
        <w:left w:val="none" w:sz="0" w:space="0" w:color="auto"/>
        <w:bottom w:val="none" w:sz="0" w:space="0" w:color="auto"/>
        <w:right w:val="none" w:sz="0" w:space="0" w:color="auto"/>
      </w:divBdr>
    </w:div>
    <w:div w:id="939920552">
      <w:bodyDiv w:val="1"/>
      <w:marLeft w:val="0"/>
      <w:marRight w:val="0"/>
      <w:marTop w:val="0"/>
      <w:marBottom w:val="0"/>
      <w:divBdr>
        <w:top w:val="none" w:sz="0" w:space="0" w:color="auto"/>
        <w:left w:val="none" w:sz="0" w:space="0" w:color="auto"/>
        <w:bottom w:val="none" w:sz="0" w:space="0" w:color="auto"/>
        <w:right w:val="none" w:sz="0" w:space="0" w:color="auto"/>
      </w:divBdr>
    </w:div>
    <w:div w:id="1054894185">
      <w:bodyDiv w:val="1"/>
      <w:marLeft w:val="0"/>
      <w:marRight w:val="0"/>
      <w:marTop w:val="0"/>
      <w:marBottom w:val="0"/>
      <w:divBdr>
        <w:top w:val="none" w:sz="0" w:space="0" w:color="auto"/>
        <w:left w:val="none" w:sz="0" w:space="0" w:color="auto"/>
        <w:bottom w:val="none" w:sz="0" w:space="0" w:color="auto"/>
        <w:right w:val="none" w:sz="0" w:space="0" w:color="auto"/>
      </w:divBdr>
    </w:div>
    <w:div w:id="1125662773">
      <w:bodyDiv w:val="1"/>
      <w:marLeft w:val="0"/>
      <w:marRight w:val="0"/>
      <w:marTop w:val="0"/>
      <w:marBottom w:val="0"/>
      <w:divBdr>
        <w:top w:val="none" w:sz="0" w:space="0" w:color="auto"/>
        <w:left w:val="none" w:sz="0" w:space="0" w:color="auto"/>
        <w:bottom w:val="none" w:sz="0" w:space="0" w:color="auto"/>
        <w:right w:val="none" w:sz="0" w:space="0" w:color="auto"/>
      </w:divBdr>
    </w:div>
    <w:div w:id="1169100359">
      <w:bodyDiv w:val="1"/>
      <w:marLeft w:val="0"/>
      <w:marRight w:val="0"/>
      <w:marTop w:val="0"/>
      <w:marBottom w:val="0"/>
      <w:divBdr>
        <w:top w:val="none" w:sz="0" w:space="0" w:color="auto"/>
        <w:left w:val="none" w:sz="0" w:space="0" w:color="auto"/>
        <w:bottom w:val="none" w:sz="0" w:space="0" w:color="auto"/>
        <w:right w:val="none" w:sz="0" w:space="0" w:color="auto"/>
      </w:divBdr>
    </w:div>
    <w:div w:id="1352878026">
      <w:bodyDiv w:val="1"/>
      <w:marLeft w:val="0"/>
      <w:marRight w:val="0"/>
      <w:marTop w:val="0"/>
      <w:marBottom w:val="0"/>
      <w:divBdr>
        <w:top w:val="none" w:sz="0" w:space="0" w:color="auto"/>
        <w:left w:val="none" w:sz="0" w:space="0" w:color="auto"/>
        <w:bottom w:val="none" w:sz="0" w:space="0" w:color="auto"/>
        <w:right w:val="none" w:sz="0" w:space="0" w:color="auto"/>
      </w:divBdr>
      <w:divsChild>
        <w:div w:id="1768235139">
          <w:marLeft w:val="0"/>
          <w:marRight w:val="0"/>
          <w:marTop w:val="0"/>
          <w:marBottom w:val="0"/>
          <w:divBdr>
            <w:top w:val="none" w:sz="0" w:space="0" w:color="auto"/>
            <w:left w:val="none" w:sz="0" w:space="0" w:color="auto"/>
            <w:bottom w:val="none" w:sz="0" w:space="0" w:color="auto"/>
            <w:right w:val="none" w:sz="0" w:space="0" w:color="auto"/>
          </w:divBdr>
        </w:div>
      </w:divsChild>
    </w:div>
    <w:div w:id="1474177819">
      <w:bodyDiv w:val="1"/>
      <w:marLeft w:val="0"/>
      <w:marRight w:val="0"/>
      <w:marTop w:val="0"/>
      <w:marBottom w:val="0"/>
      <w:divBdr>
        <w:top w:val="none" w:sz="0" w:space="0" w:color="auto"/>
        <w:left w:val="none" w:sz="0" w:space="0" w:color="auto"/>
        <w:bottom w:val="none" w:sz="0" w:space="0" w:color="auto"/>
        <w:right w:val="none" w:sz="0" w:space="0" w:color="auto"/>
      </w:divBdr>
    </w:div>
    <w:div w:id="1790081289">
      <w:bodyDiv w:val="1"/>
      <w:marLeft w:val="0"/>
      <w:marRight w:val="0"/>
      <w:marTop w:val="0"/>
      <w:marBottom w:val="0"/>
      <w:divBdr>
        <w:top w:val="none" w:sz="0" w:space="0" w:color="auto"/>
        <w:left w:val="none" w:sz="0" w:space="0" w:color="auto"/>
        <w:bottom w:val="none" w:sz="0" w:space="0" w:color="auto"/>
        <w:right w:val="none" w:sz="0" w:space="0" w:color="auto"/>
      </w:divBdr>
    </w:div>
    <w:div w:id="1832870241">
      <w:bodyDiv w:val="1"/>
      <w:marLeft w:val="0"/>
      <w:marRight w:val="0"/>
      <w:marTop w:val="0"/>
      <w:marBottom w:val="0"/>
      <w:divBdr>
        <w:top w:val="none" w:sz="0" w:space="0" w:color="auto"/>
        <w:left w:val="none" w:sz="0" w:space="0" w:color="auto"/>
        <w:bottom w:val="none" w:sz="0" w:space="0" w:color="auto"/>
        <w:right w:val="none" w:sz="0" w:space="0" w:color="auto"/>
      </w:divBdr>
    </w:div>
    <w:div w:id="1941526899">
      <w:bodyDiv w:val="1"/>
      <w:marLeft w:val="0"/>
      <w:marRight w:val="0"/>
      <w:marTop w:val="0"/>
      <w:marBottom w:val="0"/>
      <w:divBdr>
        <w:top w:val="none" w:sz="0" w:space="0" w:color="auto"/>
        <w:left w:val="none" w:sz="0" w:space="0" w:color="auto"/>
        <w:bottom w:val="none" w:sz="0" w:space="0" w:color="auto"/>
        <w:right w:val="none" w:sz="0" w:space="0" w:color="auto"/>
      </w:divBdr>
      <w:divsChild>
        <w:div w:id="100952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zinb@bordop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724</Words>
  <Characters>4131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Güzer - Mobilexpress</dc:creator>
  <cp:keywords/>
  <dc:description/>
  <cp:lastModifiedBy>Sezin Bulum</cp:lastModifiedBy>
  <cp:revision>9</cp:revision>
  <cp:lastPrinted>2020-06-26T20:36:00Z</cp:lastPrinted>
  <dcterms:created xsi:type="dcterms:W3CDTF">2021-04-09T09:06:00Z</dcterms:created>
  <dcterms:modified xsi:type="dcterms:W3CDTF">2021-04-12T15:26:00Z</dcterms:modified>
</cp:coreProperties>
</file>