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918" w14:textId="3754A312" w:rsidR="00D322B8" w:rsidRPr="008A4C03" w:rsidRDefault="00D322B8" w:rsidP="00D322B8">
      <w:pPr>
        <w:rPr>
          <w:rFonts w:ascii="Tahoma" w:eastAsia="Tahoma" w:hAnsi="Tahoma" w:cs="Tahoma"/>
          <w:b/>
          <w:u w:val="single"/>
        </w:rPr>
      </w:pPr>
      <w:r w:rsidRPr="004C4499">
        <w:rPr>
          <w:rFonts w:ascii="Tahoma" w:eastAsia="Tahoma" w:hAnsi="Tahoma" w:cs="Tahoma"/>
          <w:b/>
          <w:u w:val="single"/>
        </w:rPr>
        <w:t>BASIN BÜLTENİ</w:t>
      </w:r>
      <w:r w:rsidRPr="004C4499">
        <w:rPr>
          <w:rFonts w:ascii="Tahoma" w:eastAsia="Tahoma" w:hAnsi="Tahoma" w:cs="Tahoma"/>
          <w:b/>
          <w:u w:val="single"/>
        </w:rPr>
        <w:tab/>
      </w:r>
      <w:r w:rsidRPr="004C4499">
        <w:rPr>
          <w:rFonts w:ascii="Tahoma" w:eastAsia="Tahoma" w:hAnsi="Tahoma" w:cs="Tahoma"/>
          <w:b/>
          <w:u w:val="single"/>
        </w:rPr>
        <w:tab/>
      </w:r>
      <w:r w:rsidRPr="004C4499">
        <w:rPr>
          <w:rFonts w:ascii="Tahoma" w:eastAsia="Tahoma" w:hAnsi="Tahoma" w:cs="Tahoma"/>
          <w:b/>
          <w:u w:val="single"/>
        </w:rPr>
        <w:tab/>
      </w:r>
      <w:r w:rsidRPr="004C4499">
        <w:rPr>
          <w:rFonts w:ascii="Tahoma" w:eastAsia="Tahoma" w:hAnsi="Tahoma" w:cs="Tahoma"/>
          <w:b/>
          <w:u w:val="single"/>
        </w:rPr>
        <w:tab/>
      </w:r>
      <w:r w:rsidRPr="004C4499">
        <w:rPr>
          <w:rFonts w:ascii="Tahoma" w:eastAsia="Tahoma" w:hAnsi="Tahoma" w:cs="Tahoma"/>
          <w:b/>
          <w:u w:val="single"/>
        </w:rPr>
        <w:tab/>
        <w:t xml:space="preserve">                                            </w:t>
      </w:r>
      <w:r w:rsidR="004C4499" w:rsidRPr="004C4499">
        <w:rPr>
          <w:rFonts w:ascii="Tahoma" w:eastAsia="Tahoma" w:hAnsi="Tahoma" w:cs="Tahoma"/>
          <w:b/>
          <w:u w:val="single"/>
        </w:rPr>
        <w:t>22</w:t>
      </w:r>
      <w:r w:rsidRPr="004C4499">
        <w:rPr>
          <w:rFonts w:ascii="Tahoma" w:eastAsia="Tahoma" w:hAnsi="Tahoma" w:cs="Tahoma"/>
          <w:b/>
          <w:u w:val="single"/>
        </w:rPr>
        <w:t>.0</w:t>
      </w:r>
      <w:r w:rsidR="00EC2029" w:rsidRPr="004C4499">
        <w:rPr>
          <w:rFonts w:ascii="Tahoma" w:eastAsia="Tahoma" w:hAnsi="Tahoma" w:cs="Tahoma"/>
          <w:b/>
          <w:u w:val="single"/>
        </w:rPr>
        <w:t>6</w:t>
      </w:r>
      <w:r w:rsidRPr="004C4499">
        <w:rPr>
          <w:rFonts w:ascii="Tahoma" w:eastAsia="Tahoma" w:hAnsi="Tahoma" w:cs="Tahoma"/>
          <w:b/>
          <w:u w:val="single"/>
        </w:rPr>
        <w:t>.2022</w:t>
      </w:r>
    </w:p>
    <w:p w14:paraId="335CEAF7" w14:textId="3D97123E" w:rsidR="00D322B8" w:rsidRPr="00ED4822" w:rsidRDefault="00D322B8" w:rsidP="00ED4822">
      <w:pPr>
        <w:rPr>
          <w:rFonts w:ascii="Arial" w:hAnsi="Arial"/>
          <w:b/>
        </w:rPr>
      </w:pPr>
    </w:p>
    <w:p w14:paraId="5319A3EA" w14:textId="45644C9A" w:rsidR="00F33ED6" w:rsidRPr="00ED4822" w:rsidRDefault="00F33ED6" w:rsidP="00F33ED6">
      <w:pPr>
        <w:spacing w:after="0" w:line="300" w:lineRule="auto"/>
        <w:contextualSpacing/>
        <w:jc w:val="center"/>
        <w:rPr>
          <w:rFonts w:ascii="Arial" w:hAnsi="Arial" w:cs="Arial"/>
          <w:b/>
          <w:bCs/>
          <w:sz w:val="24"/>
          <w:szCs w:val="24"/>
        </w:rPr>
      </w:pPr>
      <w:proofErr w:type="spellStart"/>
      <w:r w:rsidRPr="00ED4822">
        <w:rPr>
          <w:rFonts w:ascii="Arial" w:hAnsi="Arial" w:cs="Arial"/>
          <w:b/>
          <w:bCs/>
          <w:sz w:val="24"/>
          <w:szCs w:val="24"/>
        </w:rPr>
        <w:t>KPMG’nin</w:t>
      </w:r>
      <w:proofErr w:type="spellEnd"/>
      <w:r w:rsidRPr="00ED4822">
        <w:rPr>
          <w:rFonts w:ascii="Arial" w:hAnsi="Arial" w:cs="Arial"/>
          <w:b/>
          <w:bCs/>
          <w:sz w:val="24"/>
          <w:szCs w:val="24"/>
        </w:rPr>
        <w:t xml:space="preserve"> 2022 yılı “Küresel Madencilik Sektörüne Genel Bakış” anketi</w:t>
      </w:r>
    </w:p>
    <w:p w14:paraId="1D39CAA2" w14:textId="77777777" w:rsidR="004C4499" w:rsidRDefault="004C4499" w:rsidP="008262BA">
      <w:pPr>
        <w:spacing w:after="0" w:line="300" w:lineRule="auto"/>
        <w:contextualSpacing/>
        <w:jc w:val="center"/>
        <w:rPr>
          <w:rFonts w:ascii="Arial" w:hAnsi="Arial" w:cs="Arial"/>
          <w:b/>
          <w:bCs/>
          <w:sz w:val="36"/>
          <w:szCs w:val="36"/>
        </w:rPr>
      </w:pPr>
    </w:p>
    <w:p w14:paraId="1539AA11" w14:textId="629585C5" w:rsidR="00F33ED6" w:rsidRPr="00ED4822" w:rsidRDefault="00F33ED6" w:rsidP="008262BA">
      <w:pPr>
        <w:spacing w:after="0" w:line="300" w:lineRule="auto"/>
        <w:contextualSpacing/>
        <w:jc w:val="center"/>
        <w:rPr>
          <w:rFonts w:ascii="Arial" w:hAnsi="Arial"/>
          <w:b/>
          <w:sz w:val="36"/>
          <w:szCs w:val="36"/>
        </w:rPr>
      </w:pPr>
      <w:r w:rsidRPr="00ED4822">
        <w:rPr>
          <w:rFonts w:ascii="Arial" w:hAnsi="Arial" w:cs="Arial"/>
          <w:b/>
          <w:bCs/>
          <w:sz w:val="36"/>
          <w:szCs w:val="36"/>
        </w:rPr>
        <w:t>Madencilik sektöründe çevresel riskler ilk sıraya yerleşti</w:t>
      </w:r>
    </w:p>
    <w:p w14:paraId="0704C3D2" w14:textId="77777777" w:rsidR="00D322B8" w:rsidRPr="0004503B" w:rsidRDefault="00D322B8" w:rsidP="00D322B8">
      <w:pPr>
        <w:spacing w:after="0" w:line="300" w:lineRule="auto"/>
        <w:contextualSpacing/>
        <w:jc w:val="both"/>
        <w:rPr>
          <w:rFonts w:ascii="Arial" w:hAnsi="Arial" w:cs="Arial"/>
          <w:highlight w:val="yellow"/>
        </w:rPr>
      </w:pPr>
    </w:p>
    <w:p w14:paraId="4893DA5F" w14:textId="066043B9" w:rsidR="00FB099A" w:rsidRPr="008A4C03" w:rsidRDefault="00754803" w:rsidP="00131916">
      <w:pPr>
        <w:spacing w:after="0" w:line="300" w:lineRule="auto"/>
        <w:contextualSpacing/>
        <w:jc w:val="center"/>
        <w:rPr>
          <w:rFonts w:ascii="Arial" w:hAnsi="Arial" w:cs="Arial"/>
          <w:b/>
          <w:bCs/>
          <w:sz w:val="28"/>
          <w:szCs w:val="28"/>
        </w:rPr>
      </w:pPr>
      <w:bookmarkStart w:id="0" w:name="_Hlk106703821"/>
      <w:proofErr w:type="spellStart"/>
      <w:r w:rsidRPr="00754803">
        <w:rPr>
          <w:rFonts w:ascii="Arial" w:hAnsi="Arial" w:cs="Arial"/>
          <w:b/>
          <w:bCs/>
          <w:sz w:val="28"/>
          <w:szCs w:val="28"/>
        </w:rPr>
        <w:t>KPMG’nin</w:t>
      </w:r>
      <w:proofErr w:type="spellEnd"/>
      <w:r w:rsidRPr="00754803">
        <w:rPr>
          <w:rFonts w:ascii="Arial" w:hAnsi="Arial" w:cs="Arial"/>
          <w:b/>
          <w:bCs/>
          <w:sz w:val="28"/>
          <w:szCs w:val="28"/>
        </w:rPr>
        <w:t xml:space="preserve"> madencilik sektörünün liderlerin</w:t>
      </w:r>
      <w:r>
        <w:rPr>
          <w:rFonts w:ascii="Arial" w:hAnsi="Arial" w:cs="Arial"/>
          <w:b/>
          <w:bCs/>
          <w:sz w:val="28"/>
          <w:szCs w:val="28"/>
        </w:rPr>
        <w:t xml:space="preserve">in katılımı ile gerçekleştirdiği </w:t>
      </w:r>
      <w:r w:rsidRPr="00754803">
        <w:rPr>
          <w:rFonts w:ascii="Arial" w:hAnsi="Arial" w:cs="Arial"/>
          <w:b/>
          <w:bCs/>
          <w:sz w:val="28"/>
          <w:szCs w:val="28"/>
        </w:rPr>
        <w:t xml:space="preserve">“Küresel Madencilik Sektörüne Genel Bakış” 2022 yılı </w:t>
      </w:r>
      <w:r w:rsidR="00131916">
        <w:rPr>
          <w:rFonts w:ascii="Arial" w:hAnsi="Arial" w:cs="Arial"/>
          <w:b/>
          <w:bCs/>
          <w:sz w:val="28"/>
          <w:szCs w:val="28"/>
        </w:rPr>
        <w:t>anketine göre g</w:t>
      </w:r>
      <w:r w:rsidR="00131916" w:rsidRPr="00131916">
        <w:rPr>
          <w:rFonts w:ascii="Arial" w:hAnsi="Arial" w:cs="Arial"/>
          <w:b/>
          <w:bCs/>
          <w:sz w:val="28"/>
          <w:szCs w:val="28"/>
        </w:rPr>
        <w:t>eçen yıl ilk sırada yer alan emtia fiyat riski bu yıl ikinci sıraya gerilerken zirvede artık çevre</w:t>
      </w:r>
      <w:r w:rsidR="00206A6E">
        <w:rPr>
          <w:rFonts w:ascii="Arial" w:hAnsi="Arial" w:cs="Arial"/>
          <w:b/>
          <w:bCs/>
          <w:sz w:val="28"/>
          <w:szCs w:val="28"/>
        </w:rPr>
        <w:t>sel</w:t>
      </w:r>
      <w:r w:rsidR="00131916" w:rsidRPr="00131916">
        <w:rPr>
          <w:rFonts w:ascii="Arial" w:hAnsi="Arial" w:cs="Arial"/>
          <w:b/>
          <w:bCs/>
          <w:sz w:val="28"/>
          <w:szCs w:val="28"/>
        </w:rPr>
        <w:t xml:space="preserve"> riskler bulunuyor. Çevre</w:t>
      </w:r>
      <w:r w:rsidR="00206A6E">
        <w:rPr>
          <w:rFonts w:ascii="Arial" w:hAnsi="Arial" w:cs="Arial"/>
          <w:b/>
          <w:bCs/>
          <w:sz w:val="28"/>
          <w:szCs w:val="28"/>
        </w:rPr>
        <w:t>sel</w:t>
      </w:r>
      <w:r w:rsidR="00131916" w:rsidRPr="00131916">
        <w:rPr>
          <w:rFonts w:ascii="Arial" w:hAnsi="Arial" w:cs="Arial"/>
          <w:b/>
          <w:bCs/>
          <w:sz w:val="28"/>
          <w:szCs w:val="28"/>
        </w:rPr>
        <w:t xml:space="preserve"> ri</w:t>
      </w:r>
      <w:r w:rsidR="00131916">
        <w:rPr>
          <w:rFonts w:ascii="Arial" w:hAnsi="Arial" w:cs="Arial"/>
          <w:b/>
          <w:bCs/>
          <w:sz w:val="28"/>
          <w:szCs w:val="28"/>
        </w:rPr>
        <w:t xml:space="preserve">skler </w:t>
      </w:r>
      <w:r w:rsidR="00131916" w:rsidRPr="00131916">
        <w:rPr>
          <w:rFonts w:ascii="Arial" w:hAnsi="Arial" w:cs="Arial"/>
          <w:b/>
          <w:bCs/>
          <w:sz w:val="28"/>
          <w:szCs w:val="28"/>
        </w:rPr>
        <w:t>geçen yılki listede beşince sırada yer alıyordu.</w:t>
      </w:r>
      <w:r w:rsidR="00131916">
        <w:rPr>
          <w:rFonts w:ascii="Arial" w:hAnsi="Arial" w:cs="Arial"/>
          <w:b/>
          <w:bCs/>
          <w:sz w:val="28"/>
          <w:szCs w:val="28"/>
        </w:rPr>
        <w:t xml:space="preserve"> E</w:t>
      </w:r>
      <w:r w:rsidR="00F33ED6" w:rsidRPr="00F33ED6">
        <w:rPr>
          <w:rFonts w:ascii="Arial" w:hAnsi="Arial" w:cs="Arial"/>
          <w:b/>
          <w:bCs/>
          <w:sz w:val="28"/>
          <w:szCs w:val="28"/>
        </w:rPr>
        <w:t xml:space="preserve">nflasyon ise ilk 10'un hemen dışında </w:t>
      </w:r>
      <w:r w:rsidR="00131916">
        <w:rPr>
          <w:rFonts w:ascii="Arial" w:hAnsi="Arial" w:cs="Arial"/>
          <w:b/>
          <w:bCs/>
          <w:sz w:val="28"/>
          <w:szCs w:val="28"/>
        </w:rPr>
        <w:t xml:space="preserve">artık </w:t>
      </w:r>
      <w:r w:rsidR="00F33ED6" w:rsidRPr="00F33ED6">
        <w:rPr>
          <w:rFonts w:ascii="Arial" w:hAnsi="Arial" w:cs="Arial"/>
          <w:b/>
          <w:bCs/>
          <w:sz w:val="28"/>
          <w:szCs w:val="28"/>
        </w:rPr>
        <w:t xml:space="preserve">yeni bir endişe kaynağı olarak </w:t>
      </w:r>
      <w:r w:rsidR="00131916">
        <w:rPr>
          <w:rFonts w:ascii="Arial" w:hAnsi="Arial" w:cs="Arial"/>
          <w:b/>
          <w:bCs/>
          <w:sz w:val="28"/>
          <w:szCs w:val="28"/>
        </w:rPr>
        <w:t>görülüyor</w:t>
      </w:r>
      <w:r w:rsidR="00F33ED6" w:rsidRPr="00F33ED6">
        <w:rPr>
          <w:rFonts w:ascii="Arial" w:hAnsi="Arial" w:cs="Arial"/>
          <w:b/>
          <w:bCs/>
          <w:sz w:val="28"/>
          <w:szCs w:val="28"/>
        </w:rPr>
        <w:t>.</w:t>
      </w:r>
      <w:r w:rsidR="00131916">
        <w:rPr>
          <w:rFonts w:ascii="Arial" w:hAnsi="Arial" w:cs="Arial"/>
          <w:b/>
          <w:bCs/>
          <w:sz w:val="28"/>
          <w:szCs w:val="28"/>
        </w:rPr>
        <w:t xml:space="preserve"> </w:t>
      </w:r>
    </w:p>
    <w:p w14:paraId="78FFFAB0" w14:textId="77777777" w:rsidR="00D322B8" w:rsidRPr="008A4C03" w:rsidRDefault="00D322B8" w:rsidP="004A399D">
      <w:pPr>
        <w:spacing w:after="0" w:line="300" w:lineRule="auto"/>
        <w:contextualSpacing/>
        <w:jc w:val="both"/>
        <w:rPr>
          <w:rFonts w:ascii="Arial" w:hAnsi="Arial" w:cs="Arial"/>
        </w:rPr>
      </w:pPr>
    </w:p>
    <w:p w14:paraId="16F683B7" w14:textId="3612C69B" w:rsidR="0004503B" w:rsidRDefault="00E86FB5" w:rsidP="0004503B">
      <w:pPr>
        <w:spacing w:after="0" w:line="300" w:lineRule="auto"/>
        <w:contextualSpacing/>
        <w:jc w:val="both"/>
        <w:rPr>
          <w:rFonts w:ascii="Arial" w:hAnsi="Arial" w:cs="Arial"/>
        </w:rPr>
      </w:pPr>
      <w:r w:rsidRPr="00E86FB5">
        <w:rPr>
          <w:rFonts w:ascii="Arial" w:hAnsi="Arial" w:cs="Arial"/>
        </w:rPr>
        <w:t xml:space="preserve">Dünya genelinde tedarik zincirleri artan talepleri karşılamaya çalışırken madencilik sektörü </w:t>
      </w:r>
      <w:r>
        <w:rPr>
          <w:rFonts w:ascii="Arial" w:hAnsi="Arial" w:cs="Arial"/>
        </w:rPr>
        <w:t xml:space="preserve">de </w:t>
      </w:r>
      <w:r w:rsidRPr="00E86FB5">
        <w:rPr>
          <w:rFonts w:ascii="Arial" w:hAnsi="Arial" w:cs="Arial"/>
        </w:rPr>
        <w:t>daha fazla ilgi odağı oluyor ve kendisini dünyanın ihtiyaç duyduğu materyalleri hızla tedarik etme zorunluluğuyla karşı karşıya buluyor.</w:t>
      </w:r>
      <w:r>
        <w:rPr>
          <w:rFonts w:ascii="Arial" w:hAnsi="Arial" w:cs="Arial"/>
        </w:rPr>
        <w:t xml:space="preserve"> </w:t>
      </w:r>
      <w:proofErr w:type="spellStart"/>
      <w:r w:rsidR="005832C8">
        <w:rPr>
          <w:rFonts w:ascii="Arial" w:hAnsi="Arial" w:cs="Arial"/>
        </w:rPr>
        <w:t>KPMG’nin</w:t>
      </w:r>
      <w:proofErr w:type="spellEnd"/>
      <w:r w:rsidR="005832C8">
        <w:rPr>
          <w:rFonts w:ascii="Arial" w:hAnsi="Arial" w:cs="Arial"/>
        </w:rPr>
        <w:t xml:space="preserve"> m</w:t>
      </w:r>
      <w:r w:rsidR="005832C8" w:rsidRPr="001B75FC">
        <w:rPr>
          <w:rFonts w:ascii="Arial" w:hAnsi="Arial" w:cs="Arial"/>
        </w:rPr>
        <w:t>adencilik sektörünün liderlerine</w:t>
      </w:r>
      <w:r w:rsidR="005832C8">
        <w:rPr>
          <w:rFonts w:ascii="Arial" w:hAnsi="Arial" w:cs="Arial"/>
        </w:rPr>
        <w:t xml:space="preserve"> </w:t>
      </w:r>
      <w:r w:rsidR="005832C8" w:rsidRPr="001B75FC">
        <w:rPr>
          <w:rFonts w:ascii="Arial" w:hAnsi="Arial" w:cs="Arial"/>
        </w:rPr>
        <w:t>yönelik temel çıkarımlar</w:t>
      </w:r>
      <w:r w:rsidR="005832C8">
        <w:rPr>
          <w:rFonts w:ascii="Arial" w:hAnsi="Arial" w:cs="Arial"/>
        </w:rPr>
        <w:t>a yer verdiği “</w:t>
      </w:r>
      <w:r w:rsidR="0004503B" w:rsidRPr="0004503B">
        <w:rPr>
          <w:rFonts w:ascii="Arial" w:hAnsi="Arial" w:cs="Arial"/>
        </w:rPr>
        <w:t>Küresel Madencilik</w:t>
      </w:r>
      <w:r w:rsidR="005832C8">
        <w:rPr>
          <w:rFonts w:ascii="Arial" w:hAnsi="Arial" w:cs="Arial"/>
        </w:rPr>
        <w:t xml:space="preserve"> </w:t>
      </w:r>
      <w:r w:rsidR="0004503B" w:rsidRPr="0004503B">
        <w:rPr>
          <w:rFonts w:ascii="Arial" w:hAnsi="Arial" w:cs="Arial"/>
        </w:rPr>
        <w:t>Sektörüne</w:t>
      </w:r>
      <w:r w:rsidR="005832C8">
        <w:rPr>
          <w:rFonts w:ascii="Arial" w:hAnsi="Arial" w:cs="Arial"/>
        </w:rPr>
        <w:t xml:space="preserve"> </w:t>
      </w:r>
      <w:r w:rsidR="0004503B" w:rsidRPr="0004503B">
        <w:rPr>
          <w:rFonts w:ascii="Arial" w:hAnsi="Arial" w:cs="Arial"/>
        </w:rPr>
        <w:t>Genel Bakış</w:t>
      </w:r>
      <w:r w:rsidR="005832C8">
        <w:rPr>
          <w:rFonts w:ascii="Arial" w:hAnsi="Arial" w:cs="Arial"/>
        </w:rPr>
        <w:t>”</w:t>
      </w:r>
      <w:r w:rsidR="0004503B" w:rsidRPr="0004503B">
        <w:rPr>
          <w:rFonts w:ascii="Arial" w:hAnsi="Arial" w:cs="Arial"/>
        </w:rPr>
        <w:t xml:space="preserve"> 2022</w:t>
      </w:r>
      <w:r w:rsidR="005832C8">
        <w:rPr>
          <w:rFonts w:ascii="Arial" w:hAnsi="Arial" w:cs="Arial"/>
        </w:rPr>
        <w:t xml:space="preserve"> yılı anketinde sektörün karşı karşıya kaldığı en büyük risklerin yanı sıra </w:t>
      </w:r>
      <w:r w:rsidR="005832C8" w:rsidRPr="00206A6E">
        <w:rPr>
          <w:rFonts w:ascii="Arial" w:hAnsi="Arial" w:cs="Arial"/>
          <w:u w:val="single"/>
        </w:rPr>
        <w:t>geleceğe dönü</w:t>
      </w:r>
      <w:r w:rsidR="00206A6E">
        <w:rPr>
          <w:rFonts w:ascii="Arial" w:hAnsi="Arial" w:cs="Arial"/>
          <w:u w:val="single"/>
        </w:rPr>
        <w:t>k</w:t>
      </w:r>
      <w:r w:rsidR="005832C8">
        <w:rPr>
          <w:rFonts w:ascii="Arial" w:hAnsi="Arial" w:cs="Arial"/>
        </w:rPr>
        <w:t xml:space="preserve"> beklentiler de paylaşılıyor. </w:t>
      </w:r>
    </w:p>
    <w:p w14:paraId="300D2D67" w14:textId="59E4E7C9" w:rsidR="0004503B" w:rsidRDefault="0004503B" w:rsidP="0004503B">
      <w:pPr>
        <w:spacing w:after="0" w:line="300" w:lineRule="auto"/>
        <w:contextualSpacing/>
        <w:jc w:val="both"/>
        <w:rPr>
          <w:rFonts w:ascii="Arial" w:hAnsi="Arial" w:cs="Arial"/>
        </w:rPr>
      </w:pPr>
    </w:p>
    <w:p w14:paraId="17F03D99" w14:textId="6FF98087" w:rsidR="00E43011" w:rsidRDefault="005832C8" w:rsidP="00E43011">
      <w:pPr>
        <w:spacing w:after="0" w:line="300" w:lineRule="auto"/>
        <w:contextualSpacing/>
        <w:jc w:val="both"/>
        <w:rPr>
          <w:rFonts w:ascii="Arial" w:hAnsi="Arial" w:cs="Arial"/>
        </w:rPr>
      </w:pPr>
      <w:r>
        <w:rPr>
          <w:rFonts w:ascii="Arial" w:hAnsi="Arial" w:cs="Arial"/>
        </w:rPr>
        <w:t>Ankette b</w:t>
      </w:r>
      <w:r w:rsidR="00E43011" w:rsidRPr="00E43011">
        <w:rPr>
          <w:rFonts w:ascii="Arial" w:hAnsi="Arial" w:cs="Arial"/>
        </w:rPr>
        <w:t>elirlenen en büyük risklerden üçü</w:t>
      </w:r>
      <w:r>
        <w:rPr>
          <w:rFonts w:ascii="Arial" w:hAnsi="Arial" w:cs="Arial"/>
        </w:rPr>
        <w:t xml:space="preserve"> olan </w:t>
      </w:r>
      <w:r w:rsidR="00E43011" w:rsidRPr="00E43011">
        <w:rPr>
          <w:rFonts w:ascii="Arial" w:hAnsi="Arial" w:cs="Arial"/>
        </w:rPr>
        <w:t>ticaret savaş</w:t>
      </w:r>
      <w:r w:rsidR="00206A6E">
        <w:rPr>
          <w:rFonts w:ascii="Arial" w:hAnsi="Arial" w:cs="Arial"/>
        </w:rPr>
        <w:t>lar</w:t>
      </w:r>
      <w:r w:rsidR="00E43011" w:rsidRPr="00E43011">
        <w:rPr>
          <w:rFonts w:ascii="Arial" w:hAnsi="Arial" w:cs="Arial"/>
        </w:rPr>
        <w:t>ı, koruma tedbirleri, siyasi istikrar</w:t>
      </w:r>
      <w:r>
        <w:rPr>
          <w:rFonts w:ascii="Arial" w:hAnsi="Arial" w:cs="Arial"/>
        </w:rPr>
        <w:t xml:space="preserve"> </w:t>
      </w:r>
      <w:r w:rsidR="00E43011" w:rsidRPr="00E43011">
        <w:rPr>
          <w:rFonts w:ascii="Arial" w:hAnsi="Arial" w:cs="Arial"/>
        </w:rPr>
        <w:t xml:space="preserve">daha geniş anlamda jeopolitik riskler </w:t>
      </w:r>
      <w:r>
        <w:rPr>
          <w:rFonts w:ascii="Arial" w:hAnsi="Arial" w:cs="Arial"/>
        </w:rPr>
        <w:t>olarak öne çıkıyor</w:t>
      </w:r>
      <w:r w:rsidR="00E43011" w:rsidRPr="00E43011">
        <w:rPr>
          <w:rFonts w:ascii="Arial" w:hAnsi="Arial" w:cs="Arial"/>
        </w:rPr>
        <w:t xml:space="preserve">. Şirketler dünyada artan jeopolitik dalgalanmaların etkilerini yoğun bir şekilde hissediyor. </w:t>
      </w:r>
      <w:r>
        <w:rPr>
          <w:rFonts w:ascii="Arial" w:hAnsi="Arial" w:cs="Arial"/>
        </w:rPr>
        <w:t>Diğer yandan a</w:t>
      </w:r>
      <w:r w:rsidR="00E43011" w:rsidRPr="00E43011">
        <w:rPr>
          <w:rFonts w:ascii="Arial" w:hAnsi="Arial" w:cs="Arial"/>
        </w:rPr>
        <w:t>nket sonuçlarına göre geçen yılki ekonomik gerileme riskine ilişkin endişelerin bu yıl önemli ölçüde azalmış olması ve ilk 10 listesinden çıkması</w:t>
      </w:r>
      <w:r>
        <w:rPr>
          <w:rFonts w:ascii="Arial" w:hAnsi="Arial" w:cs="Arial"/>
        </w:rPr>
        <w:t xml:space="preserve"> </w:t>
      </w:r>
      <w:r w:rsidRPr="00E43011">
        <w:rPr>
          <w:rFonts w:ascii="Arial" w:hAnsi="Arial" w:cs="Arial"/>
        </w:rPr>
        <w:t>olumlu bir gelişme</w:t>
      </w:r>
      <w:r w:rsidR="00E43011" w:rsidRPr="00E43011">
        <w:rPr>
          <w:rFonts w:ascii="Arial" w:hAnsi="Arial" w:cs="Arial"/>
        </w:rPr>
        <w:t>. Bunda 2021'de</w:t>
      </w:r>
      <w:r>
        <w:rPr>
          <w:rFonts w:ascii="Arial" w:hAnsi="Arial" w:cs="Arial"/>
        </w:rPr>
        <w:t xml:space="preserve"> </w:t>
      </w:r>
      <w:proofErr w:type="spellStart"/>
      <w:r w:rsidR="00E43011" w:rsidRPr="00E43011">
        <w:rPr>
          <w:rFonts w:ascii="Arial" w:hAnsi="Arial" w:cs="Arial"/>
        </w:rPr>
        <w:t>pandeminin</w:t>
      </w:r>
      <w:proofErr w:type="spellEnd"/>
      <w:r w:rsidR="00E43011" w:rsidRPr="00E43011">
        <w:rPr>
          <w:rFonts w:ascii="Arial" w:hAnsi="Arial" w:cs="Arial"/>
        </w:rPr>
        <w:t xml:space="preserve"> etkisinin azalması ve toparlanma aşamasına geçilmesi etkili oldu. Bunun yanı sıra sermayeye erişim geçen yıla göre sektörün ilk 10 listesinden çıktı, bu da madencilik şirketlerinin finansman </w:t>
      </w:r>
      <w:proofErr w:type="gramStart"/>
      <w:r w:rsidR="00E43011" w:rsidRPr="00E43011">
        <w:rPr>
          <w:rFonts w:ascii="Arial" w:hAnsi="Arial" w:cs="Arial"/>
        </w:rPr>
        <w:t>ve</w:t>
      </w:r>
      <w:proofErr w:type="gramEnd"/>
      <w:r w:rsidR="00E43011" w:rsidRPr="00E43011">
        <w:rPr>
          <w:rFonts w:ascii="Arial" w:hAnsi="Arial" w:cs="Arial"/>
        </w:rPr>
        <w:t xml:space="preserve"> yatırım bulma konusunda kendilerine daha fazla güvendiğini gösteriyor. </w:t>
      </w:r>
    </w:p>
    <w:bookmarkEnd w:id="0"/>
    <w:p w14:paraId="00A11123" w14:textId="3E1B1719" w:rsidR="003E31EA" w:rsidRDefault="003E31EA" w:rsidP="00E43011">
      <w:pPr>
        <w:spacing w:after="0" w:line="300" w:lineRule="auto"/>
        <w:contextualSpacing/>
        <w:jc w:val="both"/>
        <w:rPr>
          <w:rFonts w:ascii="Arial" w:hAnsi="Arial" w:cs="Arial"/>
        </w:rPr>
      </w:pPr>
    </w:p>
    <w:p w14:paraId="3051FA71" w14:textId="1103BB96" w:rsidR="003E31EA" w:rsidRPr="00E43011" w:rsidRDefault="003E31EA" w:rsidP="00E43011">
      <w:pPr>
        <w:spacing w:after="0" w:line="300" w:lineRule="auto"/>
        <w:contextualSpacing/>
        <w:jc w:val="both"/>
        <w:rPr>
          <w:rFonts w:ascii="Arial" w:hAnsi="Arial" w:cs="Arial"/>
        </w:rPr>
      </w:pPr>
      <w:r w:rsidRPr="00ED4822">
        <w:rPr>
          <w:rFonts w:ascii="Arial" w:hAnsi="Arial" w:cs="Arial"/>
        </w:rPr>
        <w:t xml:space="preserve">Konuyla ilgili açıklama yapan </w:t>
      </w:r>
      <w:r w:rsidRPr="00ED4822">
        <w:rPr>
          <w:rFonts w:ascii="Arial" w:hAnsi="Arial" w:cs="Arial"/>
          <w:b/>
          <w:bCs/>
        </w:rPr>
        <w:t>KPMG Türkiye Metal ve Madencilik Sektör Lideri Burak Yıldırım</w:t>
      </w:r>
      <w:r w:rsidRPr="00ED4822">
        <w:rPr>
          <w:rFonts w:ascii="Arial" w:hAnsi="Arial" w:cs="Arial"/>
        </w:rPr>
        <w:t xml:space="preserve"> şunları söyledi: “</w:t>
      </w:r>
      <w:r w:rsidR="00CA26BB" w:rsidRPr="00ED4822">
        <w:rPr>
          <w:rFonts w:ascii="Arial" w:hAnsi="Arial" w:cs="Arial"/>
        </w:rPr>
        <w:t>Dünya genelinde tedarik zincirleri artan talepleri karşılamaya çalışırken madencilik sektörü en önemli sektörlerden bir</w:t>
      </w:r>
      <w:r w:rsidR="00ED4822">
        <w:rPr>
          <w:rFonts w:ascii="Arial" w:hAnsi="Arial" w:cs="Arial"/>
        </w:rPr>
        <w:t>i</w:t>
      </w:r>
      <w:r w:rsidR="00CA26BB" w:rsidRPr="00ED4822">
        <w:rPr>
          <w:rFonts w:ascii="Arial" w:hAnsi="Arial" w:cs="Arial"/>
        </w:rPr>
        <w:t xml:space="preserve"> haline geliyor.</w:t>
      </w:r>
      <w:r w:rsidR="00ED4822">
        <w:rPr>
          <w:rFonts w:ascii="Arial" w:hAnsi="Arial" w:cs="Arial"/>
        </w:rPr>
        <w:t xml:space="preserve"> </w:t>
      </w:r>
      <w:r w:rsidR="00CA26BB" w:rsidRPr="00ED4822">
        <w:rPr>
          <w:rFonts w:ascii="Arial" w:hAnsi="Arial" w:cs="Arial"/>
        </w:rPr>
        <w:t xml:space="preserve">Sektörün birinci önceliği </w:t>
      </w:r>
      <w:r w:rsidR="00CB7F84" w:rsidRPr="00ED4822">
        <w:rPr>
          <w:rFonts w:ascii="Arial" w:hAnsi="Arial" w:cs="Arial"/>
        </w:rPr>
        <w:t xml:space="preserve">dünyanın ihtiyaç duyduğu </w:t>
      </w:r>
      <w:r w:rsidR="00206A6E" w:rsidRPr="00206A6E">
        <w:rPr>
          <w:rFonts w:ascii="Arial" w:hAnsi="Arial" w:cs="Arial"/>
        </w:rPr>
        <w:t>materyallerin</w:t>
      </w:r>
      <w:r w:rsidR="00ED4822">
        <w:rPr>
          <w:rFonts w:ascii="Arial" w:hAnsi="Arial" w:cs="Arial"/>
        </w:rPr>
        <w:t>;</w:t>
      </w:r>
      <w:r w:rsidR="00CB7F84" w:rsidRPr="00ED4822">
        <w:rPr>
          <w:rFonts w:ascii="Arial" w:hAnsi="Arial" w:cs="Arial"/>
        </w:rPr>
        <w:t xml:space="preserve"> sürdürülebilir, şeffaf ve daha fazla paydaş tarafından kabul edilebilir yollarla çıkarılması ve teslim edilmesi. Gelecek senelerde toplumun beklentilerini doğru anlayan</w:t>
      </w:r>
      <w:r w:rsidR="00210785" w:rsidRPr="00ED4822">
        <w:rPr>
          <w:rFonts w:ascii="Arial" w:hAnsi="Arial" w:cs="Arial"/>
        </w:rPr>
        <w:t xml:space="preserve"> madencilik şirketlerinin bir adım önde olacağını söylemek yanlış olmayacaktır.”</w:t>
      </w:r>
      <w:r w:rsidR="00CB7F84">
        <w:rPr>
          <w:rFonts w:ascii="Arial" w:hAnsi="Arial" w:cs="Arial"/>
        </w:rPr>
        <w:t xml:space="preserve"> </w:t>
      </w:r>
    </w:p>
    <w:p w14:paraId="7677CEB3" w14:textId="77777777" w:rsidR="00E43011" w:rsidRPr="00E43011" w:rsidRDefault="00E43011" w:rsidP="00E43011">
      <w:pPr>
        <w:spacing w:after="0" w:line="300" w:lineRule="auto"/>
        <w:contextualSpacing/>
        <w:jc w:val="both"/>
        <w:rPr>
          <w:rFonts w:ascii="Arial" w:hAnsi="Arial" w:cs="Arial"/>
        </w:rPr>
      </w:pPr>
    </w:p>
    <w:p w14:paraId="4A4FECD1" w14:textId="00980C5A" w:rsidR="00780B11" w:rsidRDefault="005832C8" w:rsidP="00E43011">
      <w:pPr>
        <w:spacing w:after="0" w:line="300" w:lineRule="auto"/>
        <w:contextualSpacing/>
        <w:jc w:val="both"/>
        <w:rPr>
          <w:rFonts w:ascii="Arial" w:hAnsi="Arial" w:cs="Arial"/>
        </w:rPr>
      </w:pPr>
      <w:r>
        <w:rPr>
          <w:rFonts w:ascii="Arial" w:hAnsi="Arial" w:cs="Arial"/>
        </w:rPr>
        <w:lastRenderedPageBreak/>
        <w:t>Ankette e</w:t>
      </w:r>
      <w:r w:rsidR="00E43011" w:rsidRPr="00E43011">
        <w:rPr>
          <w:rFonts w:ascii="Arial" w:hAnsi="Arial" w:cs="Arial"/>
        </w:rPr>
        <w:t xml:space="preserve">nflasyon ise ilk 10'un hemen dışında yeni bir endişe kaynağı olarak karşımıza çıkıyor. Ekonomiler küresel ölçekte enflasyonist baskılarla boğuşmaya devam ederken sekizinci en büyük risk olan tedarik zinciri sorunları da malzeme ve materyal maliyetlerinde artışa neden oluyor. İşletmelerin enerji maliyetleri hızla artarken ücretler üzerinde de yukarı yönlü bir baskı söz konusu. Yöneticilerin yarısından fazlası (yüzde 54) maliyetlerin yönetilmesi noktasında sektörde </w:t>
      </w:r>
      <w:r w:rsidR="00206A6E" w:rsidRPr="00206A6E">
        <w:rPr>
          <w:rFonts w:ascii="Arial" w:hAnsi="Arial" w:cs="Arial"/>
        </w:rPr>
        <w:t>birleşmelerin</w:t>
      </w:r>
      <w:r w:rsidR="00206A6E">
        <w:rPr>
          <w:rFonts w:ascii="Arial" w:hAnsi="Arial" w:cs="Arial"/>
        </w:rPr>
        <w:t xml:space="preserve"> olması </w:t>
      </w:r>
      <w:r w:rsidR="00E43011" w:rsidRPr="00E43011">
        <w:rPr>
          <w:rFonts w:ascii="Arial" w:hAnsi="Arial" w:cs="Arial"/>
        </w:rPr>
        <w:t>gerektiği konusunda hemfikir</w:t>
      </w:r>
      <w:r w:rsidR="00780B11">
        <w:rPr>
          <w:rFonts w:ascii="Arial" w:hAnsi="Arial" w:cs="Arial"/>
        </w:rPr>
        <w:t xml:space="preserve">. </w:t>
      </w:r>
    </w:p>
    <w:p w14:paraId="31916239" w14:textId="77777777" w:rsidR="001C72CD" w:rsidRDefault="001C72CD" w:rsidP="00E43011">
      <w:pPr>
        <w:spacing w:after="0" w:line="300" w:lineRule="auto"/>
        <w:contextualSpacing/>
        <w:jc w:val="both"/>
        <w:rPr>
          <w:rFonts w:ascii="Arial" w:hAnsi="Arial" w:cs="Arial"/>
        </w:rPr>
      </w:pPr>
    </w:p>
    <w:p w14:paraId="3D9CE342" w14:textId="6D820F49" w:rsidR="00E43011" w:rsidRDefault="00E43011" w:rsidP="00E43011">
      <w:pPr>
        <w:spacing w:after="0" w:line="300" w:lineRule="auto"/>
        <w:contextualSpacing/>
        <w:jc w:val="both"/>
        <w:rPr>
          <w:rFonts w:ascii="Arial" w:hAnsi="Arial" w:cs="Arial"/>
        </w:rPr>
      </w:pPr>
      <w:r w:rsidRPr="00E43011">
        <w:rPr>
          <w:rFonts w:ascii="Arial" w:hAnsi="Arial" w:cs="Arial"/>
        </w:rPr>
        <w:t>Anket</w:t>
      </w:r>
      <w:r w:rsidR="00780B11">
        <w:rPr>
          <w:rFonts w:ascii="Arial" w:hAnsi="Arial" w:cs="Arial"/>
        </w:rPr>
        <w:t>te</w:t>
      </w:r>
      <w:r w:rsidRPr="00E43011">
        <w:rPr>
          <w:rFonts w:ascii="Arial" w:hAnsi="Arial" w:cs="Arial"/>
        </w:rPr>
        <w:t xml:space="preserve"> dikkat çeken bir diğer yeni başlık da yetenek krizi. Şirketlerin doğru insanları kendisine çekmesi ve elde tutması sektör için giderek daha önemli bir mesele haline geliyor. Yetenek krizi sektör genelinde ilk 10 başlık arasında yer </w:t>
      </w:r>
      <w:r w:rsidR="00780B11">
        <w:rPr>
          <w:rFonts w:ascii="Arial" w:hAnsi="Arial" w:cs="Arial"/>
        </w:rPr>
        <w:t xml:space="preserve">alıyor. </w:t>
      </w:r>
    </w:p>
    <w:p w14:paraId="2C0B1A3D" w14:textId="40FA6A3B" w:rsidR="00E43011" w:rsidRDefault="00E43011" w:rsidP="00E43011">
      <w:pPr>
        <w:spacing w:after="0" w:line="300" w:lineRule="auto"/>
        <w:contextualSpacing/>
        <w:jc w:val="both"/>
        <w:rPr>
          <w:rFonts w:ascii="Arial" w:hAnsi="Arial" w:cs="Arial"/>
        </w:rPr>
      </w:pPr>
    </w:p>
    <w:p w14:paraId="37D9C932" w14:textId="592E6D05" w:rsidR="00E86FB5" w:rsidRPr="00E86FB5" w:rsidRDefault="00E86FB5" w:rsidP="00E86FB5">
      <w:pPr>
        <w:spacing w:after="0" w:line="300" w:lineRule="auto"/>
        <w:contextualSpacing/>
        <w:jc w:val="both"/>
        <w:rPr>
          <w:rFonts w:ascii="Arial" w:hAnsi="Arial" w:cs="Arial"/>
          <w:b/>
          <w:bCs/>
        </w:rPr>
      </w:pPr>
      <w:r w:rsidRPr="00E86FB5">
        <w:rPr>
          <w:rFonts w:ascii="Arial" w:hAnsi="Arial" w:cs="Arial"/>
          <w:b/>
          <w:bCs/>
        </w:rPr>
        <w:t>Madencilik sektörüne yönelik en büyük riskler</w:t>
      </w:r>
      <w:r w:rsidR="00780B11">
        <w:rPr>
          <w:rFonts w:ascii="Arial" w:hAnsi="Arial" w:cs="Arial"/>
          <w:b/>
          <w:bCs/>
        </w:rPr>
        <w:t xml:space="preserve"> (</w:t>
      </w:r>
      <w:proofErr w:type="gramStart"/>
      <w:r w:rsidR="00780B11">
        <w:rPr>
          <w:rFonts w:ascii="Arial" w:hAnsi="Arial" w:cs="Arial"/>
          <w:b/>
          <w:bCs/>
        </w:rPr>
        <w:t>2022 -</w:t>
      </w:r>
      <w:proofErr w:type="gramEnd"/>
      <w:r w:rsidR="00780B11">
        <w:rPr>
          <w:rFonts w:ascii="Arial" w:hAnsi="Arial" w:cs="Arial"/>
          <w:b/>
          <w:bCs/>
        </w:rPr>
        <w:t xml:space="preserve"> 2021)</w:t>
      </w:r>
    </w:p>
    <w:tbl>
      <w:tblPr>
        <w:tblStyle w:val="TabloKlavuzu"/>
        <w:tblW w:w="0" w:type="auto"/>
        <w:tblLook w:val="04A0" w:firstRow="1" w:lastRow="0" w:firstColumn="1" w:lastColumn="0" w:noHBand="0" w:noVBand="1"/>
      </w:tblPr>
      <w:tblGrid>
        <w:gridCol w:w="704"/>
        <w:gridCol w:w="4111"/>
        <w:gridCol w:w="4247"/>
      </w:tblGrid>
      <w:tr w:rsidR="00780B11" w14:paraId="533A54DB" w14:textId="77777777" w:rsidTr="00780B11">
        <w:tc>
          <w:tcPr>
            <w:tcW w:w="704" w:type="dxa"/>
          </w:tcPr>
          <w:p w14:paraId="72723106" w14:textId="0BD4A709"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Sıra</w:t>
            </w:r>
          </w:p>
        </w:tc>
        <w:tc>
          <w:tcPr>
            <w:tcW w:w="4111" w:type="dxa"/>
          </w:tcPr>
          <w:p w14:paraId="4F74C76B" w14:textId="79129E06" w:rsidR="00780B11" w:rsidRPr="008F0D79" w:rsidRDefault="00780B11" w:rsidP="008F0D79">
            <w:pPr>
              <w:spacing w:line="300" w:lineRule="auto"/>
              <w:contextualSpacing/>
              <w:rPr>
                <w:rFonts w:ascii="Arial" w:hAnsi="Arial" w:cs="Arial"/>
                <w:b/>
                <w:bCs/>
                <w:sz w:val="20"/>
                <w:szCs w:val="20"/>
              </w:rPr>
            </w:pPr>
            <w:r w:rsidRPr="008F0D79">
              <w:rPr>
                <w:rFonts w:ascii="Arial" w:hAnsi="Arial" w:cs="Arial"/>
                <w:b/>
                <w:bCs/>
                <w:sz w:val="20"/>
                <w:szCs w:val="20"/>
              </w:rPr>
              <w:t>2022 yılı</w:t>
            </w:r>
          </w:p>
        </w:tc>
        <w:tc>
          <w:tcPr>
            <w:tcW w:w="4247" w:type="dxa"/>
          </w:tcPr>
          <w:p w14:paraId="4E133DE5" w14:textId="3BD3FC09" w:rsidR="00780B11" w:rsidRPr="008F0D79" w:rsidRDefault="00780B11" w:rsidP="008F0D79">
            <w:pPr>
              <w:spacing w:line="300" w:lineRule="auto"/>
              <w:contextualSpacing/>
              <w:rPr>
                <w:rFonts w:ascii="Arial" w:hAnsi="Arial" w:cs="Arial"/>
                <w:b/>
                <w:bCs/>
                <w:sz w:val="20"/>
                <w:szCs w:val="20"/>
              </w:rPr>
            </w:pPr>
            <w:r w:rsidRPr="008F0D79">
              <w:rPr>
                <w:rFonts w:ascii="Arial" w:hAnsi="Arial" w:cs="Arial"/>
                <w:b/>
                <w:bCs/>
                <w:sz w:val="20"/>
                <w:szCs w:val="20"/>
              </w:rPr>
              <w:t>2021 yılı</w:t>
            </w:r>
          </w:p>
        </w:tc>
      </w:tr>
      <w:tr w:rsidR="00780B11" w14:paraId="4ED691FC" w14:textId="77777777" w:rsidTr="00780B11">
        <w:tc>
          <w:tcPr>
            <w:tcW w:w="704" w:type="dxa"/>
          </w:tcPr>
          <w:p w14:paraId="35A924CD" w14:textId="4E78B777"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1</w:t>
            </w:r>
          </w:p>
        </w:tc>
        <w:tc>
          <w:tcPr>
            <w:tcW w:w="4111" w:type="dxa"/>
          </w:tcPr>
          <w:p w14:paraId="7FD62727" w14:textId="48F460E4"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Yeni düzenlemeler de dahil çevresel riskler</w:t>
            </w:r>
          </w:p>
        </w:tc>
        <w:tc>
          <w:tcPr>
            <w:tcW w:w="4247" w:type="dxa"/>
          </w:tcPr>
          <w:p w14:paraId="55A8FBF4" w14:textId="76E834A6" w:rsidR="00780B11" w:rsidRPr="008F0D79" w:rsidRDefault="008F0D79" w:rsidP="008F0D79">
            <w:pPr>
              <w:spacing w:line="300" w:lineRule="auto"/>
              <w:contextualSpacing/>
              <w:rPr>
                <w:rFonts w:ascii="Arial" w:hAnsi="Arial" w:cs="Arial"/>
                <w:sz w:val="20"/>
                <w:szCs w:val="20"/>
              </w:rPr>
            </w:pPr>
            <w:r w:rsidRPr="008F0D79">
              <w:rPr>
                <w:rFonts w:ascii="Arial" w:hAnsi="Arial" w:cs="Arial"/>
                <w:sz w:val="20"/>
                <w:szCs w:val="20"/>
              </w:rPr>
              <w:t>Emtia fiyat riski</w:t>
            </w:r>
          </w:p>
        </w:tc>
      </w:tr>
      <w:tr w:rsidR="00780B11" w14:paraId="02D7FEBB" w14:textId="77777777" w:rsidTr="00780B11">
        <w:tc>
          <w:tcPr>
            <w:tcW w:w="704" w:type="dxa"/>
          </w:tcPr>
          <w:p w14:paraId="4DD7C9CC" w14:textId="08233F81"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2</w:t>
            </w:r>
          </w:p>
        </w:tc>
        <w:tc>
          <w:tcPr>
            <w:tcW w:w="4111" w:type="dxa"/>
          </w:tcPr>
          <w:p w14:paraId="18AB624A" w14:textId="15372FC6"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Emtia fiyat riski</w:t>
            </w:r>
          </w:p>
        </w:tc>
        <w:tc>
          <w:tcPr>
            <w:tcW w:w="4247" w:type="dxa"/>
          </w:tcPr>
          <w:p w14:paraId="01E68063" w14:textId="7B1AADD8" w:rsidR="00780B11" w:rsidRPr="008F0D79" w:rsidRDefault="008F0D79" w:rsidP="008F0D79">
            <w:pPr>
              <w:spacing w:line="300" w:lineRule="auto"/>
              <w:contextualSpacing/>
              <w:rPr>
                <w:rFonts w:ascii="Arial" w:hAnsi="Arial" w:cs="Arial"/>
                <w:sz w:val="20"/>
                <w:szCs w:val="20"/>
              </w:rPr>
            </w:pPr>
            <w:proofErr w:type="spellStart"/>
            <w:r w:rsidRPr="008F0D79">
              <w:rPr>
                <w:rFonts w:ascii="Arial" w:hAnsi="Arial" w:cs="Arial"/>
                <w:sz w:val="20"/>
                <w:szCs w:val="20"/>
              </w:rPr>
              <w:t>Pandemi</w:t>
            </w:r>
            <w:proofErr w:type="spellEnd"/>
          </w:p>
        </w:tc>
      </w:tr>
      <w:tr w:rsidR="00780B11" w14:paraId="6BBA301A" w14:textId="77777777" w:rsidTr="00780B11">
        <w:tc>
          <w:tcPr>
            <w:tcW w:w="704" w:type="dxa"/>
          </w:tcPr>
          <w:p w14:paraId="4FBC56AF" w14:textId="4B47E139"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3</w:t>
            </w:r>
          </w:p>
        </w:tc>
        <w:tc>
          <w:tcPr>
            <w:tcW w:w="4111" w:type="dxa"/>
          </w:tcPr>
          <w:p w14:paraId="3353F838" w14:textId="4348DBB2"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Toplum ilişkileri ve işletme için sosyal onay</w:t>
            </w:r>
          </w:p>
        </w:tc>
        <w:tc>
          <w:tcPr>
            <w:tcW w:w="4247" w:type="dxa"/>
          </w:tcPr>
          <w:p w14:paraId="3766543B" w14:textId="29016BA2" w:rsidR="00780B11" w:rsidRPr="008F0D79" w:rsidRDefault="008F0D79" w:rsidP="008F0D79">
            <w:pPr>
              <w:spacing w:line="300" w:lineRule="auto"/>
              <w:contextualSpacing/>
              <w:rPr>
                <w:rFonts w:ascii="Arial" w:hAnsi="Arial" w:cs="Arial"/>
                <w:sz w:val="20"/>
                <w:szCs w:val="20"/>
              </w:rPr>
            </w:pPr>
            <w:r w:rsidRPr="008F0D79">
              <w:rPr>
                <w:rFonts w:ascii="Arial" w:hAnsi="Arial" w:cs="Arial"/>
                <w:sz w:val="20"/>
                <w:szCs w:val="20"/>
              </w:rPr>
              <w:t>Ekonomik gerileme/belirsizlik</w:t>
            </w:r>
          </w:p>
        </w:tc>
      </w:tr>
      <w:tr w:rsidR="00780B11" w14:paraId="379237D9" w14:textId="77777777" w:rsidTr="00780B11">
        <w:tc>
          <w:tcPr>
            <w:tcW w:w="704" w:type="dxa"/>
          </w:tcPr>
          <w:p w14:paraId="14F14785" w14:textId="1F982BBD"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4</w:t>
            </w:r>
          </w:p>
        </w:tc>
        <w:tc>
          <w:tcPr>
            <w:tcW w:w="4111" w:type="dxa"/>
          </w:tcPr>
          <w:p w14:paraId="60D43906" w14:textId="2B83C827"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Siyasi istikrarsızlık/millileştirme</w:t>
            </w:r>
          </w:p>
        </w:tc>
        <w:tc>
          <w:tcPr>
            <w:tcW w:w="4247" w:type="dxa"/>
          </w:tcPr>
          <w:p w14:paraId="489C8474" w14:textId="69126704" w:rsidR="00780B11" w:rsidRPr="008F0D79" w:rsidRDefault="008F0D79" w:rsidP="008F0D79">
            <w:pPr>
              <w:spacing w:line="300" w:lineRule="auto"/>
              <w:contextualSpacing/>
              <w:rPr>
                <w:rFonts w:ascii="Arial" w:hAnsi="Arial" w:cs="Arial"/>
                <w:sz w:val="20"/>
                <w:szCs w:val="20"/>
              </w:rPr>
            </w:pPr>
            <w:r w:rsidRPr="008F0D79">
              <w:rPr>
                <w:rFonts w:ascii="Arial" w:hAnsi="Arial" w:cs="Arial"/>
                <w:sz w:val="20"/>
                <w:szCs w:val="20"/>
              </w:rPr>
              <w:t>Toplum ilişkileri ve işletme için sosyal onay</w:t>
            </w:r>
          </w:p>
        </w:tc>
      </w:tr>
      <w:tr w:rsidR="00780B11" w14:paraId="4BB228F1" w14:textId="77777777" w:rsidTr="00780B11">
        <w:tc>
          <w:tcPr>
            <w:tcW w:w="704" w:type="dxa"/>
          </w:tcPr>
          <w:p w14:paraId="5B3A48BC" w14:textId="2BD2B7F2"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5</w:t>
            </w:r>
          </w:p>
        </w:tc>
        <w:tc>
          <w:tcPr>
            <w:tcW w:w="4111" w:type="dxa"/>
          </w:tcPr>
          <w:p w14:paraId="7F755446" w14:textId="5932B175"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Rezervlere erişebilme ve rezervleri değiştirebilme</w:t>
            </w:r>
          </w:p>
        </w:tc>
        <w:tc>
          <w:tcPr>
            <w:tcW w:w="4247" w:type="dxa"/>
          </w:tcPr>
          <w:p w14:paraId="532EF678" w14:textId="502C57A8" w:rsidR="00780B11" w:rsidRPr="008F0D79" w:rsidRDefault="008F0D79" w:rsidP="008F0D79">
            <w:pPr>
              <w:spacing w:line="300" w:lineRule="auto"/>
              <w:contextualSpacing/>
              <w:rPr>
                <w:rFonts w:ascii="Arial" w:hAnsi="Arial" w:cs="Arial"/>
                <w:sz w:val="20"/>
                <w:szCs w:val="20"/>
              </w:rPr>
            </w:pPr>
            <w:r w:rsidRPr="008F0D79">
              <w:rPr>
                <w:rFonts w:ascii="Arial" w:hAnsi="Arial" w:cs="Arial"/>
                <w:sz w:val="20"/>
                <w:szCs w:val="20"/>
              </w:rPr>
              <w:t>Yeni düzenlemeler de dahil çevresel riskler</w:t>
            </w:r>
          </w:p>
        </w:tc>
      </w:tr>
      <w:tr w:rsidR="00780B11" w14:paraId="53981861" w14:textId="77777777" w:rsidTr="00780B11">
        <w:tc>
          <w:tcPr>
            <w:tcW w:w="704" w:type="dxa"/>
          </w:tcPr>
          <w:p w14:paraId="70885DB8" w14:textId="4DE780ED"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6</w:t>
            </w:r>
          </w:p>
        </w:tc>
        <w:tc>
          <w:tcPr>
            <w:tcW w:w="4111" w:type="dxa"/>
          </w:tcPr>
          <w:p w14:paraId="0CD98D1B" w14:textId="293DA683"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Küresel ticaret savaşı</w:t>
            </w:r>
          </w:p>
        </w:tc>
        <w:tc>
          <w:tcPr>
            <w:tcW w:w="4247" w:type="dxa"/>
          </w:tcPr>
          <w:p w14:paraId="1106F956" w14:textId="0B58CDCB" w:rsidR="00780B11" w:rsidRPr="008F0D79" w:rsidRDefault="008F0D79" w:rsidP="008F0D79">
            <w:pPr>
              <w:spacing w:line="300" w:lineRule="auto"/>
              <w:contextualSpacing/>
              <w:rPr>
                <w:rFonts w:ascii="Arial" w:hAnsi="Arial" w:cs="Arial"/>
                <w:sz w:val="20"/>
                <w:szCs w:val="20"/>
              </w:rPr>
            </w:pPr>
            <w:r w:rsidRPr="008F0D79">
              <w:rPr>
                <w:rFonts w:ascii="Arial" w:hAnsi="Arial" w:cs="Arial"/>
                <w:sz w:val="20"/>
                <w:szCs w:val="20"/>
              </w:rPr>
              <w:t>İzin süreci riski</w:t>
            </w:r>
          </w:p>
        </w:tc>
      </w:tr>
      <w:tr w:rsidR="00780B11" w14:paraId="37562876" w14:textId="77777777" w:rsidTr="00780B11">
        <w:tc>
          <w:tcPr>
            <w:tcW w:w="704" w:type="dxa"/>
          </w:tcPr>
          <w:p w14:paraId="682477DE" w14:textId="4549DEE9"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7</w:t>
            </w:r>
          </w:p>
        </w:tc>
        <w:tc>
          <w:tcPr>
            <w:tcW w:w="4111" w:type="dxa"/>
          </w:tcPr>
          <w:p w14:paraId="0CEC2DAA" w14:textId="4FB8E0EE"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İzin süreci riski</w:t>
            </w:r>
          </w:p>
        </w:tc>
        <w:tc>
          <w:tcPr>
            <w:tcW w:w="4247" w:type="dxa"/>
          </w:tcPr>
          <w:p w14:paraId="5BA07FDD" w14:textId="5F376EBA" w:rsidR="00780B11" w:rsidRPr="008F0D79" w:rsidRDefault="008F0D79" w:rsidP="008F0D79">
            <w:pPr>
              <w:spacing w:line="300" w:lineRule="auto"/>
              <w:contextualSpacing/>
              <w:rPr>
                <w:rFonts w:ascii="Arial" w:hAnsi="Arial" w:cs="Arial"/>
                <w:sz w:val="20"/>
                <w:szCs w:val="20"/>
              </w:rPr>
            </w:pPr>
            <w:r w:rsidRPr="008F0D79">
              <w:rPr>
                <w:rFonts w:ascii="Arial" w:hAnsi="Arial" w:cs="Arial"/>
                <w:sz w:val="20"/>
                <w:szCs w:val="20"/>
              </w:rPr>
              <w:t>Siyasi istikrarsızlık</w:t>
            </w:r>
          </w:p>
        </w:tc>
      </w:tr>
      <w:tr w:rsidR="00780B11" w14:paraId="0C4B19F8" w14:textId="77777777" w:rsidTr="00780B11">
        <w:tc>
          <w:tcPr>
            <w:tcW w:w="704" w:type="dxa"/>
          </w:tcPr>
          <w:p w14:paraId="7618FF6E" w14:textId="15B129A7"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8</w:t>
            </w:r>
          </w:p>
        </w:tc>
        <w:tc>
          <w:tcPr>
            <w:tcW w:w="4111" w:type="dxa"/>
          </w:tcPr>
          <w:p w14:paraId="380C11FA" w14:textId="68875AB8"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Tedarik zinciri riskleri</w:t>
            </w:r>
          </w:p>
        </w:tc>
        <w:tc>
          <w:tcPr>
            <w:tcW w:w="4247" w:type="dxa"/>
          </w:tcPr>
          <w:p w14:paraId="421A76C4" w14:textId="1CE34ED3" w:rsidR="00780B11" w:rsidRPr="008F0D79" w:rsidRDefault="008F0D79" w:rsidP="008F0D79">
            <w:pPr>
              <w:spacing w:line="300" w:lineRule="auto"/>
              <w:contextualSpacing/>
              <w:rPr>
                <w:rFonts w:ascii="Arial" w:hAnsi="Arial" w:cs="Arial"/>
                <w:sz w:val="20"/>
                <w:szCs w:val="20"/>
              </w:rPr>
            </w:pPr>
            <w:r w:rsidRPr="008F0D79">
              <w:rPr>
                <w:rFonts w:ascii="Arial" w:hAnsi="Arial" w:cs="Arial"/>
                <w:sz w:val="20"/>
                <w:szCs w:val="20"/>
              </w:rPr>
              <w:t>Likidite dahil sermayeye erişim</w:t>
            </w:r>
          </w:p>
        </w:tc>
      </w:tr>
      <w:tr w:rsidR="00780B11" w14:paraId="4018CE4F" w14:textId="77777777" w:rsidTr="008F0D79">
        <w:trPr>
          <w:trHeight w:val="184"/>
        </w:trPr>
        <w:tc>
          <w:tcPr>
            <w:tcW w:w="704" w:type="dxa"/>
          </w:tcPr>
          <w:p w14:paraId="51485B12" w14:textId="4897BB51"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9</w:t>
            </w:r>
          </w:p>
        </w:tc>
        <w:tc>
          <w:tcPr>
            <w:tcW w:w="4111" w:type="dxa"/>
          </w:tcPr>
          <w:p w14:paraId="5FDA8F8A" w14:textId="6351049C"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Yetenek krizi</w:t>
            </w:r>
          </w:p>
        </w:tc>
        <w:tc>
          <w:tcPr>
            <w:tcW w:w="4247" w:type="dxa"/>
          </w:tcPr>
          <w:p w14:paraId="5EC17E58" w14:textId="50BE47AE" w:rsidR="00780B11" w:rsidRPr="008F0D79" w:rsidRDefault="008F0D79" w:rsidP="008F0D79">
            <w:pPr>
              <w:spacing w:line="300" w:lineRule="auto"/>
              <w:contextualSpacing/>
              <w:rPr>
                <w:rFonts w:ascii="Arial" w:hAnsi="Arial" w:cs="Arial"/>
                <w:sz w:val="20"/>
                <w:szCs w:val="20"/>
              </w:rPr>
            </w:pPr>
            <w:r w:rsidRPr="008F0D79">
              <w:rPr>
                <w:rFonts w:ascii="Arial" w:hAnsi="Arial" w:cs="Arial"/>
                <w:sz w:val="20"/>
                <w:szCs w:val="20"/>
              </w:rPr>
              <w:t>Rezervlere erişebilme ve rezervleri değiştirebilme</w:t>
            </w:r>
          </w:p>
        </w:tc>
      </w:tr>
      <w:tr w:rsidR="00780B11" w14:paraId="756097EC" w14:textId="77777777" w:rsidTr="00780B11">
        <w:tc>
          <w:tcPr>
            <w:tcW w:w="704" w:type="dxa"/>
          </w:tcPr>
          <w:p w14:paraId="35016C51" w14:textId="326558D1" w:rsidR="00780B11" w:rsidRPr="008F0D79" w:rsidRDefault="00780B11" w:rsidP="00E86FB5">
            <w:pPr>
              <w:spacing w:line="300" w:lineRule="auto"/>
              <w:contextualSpacing/>
              <w:jc w:val="both"/>
              <w:rPr>
                <w:rFonts w:ascii="Arial" w:hAnsi="Arial" w:cs="Arial"/>
                <w:b/>
                <w:bCs/>
                <w:sz w:val="20"/>
                <w:szCs w:val="20"/>
              </w:rPr>
            </w:pPr>
            <w:r w:rsidRPr="008F0D79">
              <w:rPr>
                <w:rFonts w:ascii="Arial" w:hAnsi="Arial" w:cs="Arial"/>
                <w:b/>
                <w:bCs/>
                <w:sz w:val="20"/>
                <w:szCs w:val="20"/>
              </w:rPr>
              <w:t>10</w:t>
            </w:r>
          </w:p>
        </w:tc>
        <w:tc>
          <w:tcPr>
            <w:tcW w:w="4111" w:type="dxa"/>
          </w:tcPr>
          <w:p w14:paraId="12A52184" w14:textId="63624655" w:rsidR="00780B11" w:rsidRPr="008F0D79" w:rsidRDefault="00780B11" w:rsidP="008F0D79">
            <w:pPr>
              <w:spacing w:line="300" w:lineRule="auto"/>
              <w:contextualSpacing/>
              <w:rPr>
                <w:rFonts w:ascii="Arial" w:hAnsi="Arial" w:cs="Arial"/>
                <w:sz w:val="20"/>
                <w:szCs w:val="20"/>
              </w:rPr>
            </w:pPr>
            <w:r w:rsidRPr="008F0D79">
              <w:rPr>
                <w:rFonts w:ascii="Arial" w:hAnsi="Arial" w:cs="Arial"/>
                <w:sz w:val="20"/>
                <w:szCs w:val="20"/>
              </w:rPr>
              <w:t>Düzenleyici değişiklikler ve mevzuat uyum değişiklikleri/yükü</w:t>
            </w:r>
          </w:p>
        </w:tc>
        <w:tc>
          <w:tcPr>
            <w:tcW w:w="4247" w:type="dxa"/>
          </w:tcPr>
          <w:p w14:paraId="6403805F" w14:textId="483C8E7C" w:rsidR="00780B11" w:rsidRPr="008F0D79" w:rsidRDefault="008F0D79" w:rsidP="008F0D79">
            <w:pPr>
              <w:spacing w:line="300" w:lineRule="auto"/>
              <w:contextualSpacing/>
              <w:rPr>
                <w:rFonts w:ascii="Arial" w:hAnsi="Arial" w:cs="Arial"/>
                <w:sz w:val="20"/>
                <w:szCs w:val="20"/>
              </w:rPr>
            </w:pPr>
            <w:r w:rsidRPr="008F0D79">
              <w:rPr>
                <w:rFonts w:ascii="Arial" w:hAnsi="Arial" w:cs="Arial"/>
                <w:sz w:val="20"/>
                <w:szCs w:val="20"/>
              </w:rPr>
              <w:t>Düzenleyici değişiklikler ve mevzuat uyum değişiklikleri/yükü</w:t>
            </w:r>
          </w:p>
        </w:tc>
      </w:tr>
    </w:tbl>
    <w:p w14:paraId="165F5EAD" w14:textId="77777777" w:rsidR="00780B11" w:rsidRDefault="00780B11" w:rsidP="00E86FB5">
      <w:pPr>
        <w:spacing w:after="0" w:line="300" w:lineRule="auto"/>
        <w:contextualSpacing/>
        <w:jc w:val="both"/>
        <w:rPr>
          <w:rFonts w:ascii="Arial" w:hAnsi="Arial" w:cs="Arial"/>
          <w:b/>
          <w:bCs/>
        </w:rPr>
      </w:pPr>
    </w:p>
    <w:p w14:paraId="4F984AC8" w14:textId="32DBF782" w:rsidR="00780B11" w:rsidRDefault="00BC3DC4" w:rsidP="00E86FB5">
      <w:pPr>
        <w:spacing w:after="0" w:line="300" w:lineRule="auto"/>
        <w:contextualSpacing/>
        <w:jc w:val="both"/>
        <w:rPr>
          <w:rFonts w:ascii="Arial" w:hAnsi="Arial" w:cs="Arial"/>
          <w:b/>
          <w:bCs/>
        </w:rPr>
      </w:pPr>
      <w:r>
        <w:rPr>
          <w:rFonts w:ascii="Arial" w:hAnsi="Arial" w:cs="Arial"/>
          <w:b/>
          <w:bCs/>
        </w:rPr>
        <w:t>G</w:t>
      </w:r>
      <w:r w:rsidR="008F0D79">
        <w:rPr>
          <w:rFonts w:ascii="Arial" w:hAnsi="Arial" w:cs="Arial"/>
          <w:b/>
          <w:bCs/>
        </w:rPr>
        <w:t xml:space="preserve">eleceğe </w:t>
      </w:r>
      <w:r w:rsidR="00F35505">
        <w:rPr>
          <w:rFonts w:ascii="Arial" w:hAnsi="Arial" w:cs="Arial"/>
          <w:b/>
          <w:bCs/>
        </w:rPr>
        <w:t>dönük</w:t>
      </w:r>
      <w:r w:rsidR="008F0D79">
        <w:rPr>
          <w:rFonts w:ascii="Arial" w:hAnsi="Arial" w:cs="Arial"/>
          <w:b/>
          <w:bCs/>
        </w:rPr>
        <w:t xml:space="preserve"> öngörüler </w:t>
      </w:r>
    </w:p>
    <w:p w14:paraId="76E62B20" w14:textId="3911763F" w:rsidR="00780B11" w:rsidRPr="00BC3DC4" w:rsidRDefault="00BC3DC4" w:rsidP="00E86FB5">
      <w:pPr>
        <w:spacing w:after="0" w:line="300" w:lineRule="auto"/>
        <w:contextualSpacing/>
        <w:jc w:val="both"/>
        <w:rPr>
          <w:rFonts w:ascii="Arial" w:hAnsi="Arial" w:cs="Arial"/>
        </w:rPr>
      </w:pPr>
      <w:r w:rsidRPr="00BC3DC4">
        <w:rPr>
          <w:rFonts w:ascii="Arial" w:hAnsi="Arial" w:cs="Arial"/>
        </w:rPr>
        <w:t>Risklerin yanı sıra sektördeki yöneticilerin geleceğe yönelik beklentilerine de yer verilen ankette öne çıkan bazı sonuçlar şu şekilde:</w:t>
      </w:r>
    </w:p>
    <w:p w14:paraId="47BDE2C5" w14:textId="77777777" w:rsidR="00BC3DC4" w:rsidRDefault="00BC3DC4" w:rsidP="005F48CF">
      <w:pPr>
        <w:spacing w:after="0" w:line="300" w:lineRule="auto"/>
        <w:contextualSpacing/>
        <w:jc w:val="both"/>
        <w:rPr>
          <w:rFonts w:ascii="Arial" w:hAnsi="Arial" w:cs="Arial"/>
          <w:b/>
          <w:bCs/>
        </w:rPr>
      </w:pPr>
    </w:p>
    <w:p w14:paraId="023B6F26" w14:textId="03D2C435" w:rsidR="005F48CF" w:rsidRPr="005F48CF" w:rsidRDefault="005F48CF" w:rsidP="005F48CF">
      <w:pPr>
        <w:spacing w:after="0" w:line="300" w:lineRule="auto"/>
        <w:contextualSpacing/>
        <w:jc w:val="both"/>
        <w:rPr>
          <w:rFonts w:ascii="Arial" w:hAnsi="Arial" w:cs="Arial"/>
          <w:b/>
          <w:bCs/>
        </w:rPr>
      </w:pPr>
      <w:r w:rsidRPr="005F48CF">
        <w:rPr>
          <w:rFonts w:ascii="Arial" w:hAnsi="Arial" w:cs="Arial"/>
          <w:b/>
          <w:bCs/>
        </w:rPr>
        <w:t xml:space="preserve">Güven </w:t>
      </w:r>
      <w:r w:rsidR="00F35505">
        <w:rPr>
          <w:rFonts w:ascii="Arial" w:hAnsi="Arial" w:cs="Arial"/>
          <w:b/>
          <w:bCs/>
        </w:rPr>
        <w:t>ve sermaye</w:t>
      </w:r>
    </w:p>
    <w:p w14:paraId="5938753E" w14:textId="77777777" w:rsidR="00F35505" w:rsidRDefault="005F48CF" w:rsidP="00F35505">
      <w:pPr>
        <w:pStyle w:val="ListeParagraf"/>
        <w:numPr>
          <w:ilvl w:val="0"/>
          <w:numId w:val="8"/>
        </w:numPr>
        <w:spacing w:after="0" w:line="300" w:lineRule="auto"/>
        <w:jc w:val="both"/>
        <w:rPr>
          <w:rFonts w:ascii="Arial" w:hAnsi="Arial" w:cs="Arial"/>
        </w:rPr>
      </w:pPr>
      <w:r w:rsidRPr="00F35505">
        <w:rPr>
          <w:rFonts w:ascii="Arial" w:hAnsi="Arial" w:cs="Arial"/>
        </w:rPr>
        <w:t xml:space="preserve">Şirketlerinin geleceği hakkında bir yıl öncesine kıyasla daha iyimser olduklarını söyleyen yöneticilerin oranı yüzde 56 iken bu katılımcıların yaklaşık beşte biri de (yüzde 18) bu anlamda “kayda değer oranda” daha iyimser olduklarını belirtti. </w:t>
      </w:r>
    </w:p>
    <w:p w14:paraId="17938610" w14:textId="1506D0A1" w:rsidR="00F35505" w:rsidRDefault="005F48CF" w:rsidP="005F48CF">
      <w:pPr>
        <w:pStyle w:val="ListeParagraf"/>
        <w:numPr>
          <w:ilvl w:val="0"/>
          <w:numId w:val="8"/>
        </w:numPr>
        <w:spacing w:after="0" w:line="300" w:lineRule="auto"/>
        <w:jc w:val="both"/>
        <w:rPr>
          <w:rFonts w:ascii="Arial" w:hAnsi="Arial" w:cs="Arial"/>
        </w:rPr>
      </w:pPr>
      <w:r w:rsidRPr="00F35505">
        <w:rPr>
          <w:rFonts w:ascii="Arial" w:hAnsi="Arial" w:cs="Arial"/>
        </w:rPr>
        <w:t>Her 10 kişiden en az altısı (yüzde 62) büyüme beklentileri konusunda olumlu veya çok olumlu bir bakışa sahipken bu oran bir yıl öncesine göre kısmen düşük kalıyor (yüzde 66).</w:t>
      </w:r>
    </w:p>
    <w:p w14:paraId="40095668" w14:textId="77777777" w:rsidR="00F35505" w:rsidRDefault="005F48CF" w:rsidP="005F48CF">
      <w:pPr>
        <w:pStyle w:val="ListeParagraf"/>
        <w:numPr>
          <w:ilvl w:val="0"/>
          <w:numId w:val="8"/>
        </w:numPr>
        <w:spacing w:after="0" w:line="300" w:lineRule="auto"/>
        <w:jc w:val="both"/>
        <w:rPr>
          <w:rFonts w:ascii="Arial" w:hAnsi="Arial" w:cs="Arial"/>
        </w:rPr>
      </w:pPr>
      <w:r w:rsidRPr="00F35505">
        <w:rPr>
          <w:rFonts w:ascii="Arial" w:hAnsi="Arial" w:cs="Arial"/>
        </w:rPr>
        <w:t>Yöneticilerin yüzde 37’si geleneksel</w:t>
      </w:r>
      <w:r w:rsidR="00F35505" w:rsidRPr="00F35505">
        <w:rPr>
          <w:rFonts w:ascii="Arial" w:hAnsi="Arial" w:cs="Arial"/>
        </w:rPr>
        <w:t xml:space="preserve"> </w:t>
      </w:r>
      <w:r w:rsidRPr="00F35505">
        <w:rPr>
          <w:rFonts w:ascii="Arial" w:hAnsi="Arial" w:cs="Arial"/>
        </w:rPr>
        <w:t>sermaye kaynaklarına (borç/</w:t>
      </w:r>
      <w:proofErr w:type="spellStart"/>
      <w:r w:rsidRPr="00F35505">
        <w:rPr>
          <w:rFonts w:ascii="Arial" w:hAnsi="Arial" w:cs="Arial"/>
        </w:rPr>
        <w:t>özsermaye</w:t>
      </w:r>
      <w:proofErr w:type="spellEnd"/>
      <w:r w:rsidRPr="00F35505">
        <w:rPr>
          <w:rFonts w:ascii="Arial" w:hAnsi="Arial" w:cs="Arial"/>
        </w:rPr>
        <w:t>) erişimin</w:t>
      </w:r>
      <w:r w:rsidR="00F35505" w:rsidRPr="00F35505">
        <w:rPr>
          <w:rFonts w:ascii="Arial" w:hAnsi="Arial" w:cs="Arial"/>
        </w:rPr>
        <w:t xml:space="preserve"> </w:t>
      </w:r>
      <w:r w:rsidRPr="00F35505">
        <w:rPr>
          <w:rFonts w:ascii="Arial" w:hAnsi="Arial" w:cs="Arial"/>
        </w:rPr>
        <w:t>geçtiğimiz yıl içerisinde arttığı konusunda</w:t>
      </w:r>
      <w:r w:rsidR="00F35505" w:rsidRPr="00F35505">
        <w:rPr>
          <w:rFonts w:ascii="Arial" w:hAnsi="Arial" w:cs="Arial"/>
        </w:rPr>
        <w:t xml:space="preserve"> </w:t>
      </w:r>
      <w:r w:rsidRPr="00F35505">
        <w:rPr>
          <w:rFonts w:ascii="Arial" w:hAnsi="Arial" w:cs="Arial"/>
        </w:rPr>
        <w:t>hemfikir. Bu oran 2021 yılında yapılan ankette</w:t>
      </w:r>
      <w:r w:rsidR="00F35505" w:rsidRPr="00F35505">
        <w:rPr>
          <w:rFonts w:ascii="Arial" w:hAnsi="Arial" w:cs="Arial"/>
        </w:rPr>
        <w:t xml:space="preserve"> </w:t>
      </w:r>
      <w:r w:rsidRPr="00F35505">
        <w:rPr>
          <w:rFonts w:ascii="Arial" w:hAnsi="Arial" w:cs="Arial"/>
        </w:rPr>
        <w:t>ise yüzde 32 olarak belirlenmişti</w:t>
      </w:r>
      <w:r w:rsidR="00F35505" w:rsidRPr="00F35505">
        <w:rPr>
          <w:rFonts w:ascii="Arial" w:hAnsi="Arial" w:cs="Arial"/>
        </w:rPr>
        <w:t>.</w:t>
      </w:r>
    </w:p>
    <w:p w14:paraId="6DFBD6C7" w14:textId="77777777" w:rsidR="00F35505" w:rsidRDefault="005F48CF" w:rsidP="005F48CF">
      <w:pPr>
        <w:pStyle w:val="ListeParagraf"/>
        <w:numPr>
          <w:ilvl w:val="0"/>
          <w:numId w:val="8"/>
        </w:numPr>
        <w:spacing w:after="0" w:line="300" w:lineRule="auto"/>
        <w:jc w:val="both"/>
        <w:rPr>
          <w:rFonts w:ascii="Arial" w:hAnsi="Arial" w:cs="Arial"/>
        </w:rPr>
      </w:pPr>
      <w:r w:rsidRPr="00F35505">
        <w:rPr>
          <w:rFonts w:ascii="Arial" w:hAnsi="Arial" w:cs="Arial"/>
        </w:rPr>
        <w:t>Katılımcıların</w:t>
      </w:r>
      <w:r w:rsidR="00F35505" w:rsidRPr="00F35505">
        <w:rPr>
          <w:rFonts w:ascii="Arial" w:hAnsi="Arial" w:cs="Arial"/>
        </w:rPr>
        <w:t xml:space="preserve"> </w:t>
      </w:r>
      <w:r w:rsidRPr="00F35505">
        <w:rPr>
          <w:rFonts w:ascii="Arial" w:hAnsi="Arial" w:cs="Arial"/>
        </w:rPr>
        <w:t>yaklaşık üçte ikisi (yüzde 62) şirketlerin stratejik</w:t>
      </w:r>
      <w:r w:rsidR="00F35505" w:rsidRPr="00F35505">
        <w:rPr>
          <w:rFonts w:ascii="Arial" w:hAnsi="Arial" w:cs="Arial"/>
        </w:rPr>
        <w:t xml:space="preserve"> </w:t>
      </w:r>
      <w:r w:rsidRPr="00F35505">
        <w:rPr>
          <w:rFonts w:ascii="Arial" w:hAnsi="Arial" w:cs="Arial"/>
        </w:rPr>
        <w:t xml:space="preserve">ortaklıklar, özel sermaye ve </w:t>
      </w:r>
      <w:proofErr w:type="gramStart"/>
      <w:r w:rsidRPr="00F35505">
        <w:rPr>
          <w:rFonts w:ascii="Arial" w:hAnsi="Arial" w:cs="Arial"/>
        </w:rPr>
        <w:t>kamu</w:t>
      </w:r>
      <w:r w:rsidR="00F35505" w:rsidRPr="00F35505">
        <w:rPr>
          <w:rFonts w:ascii="Arial" w:hAnsi="Arial" w:cs="Arial"/>
        </w:rPr>
        <w:t xml:space="preserve"> </w:t>
      </w:r>
      <w:r w:rsidRPr="00F35505">
        <w:rPr>
          <w:rFonts w:ascii="Arial" w:hAnsi="Arial" w:cs="Arial"/>
        </w:rPr>
        <w:t>-</w:t>
      </w:r>
      <w:proofErr w:type="gramEnd"/>
      <w:r w:rsidR="00F35505" w:rsidRPr="00F35505">
        <w:rPr>
          <w:rFonts w:ascii="Arial" w:hAnsi="Arial" w:cs="Arial"/>
        </w:rPr>
        <w:t xml:space="preserve"> </w:t>
      </w:r>
      <w:r w:rsidRPr="00F35505">
        <w:rPr>
          <w:rFonts w:ascii="Arial" w:hAnsi="Arial" w:cs="Arial"/>
        </w:rPr>
        <w:t>özel ortaklıkları</w:t>
      </w:r>
      <w:r w:rsidR="00F35505" w:rsidRPr="00F35505">
        <w:rPr>
          <w:rFonts w:ascii="Arial" w:hAnsi="Arial" w:cs="Arial"/>
        </w:rPr>
        <w:t xml:space="preserve"> </w:t>
      </w:r>
      <w:r w:rsidRPr="00F35505">
        <w:rPr>
          <w:rFonts w:ascii="Arial" w:hAnsi="Arial" w:cs="Arial"/>
        </w:rPr>
        <w:t>gibi yeni iş modellerini benimsemeleri gerektiğine</w:t>
      </w:r>
      <w:r w:rsidR="00F35505" w:rsidRPr="00F35505">
        <w:rPr>
          <w:rFonts w:ascii="Arial" w:hAnsi="Arial" w:cs="Arial"/>
        </w:rPr>
        <w:t xml:space="preserve"> </w:t>
      </w:r>
      <w:r w:rsidRPr="00F35505">
        <w:rPr>
          <w:rFonts w:ascii="Arial" w:hAnsi="Arial" w:cs="Arial"/>
        </w:rPr>
        <w:t>“katılıyor” veya “kesinlikle katılıyor”.</w:t>
      </w:r>
    </w:p>
    <w:p w14:paraId="033CA1CA" w14:textId="40496DCE" w:rsidR="005F48CF" w:rsidRPr="00F35505" w:rsidRDefault="00F35505" w:rsidP="005F48CF">
      <w:pPr>
        <w:pStyle w:val="ListeParagraf"/>
        <w:numPr>
          <w:ilvl w:val="0"/>
          <w:numId w:val="8"/>
        </w:numPr>
        <w:spacing w:after="0" w:line="300" w:lineRule="auto"/>
        <w:jc w:val="both"/>
        <w:rPr>
          <w:rFonts w:ascii="Arial" w:hAnsi="Arial" w:cs="Arial"/>
        </w:rPr>
      </w:pPr>
      <w:r w:rsidRPr="00F35505">
        <w:rPr>
          <w:rFonts w:ascii="Arial" w:hAnsi="Arial" w:cs="Arial"/>
        </w:rPr>
        <w:lastRenderedPageBreak/>
        <w:t>B</w:t>
      </w:r>
      <w:r w:rsidR="005F48CF" w:rsidRPr="00F35505">
        <w:rPr>
          <w:rFonts w:ascii="Arial" w:hAnsi="Arial" w:cs="Arial"/>
        </w:rPr>
        <w:t>irleşme ve satın almaların büyüme</w:t>
      </w:r>
      <w:r w:rsidRPr="00F35505">
        <w:rPr>
          <w:rFonts w:ascii="Arial" w:hAnsi="Arial" w:cs="Arial"/>
        </w:rPr>
        <w:t xml:space="preserve"> </w:t>
      </w:r>
      <w:r w:rsidR="005F48CF" w:rsidRPr="00F35505">
        <w:rPr>
          <w:rFonts w:ascii="Arial" w:hAnsi="Arial" w:cs="Arial"/>
        </w:rPr>
        <w:t>hedeflerine ulaşmada önemli bir strateji olacağını</w:t>
      </w:r>
      <w:r w:rsidRPr="00F35505">
        <w:rPr>
          <w:rFonts w:ascii="Arial" w:hAnsi="Arial" w:cs="Arial"/>
        </w:rPr>
        <w:t xml:space="preserve"> </w:t>
      </w:r>
      <w:r w:rsidR="005F48CF" w:rsidRPr="00F35505">
        <w:rPr>
          <w:rFonts w:ascii="Arial" w:hAnsi="Arial" w:cs="Arial"/>
        </w:rPr>
        <w:t>söyleyen işletmelerin sayısında artış olduğu</w:t>
      </w:r>
      <w:r w:rsidRPr="00F35505">
        <w:rPr>
          <w:rFonts w:ascii="Arial" w:hAnsi="Arial" w:cs="Arial"/>
        </w:rPr>
        <w:t xml:space="preserve"> </w:t>
      </w:r>
      <w:r w:rsidR="005F48CF" w:rsidRPr="00F35505">
        <w:rPr>
          <w:rFonts w:ascii="Arial" w:hAnsi="Arial" w:cs="Arial"/>
        </w:rPr>
        <w:t>görülüyor. Organik büyüme geçen yıl olduğu</w:t>
      </w:r>
      <w:r w:rsidRPr="00F35505">
        <w:rPr>
          <w:rFonts w:ascii="Arial" w:hAnsi="Arial" w:cs="Arial"/>
        </w:rPr>
        <w:t xml:space="preserve"> </w:t>
      </w:r>
      <w:r w:rsidR="005F48CF" w:rsidRPr="00F35505">
        <w:rPr>
          <w:rFonts w:ascii="Arial" w:hAnsi="Arial" w:cs="Arial"/>
        </w:rPr>
        <w:t>gibi çoğu işletme için (yüzde 56) halen bir</w:t>
      </w:r>
      <w:r w:rsidRPr="00F35505">
        <w:rPr>
          <w:rFonts w:ascii="Arial" w:hAnsi="Arial" w:cs="Arial"/>
        </w:rPr>
        <w:t xml:space="preserve"> </w:t>
      </w:r>
      <w:r w:rsidR="005F48CF" w:rsidRPr="00F35505">
        <w:rPr>
          <w:rFonts w:ascii="Arial" w:hAnsi="Arial" w:cs="Arial"/>
        </w:rPr>
        <w:t>numaralı yöntem olarak görülüyor olsa da organik</w:t>
      </w:r>
      <w:r w:rsidRPr="00F35505">
        <w:rPr>
          <w:rFonts w:ascii="Arial" w:hAnsi="Arial" w:cs="Arial"/>
        </w:rPr>
        <w:t xml:space="preserve"> </w:t>
      </w:r>
      <w:r w:rsidR="005F48CF" w:rsidRPr="00F35505">
        <w:rPr>
          <w:rFonts w:ascii="Arial" w:hAnsi="Arial" w:cs="Arial"/>
        </w:rPr>
        <w:t>büyümenin hemen ardından, bir yıl öncesine</w:t>
      </w:r>
      <w:r w:rsidRPr="00F35505">
        <w:rPr>
          <w:rFonts w:ascii="Arial" w:hAnsi="Arial" w:cs="Arial"/>
        </w:rPr>
        <w:t xml:space="preserve"> </w:t>
      </w:r>
      <w:r w:rsidR="005F48CF" w:rsidRPr="00F35505">
        <w:rPr>
          <w:rFonts w:ascii="Arial" w:hAnsi="Arial" w:cs="Arial"/>
        </w:rPr>
        <w:t>kıyasla yüzde 31’den yüzde 37’ye çıkan bir oranla</w:t>
      </w:r>
      <w:r w:rsidRPr="00F35505">
        <w:rPr>
          <w:rFonts w:ascii="Arial" w:hAnsi="Arial" w:cs="Arial"/>
        </w:rPr>
        <w:t xml:space="preserve"> </w:t>
      </w:r>
      <w:r w:rsidR="005F48CF" w:rsidRPr="00F35505">
        <w:rPr>
          <w:rFonts w:ascii="Arial" w:hAnsi="Arial" w:cs="Arial"/>
        </w:rPr>
        <w:t>birleşme ve satın almalar geliyor.</w:t>
      </w:r>
    </w:p>
    <w:p w14:paraId="48178033" w14:textId="77777777" w:rsidR="005F48CF" w:rsidRPr="005F48CF" w:rsidRDefault="005F48CF" w:rsidP="005F48CF">
      <w:pPr>
        <w:spacing w:after="0" w:line="300" w:lineRule="auto"/>
        <w:contextualSpacing/>
        <w:jc w:val="both"/>
        <w:rPr>
          <w:rFonts w:ascii="Arial" w:hAnsi="Arial" w:cs="Arial"/>
          <w:b/>
          <w:bCs/>
        </w:rPr>
      </w:pPr>
    </w:p>
    <w:p w14:paraId="6F5CAE85" w14:textId="623A1F57" w:rsidR="005F48CF" w:rsidRPr="005F48CF" w:rsidRDefault="00F35505" w:rsidP="005F48CF">
      <w:pPr>
        <w:spacing w:after="0" w:line="300" w:lineRule="auto"/>
        <w:contextualSpacing/>
        <w:jc w:val="both"/>
        <w:rPr>
          <w:rFonts w:ascii="Arial" w:hAnsi="Arial" w:cs="Arial"/>
          <w:b/>
          <w:bCs/>
        </w:rPr>
      </w:pPr>
      <w:r w:rsidRPr="00F35505">
        <w:rPr>
          <w:rFonts w:ascii="Arial" w:hAnsi="Arial" w:cs="Arial"/>
          <w:b/>
          <w:bCs/>
        </w:rPr>
        <w:t>Çevresel</w:t>
      </w:r>
      <w:r>
        <w:rPr>
          <w:rFonts w:ascii="Arial" w:hAnsi="Arial" w:cs="Arial"/>
          <w:b/>
          <w:bCs/>
        </w:rPr>
        <w:t>,</w:t>
      </w:r>
      <w:r w:rsidRPr="00F35505">
        <w:rPr>
          <w:rFonts w:ascii="Arial" w:hAnsi="Arial" w:cs="Arial"/>
          <w:b/>
          <w:bCs/>
        </w:rPr>
        <w:t xml:space="preserve"> </w:t>
      </w:r>
      <w:r>
        <w:rPr>
          <w:rFonts w:ascii="Arial" w:hAnsi="Arial" w:cs="Arial"/>
          <w:b/>
          <w:bCs/>
        </w:rPr>
        <w:t>s</w:t>
      </w:r>
      <w:r w:rsidRPr="00F35505">
        <w:rPr>
          <w:rFonts w:ascii="Arial" w:hAnsi="Arial" w:cs="Arial"/>
          <w:b/>
          <w:bCs/>
        </w:rPr>
        <w:t xml:space="preserve">osyal ve </w:t>
      </w:r>
      <w:r>
        <w:rPr>
          <w:rFonts w:ascii="Arial" w:hAnsi="Arial" w:cs="Arial"/>
          <w:b/>
          <w:bCs/>
        </w:rPr>
        <w:t>y</w:t>
      </w:r>
      <w:r w:rsidRPr="00F35505">
        <w:rPr>
          <w:rFonts w:ascii="Arial" w:hAnsi="Arial" w:cs="Arial"/>
          <w:b/>
          <w:bCs/>
        </w:rPr>
        <w:t xml:space="preserve">önetimsel (ÇSY) </w:t>
      </w:r>
      <w:r>
        <w:rPr>
          <w:rFonts w:ascii="Arial" w:hAnsi="Arial" w:cs="Arial"/>
          <w:b/>
          <w:bCs/>
        </w:rPr>
        <w:t>a</w:t>
      </w:r>
      <w:r w:rsidRPr="00F35505">
        <w:rPr>
          <w:rFonts w:ascii="Arial" w:hAnsi="Arial" w:cs="Arial"/>
          <w:b/>
          <w:bCs/>
        </w:rPr>
        <w:t>lanlar</w:t>
      </w:r>
    </w:p>
    <w:p w14:paraId="00B018DE" w14:textId="77777777" w:rsidR="00F35505" w:rsidRPr="00BC3DC4" w:rsidRDefault="00F35505" w:rsidP="005F48CF">
      <w:pPr>
        <w:pStyle w:val="ListeParagraf"/>
        <w:numPr>
          <w:ilvl w:val="0"/>
          <w:numId w:val="9"/>
        </w:numPr>
        <w:spacing w:after="0" w:line="300" w:lineRule="auto"/>
        <w:jc w:val="both"/>
        <w:rPr>
          <w:rFonts w:ascii="Arial" w:hAnsi="Arial" w:cs="Arial"/>
        </w:rPr>
      </w:pPr>
      <w:r w:rsidRPr="00BC3DC4">
        <w:rPr>
          <w:rFonts w:ascii="Arial" w:hAnsi="Arial" w:cs="Arial"/>
        </w:rPr>
        <w:t>Y</w:t>
      </w:r>
      <w:r w:rsidR="005F48CF" w:rsidRPr="00BC3DC4">
        <w:rPr>
          <w:rFonts w:ascii="Arial" w:hAnsi="Arial" w:cs="Arial"/>
        </w:rPr>
        <w:t xml:space="preserve">öneticilerin yaklaşık dörtte üçü (yüzde 72) </w:t>
      </w:r>
      <w:proofErr w:type="spellStart"/>
      <w:r w:rsidR="005F48CF" w:rsidRPr="00BC3DC4">
        <w:rPr>
          <w:rFonts w:ascii="Arial" w:hAnsi="Arial" w:cs="Arial"/>
        </w:rPr>
        <w:t>ÇSY’nin</w:t>
      </w:r>
      <w:proofErr w:type="spellEnd"/>
      <w:r w:rsidR="005F48CF" w:rsidRPr="00BC3DC4">
        <w:rPr>
          <w:rFonts w:ascii="Arial" w:hAnsi="Arial" w:cs="Arial"/>
        </w:rPr>
        <w:t xml:space="preserve"> önümüzdeki üç yıl içinde sektörde büyük bir yıkıcı etkiye neden olacağına “katılıyor” veya “kesinlikle katılıyor”.</w:t>
      </w:r>
    </w:p>
    <w:p w14:paraId="60D54A1A" w14:textId="77777777" w:rsidR="00BC3DC4" w:rsidRDefault="00BC3DC4" w:rsidP="005F48CF">
      <w:pPr>
        <w:pStyle w:val="ListeParagraf"/>
        <w:numPr>
          <w:ilvl w:val="0"/>
          <w:numId w:val="9"/>
        </w:numPr>
        <w:spacing w:after="0" w:line="300" w:lineRule="auto"/>
        <w:jc w:val="both"/>
        <w:rPr>
          <w:rFonts w:ascii="Arial" w:hAnsi="Arial" w:cs="Arial"/>
        </w:rPr>
      </w:pPr>
      <w:r w:rsidRPr="00BC3DC4">
        <w:rPr>
          <w:rFonts w:ascii="Arial" w:hAnsi="Arial" w:cs="Arial"/>
        </w:rPr>
        <w:t xml:space="preserve">ÇSY alanlarında </w:t>
      </w:r>
      <w:r w:rsidR="005F48CF" w:rsidRPr="00BC3DC4">
        <w:rPr>
          <w:rFonts w:ascii="Arial" w:hAnsi="Arial" w:cs="Arial"/>
        </w:rPr>
        <w:t>başarının sadece rakamlarla kalmayıp finansal tablonun ötesinde; hükümetler, halk ve çalışanlar da dahil paydaş getirilerine yönelik daha bütüncül bir bakış açısıyla tanımlanmasının giderek daha etkili olacağı konusuna her 10 yöneticiden en az sekizi (yüzde 84) “katılıyor” veya “kesinlikle katılıyor”</w:t>
      </w:r>
    </w:p>
    <w:p w14:paraId="0B849039" w14:textId="04C0F05E" w:rsidR="005F48CF" w:rsidRPr="00BC3DC4" w:rsidRDefault="005F48CF" w:rsidP="005F48CF">
      <w:pPr>
        <w:pStyle w:val="ListeParagraf"/>
        <w:numPr>
          <w:ilvl w:val="0"/>
          <w:numId w:val="9"/>
        </w:numPr>
        <w:spacing w:after="0" w:line="300" w:lineRule="auto"/>
        <w:jc w:val="both"/>
        <w:rPr>
          <w:rFonts w:ascii="Arial" w:hAnsi="Arial" w:cs="Arial"/>
        </w:rPr>
      </w:pPr>
      <w:r w:rsidRPr="00BC3DC4">
        <w:rPr>
          <w:rFonts w:ascii="Arial" w:hAnsi="Arial" w:cs="Arial"/>
        </w:rPr>
        <w:t xml:space="preserve">Sektörün </w:t>
      </w:r>
      <w:r w:rsidR="00BC3DC4" w:rsidRPr="00BC3DC4">
        <w:rPr>
          <w:rFonts w:ascii="Arial" w:hAnsi="Arial" w:cs="Arial"/>
        </w:rPr>
        <w:t xml:space="preserve">ÇSY alanında </w:t>
      </w:r>
      <w:r w:rsidRPr="00BC3DC4">
        <w:rPr>
          <w:rFonts w:ascii="Arial" w:hAnsi="Arial" w:cs="Arial"/>
        </w:rPr>
        <w:t>mücadele ettiği sorunlardan biri de ortaya çıkacak kuralların ve gerekliliklerin henüz netleşmemiş olması. Yöneticilerin yarısından fazlası (yüzde 55) yatırımcı beklentilerinin ve önlemlerinin açıkça anlaşıldığı ve pazar genelinde tutarlı olduğu konusuna “katılmadı” veya “kesinlikle katılmadı”.</w:t>
      </w:r>
      <w:r w:rsidR="00BC3DC4" w:rsidRPr="00BC3DC4">
        <w:rPr>
          <w:rFonts w:ascii="Arial" w:hAnsi="Arial" w:cs="Arial"/>
        </w:rPr>
        <w:t xml:space="preserve"> </w:t>
      </w:r>
      <w:r w:rsidRPr="00BC3DC4">
        <w:rPr>
          <w:rFonts w:ascii="Arial" w:hAnsi="Arial" w:cs="Arial"/>
        </w:rPr>
        <w:t>Bir yıl önce bu rakam yüzde 40’tı.</w:t>
      </w:r>
    </w:p>
    <w:p w14:paraId="779D8051" w14:textId="77777777" w:rsidR="005F48CF" w:rsidRPr="005F48CF" w:rsidRDefault="005F48CF" w:rsidP="005F48CF">
      <w:pPr>
        <w:spacing w:after="0" w:line="300" w:lineRule="auto"/>
        <w:contextualSpacing/>
        <w:jc w:val="both"/>
        <w:rPr>
          <w:rFonts w:ascii="Arial" w:hAnsi="Arial" w:cs="Arial"/>
          <w:b/>
          <w:bCs/>
        </w:rPr>
      </w:pPr>
    </w:p>
    <w:p w14:paraId="7050AAAB" w14:textId="77777777" w:rsidR="005F48CF" w:rsidRPr="005F48CF" w:rsidRDefault="005F48CF" w:rsidP="005F48CF">
      <w:pPr>
        <w:spacing w:after="0" w:line="300" w:lineRule="auto"/>
        <w:contextualSpacing/>
        <w:jc w:val="both"/>
        <w:rPr>
          <w:rFonts w:ascii="Arial" w:hAnsi="Arial" w:cs="Arial"/>
          <w:b/>
          <w:bCs/>
        </w:rPr>
      </w:pPr>
      <w:r w:rsidRPr="005F48CF">
        <w:rPr>
          <w:rFonts w:ascii="Arial" w:hAnsi="Arial" w:cs="Arial"/>
          <w:b/>
          <w:bCs/>
        </w:rPr>
        <w:t>Teknoloji dönüşümü</w:t>
      </w:r>
    </w:p>
    <w:p w14:paraId="7066087B" w14:textId="77777777" w:rsidR="00BC3DC4" w:rsidRPr="00BC3DC4" w:rsidRDefault="005F48CF" w:rsidP="005F48CF">
      <w:pPr>
        <w:pStyle w:val="ListeParagraf"/>
        <w:numPr>
          <w:ilvl w:val="0"/>
          <w:numId w:val="10"/>
        </w:numPr>
        <w:spacing w:after="0" w:line="300" w:lineRule="auto"/>
        <w:jc w:val="both"/>
        <w:rPr>
          <w:rFonts w:ascii="Arial" w:hAnsi="Arial" w:cs="Arial"/>
        </w:rPr>
      </w:pPr>
      <w:r w:rsidRPr="00BC3DC4">
        <w:rPr>
          <w:rFonts w:ascii="Arial" w:hAnsi="Arial" w:cs="Arial"/>
        </w:rPr>
        <w:t>Yöneticilerin yüzde 87’si teknolojinin ÇSY sorunlarını çözmede kilit bir role sahip olduğunu düşünüyor.</w:t>
      </w:r>
    </w:p>
    <w:p w14:paraId="4F676298" w14:textId="77777777" w:rsidR="00BC3DC4" w:rsidRPr="00BC3DC4" w:rsidRDefault="005F48CF" w:rsidP="005F48CF">
      <w:pPr>
        <w:pStyle w:val="ListeParagraf"/>
        <w:numPr>
          <w:ilvl w:val="0"/>
          <w:numId w:val="10"/>
        </w:numPr>
        <w:spacing w:after="0" w:line="300" w:lineRule="auto"/>
        <w:jc w:val="both"/>
        <w:rPr>
          <w:rFonts w:ascii="Arial" w:hAnsi="Arial" w:cs="Arial"/>
        </w:rPr>
      </w:pPr>
      <w:r w:rsidRPr="00BC3DC4">
        <w:rPr>
          <w:rFonts w:ascii="Arial" w:hAnsi="Arial" w:cs="Arial"/>
        </w:rPr>
        <w:t>Yöneticilerin yaklaşık yarısı (yüzde 46) teknolojik yeniliğin önümüzdeki üç yıl içinde sektörde büyük bir yıkıcı etki kaynağı olacağını düşünüyor</w:t>
      </w:r>
      <w:r w:rsidR="00BC3DC4" w:rsidRPr="00BC3DC4">
        <w:rPr>
          <w:rFonts w:ascii="Arial" w:hAnsi="Arial" w:cs="Arial"/>
        </w:rPr>
        <w:t>.</w:t>
      </w:r>
    </w:p>
    <w:p w14:paraId="01417AEC" w14:textId="394BFAA8" w:rsidR="005F48CF" w:rsidRPr="00BC3DC4" w:rsidRDefault="00BC3DC4" w:rsidP="005F48CF">
      <w:pPr>
        <w:pStyle w:val="ListeParagraf"/>
        <w:numPr>
          <w:ilvl w:val="0"/>
          <w:numId w:val="10"/>
        </w:numPr>
        <w:spacing w:after="0" w:line="300" w:lineRule="auto"/>
        <w:jc w:val="both"/>
        <w:rPr>
          <w:rFonts w:ascii="Arial" w:hAnsi="Arial" w:cs="Arial"/>
        </w:rPr>
      </w:pPr>
      <w:r w:rsidRPr="00BC3DC4">
        <w:rPr>
          <w:rFonts w:ascii="Arial" w:hAnsi="Arial" w:cs="Arial"/>
        </w:rPr>
        <w:t xml:space="preserve">Yüzde </w:t>
      </w:r>
      <w:r w:rsidR="005F48CF" w:rsidRPr="00BC3DC4">
        <w:rPr>
          <w:rFonts w:ascii="Arial" w:hAnsi="Arial" w:cs="Arial"/>
        </w:rPr>
        <w:t>84</w:t>
      </w:r>
      <w:r w:rsidRPr="00BC3DC4">
        <w:rPr>
          <w:rFonts w:ascii="Arial" w:hAnsi="Arial" w:cs="Arial"/>
        </w:rPr>
        <w:t xml:space="preserve"> </w:t>
      </w:r>
      <w:r w:rsidR="005F48CF" w:rsidRPr="00BC3DC4">
        <w:rPr>
          <w:rFonts w:ascii="Arial" w:hAnsi="Arial" w:cs="Arial"/>
        </w:rPr>
        <w:t xml:space="preserve">oranında katılımcı </w:t>
      </w:r>
      <w:r w:rsidRPr="00BC3DC4">
        <w:rPr>
          <w:rFonts w:ascii="Arial" w:hAnsi="Arial" w:cs="Arial"/>
        </w:rPr>
        <w:t xml:space="preserve">bu </w:t>
      </w:r>
      <w:r w:rsidR="005F48CF" w:rsidRPr="00BC3DC4">
        <w:rPr>
          <w:rFonts w:ascii="Arial" w:hAnsi="Arial" w:cs="Arial"/>
        </w:rPr>
        <w:t>teknolojik yıkımın bir tehditten ziyade bir fırsat olacağına inanıyor.</w:t>
      </w:r>
    </w:p>
    <w:p w14:paraId="481565D5" w14:textId="77777777" w:rsidR="005F48CF" w:rsidRPr="005F48CF" w:rsidRDefault="005F48CF" w:rsidP="005F48CF">
      <w:pPr>
        <w:spacing w:after="0" w:line="300" w:lineRule="auto"/>
        <w:contextualSpacing/>
        <w:jc w:val="both"/>
        <w:rPr>
          <w:rFonts w:ascii="Arial" w:hAnsi="Arial" w:cs="Arial"/>
          <w:b/>
          <w:bCs/>
        </w:rPr>
      </w:pPr>
    </w:p>
    <w:p w14:paraId="5FC8D5E8" w14:textId="20E3D5BC" w:rsidR="005F48CF" w:rsidRPr="005F48CF" w:rsidRDefault="005F48CF" w:rsidP="005F48CF">
      <w:pPr>
        <w:spacing w:after="0" w:line="300" w:lineRule="auto"/>
        <w:contextualSpacing/>
        <w:jc w:val="both"/>
        <w:rPr>
          <w:rFonts w:ascii="Arial" w:hAnsi="Arial" w:cs="Arial"/>
          <w:b/>
          <w:bCs/>
        </w:rPr>
      </w:pPr>
      <w:r w:rsidRPr="005F48CF">
        <w:rPr>
          <w:rFonts w:ascii="Arial" w:hAnsi="Arial" w:cs="Arial"/>
          <w:b/>
          <w:bCs/>
        </w:rPr>
        <w:t>Yeni yetenek</w:t>
      </w:r>
      <w:r w:rsidR="00BC3DC4">
        <w:rPr>
          <w:rFonts w:ascii="Arial" w:hAnsi="Arial" w:cs="Arial"/>
          <w:b/>
          <w:bCs/>
        </w:rPr>
        <w:t xml:space="preserve"> </w:t>
      </w:r>
      <w:r w:rsidRPr="005F48CF">
        <w:rPr>
          <w:rFonts w:ascii="Arial" w:hAnsi="Arial" w:cs="Arial"/>
          <w:b/>
          <w:bCs/>
        </w:rPr>
        <w:t xml:space="preserve">bulma </w:t>
      </w:r>
    </w:p>
    <w:p w14:paraId="300C669C" w14:textId="0001CD35" w:rsidR="00BC3DC4" w:rsidRPr="00BC3DC4" w:rsidRDefault="005F48CF" w:rsidP="00BC3DC4">
      <w:pPr>
        <w:pStyle w:val="ListeParagraf"/>
        <w:numPr>
          <w:ilvl w:val="0"/>
          <w:numId w:val="11"/>
        </w:numPr>
        <w:spacing w:after="0" w:line="300" w:lineRule="auto"/>
        <w:jc w:val="both"/>
        <w:rPr>
          <w:rFonts w:ascii="Arial" w:hAnsi="Arial" w:cs="Arial"/>
        </w:rPr>
      </w:pPr>
      <w:r w:rsidRPr="00BC3DC4">
        <w:rPr>
          <w:rFonts w:ascii="Arial" w:hAnsi="Arial" w:cs="Arial"/>
        </w:rPr>
        <w:t xml:space="preserve">Sektörün uzmanlık gerektiren ve/veya teknoloji merkezli bir dizi görevi yerine getirecek yeni bir yetenek dalgasına ihtiyacı olduğu yönünde bir görüş </w:t>
      </w:r>
      <w:r w:rsidR="00BC3DC4" w:rsidRPr="00BC3DC4">
        <w:rPr>
          <w:rFonts w:ascii="Arial" w:hAnsi="Arial" w:cs="Arial"/>
        </w:rPr>
        <w:t>hâkim</w:t>
      </w:r>
      <w:r w:rsidRPr="00BC3DC4">
        <w:rPr>
          <w:rFonts w:ascii="Arial" w:hAnsi="Arial" w:cs="Arial"/>
        </w:rPr>
        <w:t>.</w:t>
      </w:r>
    </w:p>
    <w:p w14:paraId="2649E408" w14:textId="77777777" w:rsidR="00BC3DC4" w:rsidRPr="00BC3DC4" w:rsidRDefault="005F48CF" w:rsidP="005F48CF">
      <w:pPr>
        <w:pStyle w:val="ListeParagraf"/>
        <w:numPr>
          <w:ilvl w:val="0"/>
          <w:numId w:val="11"/>
        </w:numPr>
        <w:spacing w:after="0" w:line="300" w:lineRule="auto"/>
        <w:jc w:val="both"/>
        <w:rPr>
          <w:rFonts w:ascii="Arial" w:hAnsi="Arial" w:cs="Arial"/>
        </w:rPr>
      </w:pPr>
      <w:r w:rsidRPr="00BC3DC4">
        <w:rPr>
          <w:rFonts w:ascii="Arial" w:hAnsi="Arial" w:cs="Arial"/>
        </w:rPr>
        <w:t>Bu ihtiyaçlar</w:t>
      </w:r>
      <w:r w:rsidR="00BC3DC4" w:rsidRPr="00BC3DC4">
        <w:rPr>
          <w:rFonts w:ascii="Arial" w:hAnsi="Arial" w:cs="Arial"/>
        </w:rPr>
        <w:t xml:space="preserve">; </w:t>
      </w:r>
      <w:r w:rsidRPr="00BC3DC4">
        <w:rPr>
          <w:rFonts w:ascii="Arial" w:hAnsi="Arial" w:cs="Arial"/>
        </w:rPr>
        <w:t xml:space="preserve">veri analistleri, bilgisayar bilimcileri, çevre bilimcileri, su yönetimi uzmanları </w:t>
      </w:r>
      <w:r w:rsidR="00BC3DC4" w:rsidRPr="00BC3DC4">
        <w:rPr>
          <w:rFonts w:ascii="Arial" w:hAnsi="Arial" w:cs="Arial"/>
        </w:rPr>
        <w:t xml:space="preserve">gibi yetenekleri kapsıyor. </w:t>
      </w:r>
    </w:p>
    <w:p w14:paraId="768AA2D6" w14:textId="557FE390" w:rsidR="005F48CF" w:rsidRPr="00BC3DC4" w:rsidRDefault="005F48CF" w:rsidP="005F48CF">
      <w:pPr>
        <w:pStyle w:val="ListeParagraf"/>
        <w:numPr>
          <w:ilvl w:val="0"/>
          <w:numId w:val="11"/>
        </w:numPr>
        <w:spacing w:after="0" w:line="300" w:lineRule="auto"/>
        <w:jc w:val="both"/>
        <w:rPr>
          <w:rFonts w:ascii="Arial" w:hAnsi="Arial" w:cs="Arial"/>
        </w:rPr>
      </w:pPr>
      <w:r w:rsidRPr="00BC3DC4">
        <w:rPr>
          <w:rFonts w:ascii="Arial" w:hAnsi="Arial" w:cs="Arial"/>
        </w:rPr>
        <w:t xml:space="preserve">Bazı madencilik şirketleri kendi insan kaynakları programlarına yatırım yapıyor ve birçoğunun yetenekli bireylerin dünya çapında seyahat etmelerini ve çalışmalarını sağlayan cazip </w:t>
      </w:r>
      <w:proofErr w:type="spellStart"/>
      <w:r w:rsidRPr="00BC3DC4">
        <w:rPr>
          <w:rFonts w:ascii="Arial" w:hAnsi="Arial" w:cs="Arial"/>
        </w:rPr>
        <w:t>mobilite</w:t>
      </w:r>
      <w:proofErr w:type="spellEnd"/>
      <w:r w:rsidRPr="00BC3DC4">
        <w:rPr>
          <w:rFonts w:ascii="Arial" w:hAnsi="Arial" w:cs="Arial"/>
        </w:rPr>
        <w:t xml:space="preserve"> planları bulunuyor.</w:t>
      </w:r>
    </w:p>
    <w:p w14:paraId="311F10BC" w14:textId="77777777" w:rsidR="00E86FB5" w:rsidRDefault="00E86FB5" w:rsidP="00E86FB5">
      <w:pPr>
        <w:spacing w:after="0" w:line="300" w:lineRule="auto"/>
        <w:contextualSpacing/>
        <w:jc w:val="both"/>
        <w:rPr>
          <w:rFonts w:ascii="Arial" w:hAnsi="Arial" w:cs="Arial"/>
          <w:b/>
          <w:bCs/>
        </w:rPr>
      </w:pPr>
    </w:p>
    <w:p w14:paraId="28266002" w14:textId="59D92F96" w:rsidR="004A399D" w:rsidRDefault="009B546A" w:rsidP="00BA1F99">
      <w:pPr>
        <w:spacing w:after="0" w:line="300" w:lineRule="auto"/>
        <w:jc w:val="both"/>
        <w:rPr>
          <w:rFonts w:ascii="Arial" w:hAnsi="Arial" w:cs="Arial"/>
        </w:rPr>
      </w:pPr>
      <w:proofErr w:type="spellStart"/>
      <w:r>
        <w:rPr>
          <w:rFonts w:ascii="Arial" w:hAnsi="Arial" w:cs="Arial"/>
        </w:rPr>
        <w:t>KPMG’nin</w:t>
      </w:r>
      <w:proofErr w:type="spellEnd"/>
      <w:r>
        <w:rPr>
          <w:rFonts w:ascii="Arial" w:hAnsi="Arial" w:cs="Arial"/>
        </w:rPr>
        <w:t xml:space="preserve"> “</w:t>
      </w:r>
      <w:r w:rsidRPr="0004503B">
        <w:rPr>
          <w:rFonts w:ascii="Arial" w:hAnsi="Arial" w:cs="Arial"/>
        </w:rPr>
        <w:t>Küresel Madencilik</w:t>
      </w:r>
      <w:r>
        <w:rPr>
          <w:rFonts w:ascii="Arial" w:hAnsi="Arial" w:cs="Arial"/>
        </w:rPr>
        <w:t xml:space="preserve"> </w:t>
      </w:r>
      <w:r w:rsidRPr="0004503B">
        <w:rPr>
          <w:rFonts w:ascii="Arial" w:hAnsi="Arial" w:cs="Arial"/>
        </w:rPr>
        <w:t>Sektörüne</w:t>
      </w:r>
      <w:r>
        <w:rPr>
          <w:rFonts w:ascii="Arial" w:hAnsi="Arial" w:cs="Arial"/>
        </w:rPr>
        <w:t xml:space="preserve"> </w:t>
      </w:r>
      <w:r w:rsidRPr="0004503B">
        <w:rPr>
          <w:rFonts w:ascii="Arial" w:hAnsi="Arial" w:cs="Arial"/>
        </w:rPr>
        <w:t>Genel Bakış</w:t>
      </w:r>
      <w:r>
        <w:rPr>
          <w:rFonts w:ascii="Arial" w:hAnsi="Arial" w:cs="Arial"/>
        </w:rPr>
        <w:t>”</w:t>
      </w:r>
      <w:r w:rsidRPr="0004503B">
        <w:rPr>
          <w:rFonts w:ascii="Arial" w:hAnsi="Arial" w:cs="Arial"/>
        </w:rPr>
        <w:t xml:space="preserve"> 2022</w:t>
      </w:r>
      <w:r>
        <w:rPr>
          <w:rFonts w:ascii="Arial" w:hAnsi="Arial" w:cs="Arial"/>
        </w:rPr>
        <w:t xml:space="preserve"> yılı anketinin </w:t>
      </w:r>
      <w:r w:rsidRPr="00700289">
        <w:rPr>
          <w:rFonts w:ascii="Arial" w:hAnsi="Arial" w:cs="Arial"/>
        </w:rPr>
        <w:t xml:space="preserve">tamamına </w:t>
      </w:r>
      <w:hyperlink r:id="rId11" w:history="1">
        <w:r w:rsidR="004A399D" w:rsidRPr="00700289">
          <w:rPr>
            <w:rStyle w:val="Kpr"/>
            <w:rFonts w:ascii="Arial" w:hAnsi="Arial" w:cs="Arial"/>
          </w:rPr>
          <w:t>buradan</w:t>
        </w:r>
      </w:hyperlink>
      <w:r w:rsidR="004A399D" w:rsidRPr="008A4C03">
        <w:rPr>
          <w:rFonts w:ascii="Arial" w:hAnsi="Arial" w:cs="Arial"/>
        </w:rPr>
        <w:t xml:space="preserve"> ulaşabilirsiniz. </w:t>
      </w:r>
    </w:p>
    <w:p w14:paraId="49570918" w14:textId="2B04B3F6" w:rsidR="009B546A" w:rsidRDefault="009B546A" w:rsidP="00BA1F99">
      <w:pPr>
        <w:spacing w:after="0" w:line="300" w:lineRule="auto"/>
        <w:jc w:val="both"/>
        <w:rPr>
          <w:rFonts w:ascii="Arial" w:hAnsi="Arial" w:cs="Arial"/>
        </w:rPr>
      </w:pPr>
    </w:p>
    <w:p w14:paraId="298A6467" w14:textId="3348DF04" w:rsidR="009B546A" w:rsidRPr="008A4C03" w:rsidRDefault="009B546A" w:rsidP="009B546A">
      <w:pPr>
        <w:pBdr>
          <w:top w:val="nil"/>
          <w:left w:val="nil"/>
          <w:bottom w:val="nil"/>
          <w:right w:val="nil"/>
          <w:between w:val="nil"/>
        </w:pBdr>
        <w:spacing w:after="0" w:line="240" w:lineRule="auto"/>
        <w:contextualSpacing/>
        <w:jc w:val="both"/>
        <w:rPr>
          <w:rFonts w:ascii="Tahoma" w:eastAsia="Tahoma" w:hAnsi="Tahoma" w:cs="Tahoma"/>
          <w:b/>
          <w:sz w:val="18"/>
          <w:szCs w:val="18"/>
        </w:rPr>
      </w:pPr>
      <w:r w:rsidRPr="008A4C03">
        <w:rPr>
          <w:rFonts w:ascii="Tahoma" w:eastAsia="Tahoma" w:hAnsi="Tahoma" w:cs="Tahoma"/>
          <w:b/>
          <w:sz w:val="18"/>
          <w:szCs w:val="18"/>
        </w:rPr>
        <w:t xml:space="preserve">Bilgi </w:t>
      </w:r>
      <w:r>
        <w:rPr>
          <w:rFonts w:ascii="Tahoma" w:eastAsia="Tahoma" w:hAnsi="Tahoma" w:cs="Tahoma"/>
          <w:b/>
          <w:sz w:val="18"/>
          <w:szCs w:val="18"/>
        </w:rPr>
        <w:t>i</w:t>
      </w:r>
      <w:r w:rsidRPr="008A4C03">
        <w:rPr>
          <w:rFonts w:ascii="Tahoma" w:eastAsia="Tahoma" w:hAnsi="Tahoma" w:cs="Tahoma"/>
          <w:b/>
          <w:sz w:val="18"/>
          <w:szCs w:val="18"/>
        </w:rPr>
        <w:t xml:space="preserve">çin: </w:t>
      </w:r>
      <w:r w:rsidRPr="008A4C03">
        <w:rPr>
          <w:rFonts w:ascii="Tahoma" w:eastAsia="Tahoma" w:hAnsi="Tahoma" w:cs="Tahoma"/>
          <w:b/>
          <w:sz w:val="18"/>
          <w:szCs w:val="18"/>
        </w:rPr>
        <w:tab/>
      </w:r>
    </w:p>
    <w:p w14:paraId="3D3A7FBC" w14:textId="77777777" w:rsidR="009B546A" w:rsidRPr="008A4C03" w:rsidRDefault="009B546A" w:rsidP="009B546A">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8A4C03">
        <w:rPr>
          <w:rFonts w:ascii="Tahoma" w:eastAsia="Tahoma" w:hAnsi="Tahoma" w:cs="Tahoma"/>
          <w:color w:val="000000" w:themeColor="text1"/>
          <w:sz w:val="18"/>
          <w:szCs w:val="18"/>
        </w:rPr>
        <w:t>Ceren Moral Aru</w:t>
      </w:r>
    </w:p>
    <w:p w14:paraId="0843319B" w14:textId="77777777" w:rsidR="009B546A" w:rsidRPr="008A4C03" w:rsidRDefault="009B546A" w:rsidP="009B546A">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8A4C03">
        <w:rPr>
          <w:rFonts w:ascii="Tahoma" w:eastAsia="Tahoma" w:hAnsi="Tahoma" w:cs="Tahoma"/>
          <w:color w:val="000000" w:themeColor="text1"/>
          <w:sz w:val="18"/>
          <w:szCs w:val="18"/>
        </w:rPr>
        <w:t>0533 921 43 53</w:t>
      </w:r>
    </w:p>
    <w:p w14:paraId="14D2C6C7" w14:textId="77777777" w:rsidR="009B546A" w:rsidRPr="008A4C03" w:rsidRDefault="009B546A" w:rsidP="009B546A">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8A4C03">
        <w:rPr>
          <w:rFonts w:ascii="Tahoma" w:eastAsia="Tahoma" w:hAnsi="Tahoma" w:cs="Tahoma"/>
          <w:color w:val="000000" w:themeColor="text1"/>
          <w:sz w:val="18"/>
          <w:szCs w:val="18"/>
        </w:rPr>
        <w:t>cerenm@marjinal.com.tr</w:t>
      </w:r>
    </w:p>
    <w:p w14:paraId="55B958AD" w14:textId="77777777" w:rsidR="00A0009B" w:rsidRPr="008A4C03" w:rsidRDefault="00A0009B" w:rsidP="004A399D">
      <w:pPr>
        <w:spacing w:after="0" w:line="240" w:lineRule="auto"/>
        <w:contextualSpacing/>
        <w:jc w:val="both"/>
        <w:rPr>
          <w:b/>
          <w:sz w:val="16"/>
          <w:szCs w:val="16"/>
          <w:u w:val="single"/>
        </w:rPr>
      </w:pPr>
    </w:p>
    <w:p w14:paraId="2383D20D" w14:textId="549E3DE5" w:rsidR="00D322B8" w:rsidRPr="00F2590D" w:rsidRDefault="00D322B8" w:rsidP="004A399D">
      <w:pPr>
        <w:spacing w:after="0" w:line="240" w:lineRule="auto"/>
        <w:contextualSpacing/>
        <w:jc w:val="both"/>
        <w:rPr>
          <w:rFonts w:ascii="Tahoma" w:hAnsi="Tahoma"/>
          <w:b/>
          <w:sz w:val="18"/>
          <w:u w:val="single"/>
        </w:rPr>
      </w:pPr>
      <w:r w:rsidRPr="00F2590D">
        <w:rPr>
          <w:rFonts w:ascii="Tahoma" w:hAnsi="Tahoma"/>
          <w:b/>
          <w:sz w:val="18"/>
          <w:u w:val="single"/>
        </w:rPr>
        <w:t>KPMG Hakkında</w:t>
      </w:r>
    </w:p>
    <w:p w14:paraId="131DF718" w14:textId="57FA0AAC" w:rsidR="00D322B8" w:rsidRPr="00F2590D" w:rsidRDefault="00D322B8" w:rsidP="004A399D">
      <w:pPr>
        <w:spacing w:after="0" w:line="240" w:lineRule="auto"/>
        <w:contextualSpacing/>
        <w:jc w:val="both"/>
        <w:rPr>
          <w:color w:val="000000"/>
          <w:sz w:val="18"/>
        </w:rPr>
      </w:pPr>
      <w:r w:rsidRPr="008A4C03">
        <w:rPr>
          <w:color w:val="000000"/>
          <w:sz w:val="18"/>
          <w:szCs w:val="18"/>
        </w:rPr>
        <w:lastRenderedPageBreak/>
        <w:t xml:space="preserve">Denetim, vergi ve danışmanlık alanında teknoloji temelli hizmetler sunan 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w:t>
      </w:r>
      <w:proofErr w:type="spellStart"/>
      <w:r w:rsidRPr="008A4C03">
        <w:rPr>
          <w:color w:val="000000"/>
          <w:sz w:val="18"/>
          <w:szCs w:val="18"/>
        </w:rPr>
        <w:t>Lighthouse</w:t>
      </w:r>
      <w:proofErr w:type="spellEnd"/>
      <w:r w:rsidRPr="008A4C03">
        <w:rPr>
          <w:color w:val="000000"/>
          <w:sz w:val="18"/>
          <w:szCs w:val="18"/>
        </w:rPr>
        <w:t xml:space="preserve"> lisansını alarak yeni teknolojilerde dünyadaki mükemmeliyet merkezleri arasına giren KPMG Türkiye, müşterilerine değer yaratan çözümler sunuyor. Detaylı bilgi için</w:t>
      </w:r>
      <w:r w:rsidRPr="008A4C03">
        <w:rPr>
          <w:rStyle w:val="apple-converted-space"/>
          <w:color w:val="000000"/>
          <w:sz w:val="18"/>
          <w:szCs w:val="18"/>
        </w:rPr>
        <w:t> </w:t>
      </w:r>
      <w:hyperlink r:id="rId12" w:tooltip="http://www.kpmg.com.tr/" w:history="1">
        <w:r w:rsidRPr="008A4C03">
          <w:rPr>
            <w:rStyle w:val="Kpr"/>
            <w:color w:val="954F72"/>
            <w:sz w:val="18"/>
            <w:szCs w:val="18"/>
          </w:rPr>
          <w:t>www.kpmg.com.tr</w:t>
        </w:r>
      </w:hyperlink>
      <w:r w:rsidRPr="008A4C03">
        <w:rPr>
          <w:rStyle w:val="apple-converted-space"/>
          <w:color w:val="000000"/>
          <w:sz w:val="18"/>
          <w:szCs w:val="18"/>
        </w:rPr>
        <w:t> </w:t>
      </w:r>
      <w:r w:rsidRPr="008A4C03">
        <w:rPr>
          <w:color w:val="000000"/>
          <w:sz w:val="18"/>
          <w:szCs w:val="18"/>
        </w:rPr>
        <w:t>adresine başvurabilirsiniz.</w:t>
      </w:r>
    </w:p>
    <w:p w14:paraId="7F9D1A4C" w14:textId="77777777" w:rsidR="00D322B8" w:rsidRPr="008A4C03" w:rsidRDefault="00D322B8" w:rsidP="004A399D">
      <w:pPr>
        <w:pBdr>
          <w:top w:val="nil"/>
          <w:left w:val="nil"/>
          <w:bottom w:val="nil"/>
          <w:right w:val="nil"/>
          <w:between w:val="nil"/>
        </w:pBdr>
        <w:spacing w:after="0" w:line="240" w:lineRule="auto"/>
        <w:contextualSpacing/>
        <w:jc w:val="both"/>
        <w:rPr>
          <w:sz w:val="18"/>
          <w:szCs w:val="18"/>
        </w:rPr>
      </w:pPr>
    </w:p>
    <w:p w14:paraId="3359F04C" w14:textId="77777777" w:rsidR="00D322B8" w:rsidRPr="008A4C03" w:rsidRDefault="00D322B8" w:rsidP="00FB099A">
      <w:pPr>
        <w:rPr>
          <w:rFonts w:ascii="Arial" w:hAnsi="Arial" w:cs="Arial"/>
        </w:rPr>
      </w:pPr>
    </w:p>
    <w:p w14:paraId="62516F6D" w14:textId="77777777" w:rsidR="00511A4F" w:rsidRPr="008A4C03" w:rsidRDefault="00511A4F" w:rsidP="00FB099A">
      <w:pPr>
        <w:rPr>
          <w:rFonts w:ascii="Arial" w:hAnsi="Arial" w:cs="Arial"/>
        </w:rPr>
      </w:pPr>
    </w:p>
    <w:p w14:paraId="2699C430" w14:textId="2F228AE0" w:rsidR="00AD1559" w:rsidRPr="008A4C03" w:rsidRDefault="00AD1559" w:rsidP="0097526A">
      <w:pPr>
        <w:pStyle w:val="chrome"/>
        <w:shd w:val="clear" w:color="auto" w:fill="FFFFFF"/>
        <w:spacing w:before="0" w:beforeAutospacing="0" w:after="0" w:afterAutospacing="0"/>
        <w:textAlignment w:val="baseline"/>
        <w:rPr>
          <w:rFonts w:ascii="Arial" w:hAnsi="Arial" w:cs="Arial"/>
          <w:color w:val="333333"/>
          <w:sz w:val="22"/>
          <w:szCs w:val="22"/>
        </w:rPr>
      </w:pPr>
    </w:p>
    <w:p w14:paraId="6C7DDD1E" w14:textId="3398AD21" w:rsidR="00376CAF" w:rsidRPr="008A4C03" w:rsidRDefault="00376CAF" w:rsidP="00FB099A">
      <w:pPr>
        <w:rPr>
          <w:rFonts w:ascii="Arial" w:eastAsia="Times New Roman" w:hAnsi="Arial" w:cs="Arial"/>
          <w:color w:val="000000"/>
        </w:rPr>
      </w:pPr>
    </w:p>
    <w:p w14:paraId="2AB1866D" w14:textId="1B96F09F" w:rsidR="00376CAF" w:rsidRPr="008A4C03" w:rsidRDefault="00376CAF" w:rsidP="00376CAF">
      <w:pPr>
        <w:rPr>
          <w:rFonts w:ascii="Arial" w:hAnsi="Arial" w:cs="Arial"/>
        </w:rPr>
      </w:pPr>
    </w:p>
    <w:sectPr w:rsidR="00376CAF" w:rsidRPr="008A4C03" w:rsidSect="00D322B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AE5E" w14:textId="77777777" w:rsidR="005825BD" w:rsidRDefault="005825BD" w:rsidP="00D322B8">
      <w:pPr>
        <w:spacing w:after="0" w:line="240" w:lineRule="auto"/>
      </w:pPr>
      <w:r>
        <w:separator/>
      </w:r>
    </w:p>
  </w:endnote>
  <w:endnote w:type="continuationSeparator" w:id="0">
    <w:p w14:paraId="09230CA3" w14:textId="77777777" w:rsidR="005825BD" w:rsidRDefault="005825BD" w:rsidP="00D322B8">
      <w:pPr>
        <w:spacing w:after="0" w:line="240" w:lineRule="auto"/>
      </w:pPr>
      <w:r>
        <w:continuationSeparator/>
      </w:r>
    </w:p>
  </w:endnote>
  <w:endnote w:type="continuationNotice" w:id="1">
    <w:p w14:paraId="78B09BE5" w14:textId="77777777" w:rsidR="005825BD" w:rsidRDefault="00582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F741" w14:textId="77777777" w:rsidR="00295E62" w:rsidRDefault="00295E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2953" w14:textId="77777777" w:rsidR="00295E62" w:rsidRDefault="00295E6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37B9" w14:textId="77777777" w:rsidR="00295E62" w:rsidRDefault="00295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D8D4" w14:textId="77777777" w:rsidR="005825BD" w:rsidRDefault="005825BD" w:rsidP="00D322B8">
      <w:pPr>
        <w:spacing w:after="0" w:line="240" w:lineRule="auto"/>
      </w:pPr>
      <w:r>
        <w:separator/>
      </w:r>
    </w:p>
  </w:footnote>
  <w:footnote w:type="continuationSeparator" w:id="0">
    <w:p w14:paraId="1C97A7A6" w14:textId="77777777" w:rsidR="005825BD" w:rsidRDefault="005825BD" w:rsidP="00D322B8">
      <w:pPr>
        <w:spacing w:after="0" w:line="240" w:lineRule="auto"/>
      </w:pPr>
      <w:r>
        <w:continuationSeparator/>
      </w:r>
    </w:p>
  </w:footnote>
  <w:footnote w:type="continuationNotice" w:id="1">
    <w:p w14:paraId="0DDAF203" w14:textId="77777777" w:rsidR="005825BD" w:rsidRDefault="00582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2C54" w14:textId="77777777" w:rsidR="00295E62" w:rsidRDefault="00295E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295E62" w:rsidRDefault="00295E62">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95D2" w14:textId="77777777" w:rsidR="00295E62" w:rsidRDefault="00295E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7952B0"/>
    <w:multiLevelType w:val="hybridMultilevel"/>
    <w:tmpl w:val="00842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343130"/>
    <w:multiLevelType w:val="multilevel"/>
    <w:tmpl w:val="6EFE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873AC"/>
    <w:multiLevelType w:val="hybridMultilevel"/>
    <w:tmpl w:val="8D3E15F2"/>
    <w:lvl w:ilvl="0" w:tplc="1632D78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8B44C0"/>
    <w:multiLevelType w:val="hybridMultilevel"/>
    <w:tmpl w:val="9CAE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6F2186"/>
    <w:multiLevelType w:val="hybridMultilevel"/>
    <w:tmpl w:val="74A67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664BA"/>
    <w:multiLevelType w:val="hybridMultilevel"/>
    <w:tmpl w:val="1128A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8E17EA"/>
    <w:multiLevelType w:val="hybridMultilevel"/>
    <w:tmpl w:val="605E6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824189">
    <w:abstractNumId w:val="0"/>
  </w:num>
  <w:num w:numId="2" w16cid:durableId="1920090874">
    <w:abstractNumId w:val="8"/>
  </w:num>
  <w:num w:numId="3" w16cid:durableId="841503670">
    <w:abstractNumId w:val="5"/>
  </w:num>
  <w:num w:numId="4" w16cid:durableId="1140921854">
    <w:abstractNumId w:val="10"/>
  </w:num>
  <w:num w:numId="5" w16cid:durableId="633096553">
    <w:abstractNumId w:val="4"/>
  </w:num>
  <w:num w:numId="6" w16cid:durableId="2062708773">
    <w:abstractNumId w:val="3"/>
  </w:num>
  <w:num w:numId="7" w16cid:durableId="38405822">
    <w:abstractNumId w:val="2"/>
  </w:num>
  <w:num w:numId="8" w16cid:durableId="65229944">
    <w:abstractNumId w:val="7"/>
  </w:num>
  <w:num w:numId="9" w16cid:durableId="1980569412">
    <w:abstractNumId w:val="9"/>
  </w:num>
  <w:num w:numId="10" w16cid:durableId="1152142929">
    <w:abstractNumId w:val="6"/>
  </w:num>
  <w:num w:numId="11" w16cid:durableId="1228494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9A"/>
    <w:rsid w:val="00030E0C"/>
    <w:rsid w:val="00042C13"/>
    <w:rsid w:val="0004503B"/>
    <w:rsid w:val="00050C8F"/>
    <w:rsid w:val="000549BD"/>
    <w:rsid w:val="000859AF"/>
    <w:rsid w:val="00086CCC"/>
    <w:rsid w:val="000A1B9D"/>
    <w:rsid w:val="000B2BC7"/>
    <w:rsid w:val="000C46F9"/>
    <w:rsid w:val="000E47CB"/>
    <w:rsid w:val="00112DEC"/>
    <w:rsid w:val="00113FCE"/>
    <w:rsid w:val="00123883"/>
    <w:rsid w:val="00124A68"/>
    <w:rsid w:val="00131916"/>
    <w:rsid w:val="001809A2"/>
    <w:rsid w:val="001B0E50"/>
    <w:rsid w:val="001B75FC"/>
    <w:rsid w:val="001C72CD"/>
    <w:rsid w:val="001D660D"/>
    <w:rsid w:val="001E1645"/>
    <w:rsid w:val="002054E4"/>
    <w:rsid w:val="00206A6E"/>
    <w:rsid w:val="00210785"/>
    <w:rsid w:val="002454DA"/>
    <w:rsid w:val="00270D2A"/>
    <w:rsid w:val="002724D1"/>
    <w:rsid w:val="00295E62"/>
    <w:rsid w:val="00296906"/>
    <w:rsid w:val="002C6013"/>
    <w:rsid w:val="002C69A1"/>
    <w:rsid w:val="002D3A9A"/>
    <w:rsid w:val="002D52E4"/>
    <w:rsid w:val="002E26DE"/>
    <w:rsid w:val="00300EFC"/>
    <w:rsid w:val="00304DB0"/>
    <w:rsid w:val="00320E15"/>
    <w:rsid w:val="003468D7"/>
    <w:rsid w:val="00361FCC"/>
    <w:rsid w:val="003656F3"/>
    <w:rsid w:val="00370DEB"/>
    <w:rsid w:val="00376CAF"/>
    <w:rsid w:val="00384188"/>
    <w:rsid w:val="003B6596"/>
    <w:rsid w:val="003B74B2"/>
    <w:rsid w:val="003C2CFE"/>
    <w:rsid w:val="003C439A"/>
    <w:rsid w:val="003D5216"/>
    <w:rsid w:val="003E31EA"/>
    <w:rsid w:val="003E7D7D"/>
    <w:rsid w:val="003F0569"/>
    <w:rsid w:val="003F5464"/>
    <w:rsid w:val="004136C3"/>
    <w:rsid w:val="00430246"/>
    <w:rsid w:val="00431C77"/>
    <w:rsid w:val="00433413"/>
    <w:rsid w:val="00433B51"/>
    <w:rsid w:val="00442875"/>
    <w:rsid w:val="00443328"/>
    <w:rsid w:val="00451011"/>
    <w:rsid w:val="0045532F"/>
    <w:rsid w:val="00466B5C"/>
    <w:rsid w:val="004A399D"/>
    <w:rsid w:val="004C4499"/>
    <w:rsid w:val="004D127B"/>
    <w:rsid w:val="00500513"/>
    <w:rsid w:val="00511A4F"/>
    <w:rsid w:val="0053066A"/>
    <w:rsid w:val="00543014"/>
    <w:rsid w:val="0055413F"/>
    <w:rsid w:val="00565489"/>
    <w:rsid w:val="0056796C"/>
    <w:rsid w:val="00571CA1"/>
    <w:rsid w:val="005825BD"/>
    <w:rsid w:val="005832C8"/>
    <w:rsid w:val="005B12C4"/>
    <w:rsid w:val="005E7A05"/>
    <w:rsid w:val="005F48CF"/>
    <w:rsid w:val="00604A94"/>
    <w:rsid w:val="006412E5"/>
    <w:rsid w:val="006524A0"/>
    <w:rsid w:val="0065331B"/>
    <w:rsid w:val="00660FB8"/>
    <w:rsid w:val="00693178"/>
    <w:rsid w:val="006C2B1C"/>
    <w:rsid w:val="006E2959"/>
    <w:rsid w:val="00700289"/>
    <w:rsid w:val="007038EB"/>
    <w:rsid w:val="00744CBA"/>
    <w:rsid w:val="00745D55"/>
    <w:rsid w:val="007534ED"/>
    <w:rsid w:val="00754803"/>
    <w:rsid w:val="0076623A"/>
    <w:rsid w:val="00780B11"/>
    <w:rsid w:val="00782AE8"/>
    <w:rsid w:val="007D3441"/>
    <w:rsid w:val="007D7042"/>
    <w:rsid w:val="007D7D7B"/>
    <w:rsid w:val="007E3F7F"/>
    <w:rsid w:val="00800169"/>
    <w:rsid w:val="00812B22"/>
    <w:rsid w:val="008262BA"/>
    <w:rsid w:val="00861B6C"/>
    <w:rsid w:val="008A4C03"/>
    <w:rsid w:val="008D091F"/>
    <w:rsid w:val="008F0D79"/>
    <w:rsid w:val="009228B8"/>
    <w:rsid w:val="00933921"/>
    <w:rsid w:val="00933B43"/>
    <w:rsid w:val="0093489B"/>
    <w:rsid w:val="0097526A"/>
    <w:rsid w:val="00977720"/>
    <w:rsid w:val="00996F96"/>
    <w:rsid w:val="009B546A"/>
    <w:rsid w:val="009D20C9"/>
    <w:rsid w:val="009F74B7"/>
    <w:rsid w:val="00A0009B"/>
    <w:rsid w:val="00A05523"/>
    <w:rsid w:val="00A35719"/>
    <w:rsid w:val="00A3652E"/>
    <w:rsid w:val="00A4104C"/>
    <w:rsid w:val="00A474C5"/>
    <w:rsid w:val="00A56F13"/>
    <w:rsid w:val="00A842EF"/>
    <w:rsid w:val="00A97A31"/>
    <w:rsid w:val="00AA14D4"/>
    <w:rsid w:val="00AA3D0E"/>
    <w:rsid w:val="00AB0727"/>
    <w:rsid w:val="00AD1559"/>
    <w:rsid w:val="00AD337D"/>
    <w:rsid w:val="00AE0852"/>
    <w:rsid w:val="00B24160"/>
    <w:rsid w:val="00BA1F99"/>
    <w:rsid w:val="00BB0308"/>
    <w:rsid w:val="00BB341C"/>
    <w:rsid w:val="00BC3DC4"/>
    <w:rsid w:val="00BE6FD6"/>
    <w:rsid w:val="00BF16D4"/>
    <w:rsid w:val="00C3392C"/>
    <w:rsid w:val="00C45E91"/>
    <w:rsid w:val="00C571D4"/>
    <w:rsid w:val="00C77CF9"/>
    <w:rsid w:val="00C96712"/>
    <w:rsid w:val="00CA0069"/>
    <w:rsid w:val="00CA26BB"/>
    <w:rsid w:val="00CB7F84"/>
    <w:rsid w:val="00CC69E3"/>
    <w:rsid w:val="00CD7F12"/>
    <w:rsid w:val="00D020A9"/>
    <w:rsid w:val="00D12249"/>
    <w:rsid w:val="00D322B8"/>
    <w:rsid w:val="00D61559"/>
    <w:rsid w:val="00D64BF4"/>
    <w:rsid w:val="00D75696"/>
    <w:rsid w:val="00DD1909"/>
    <w:rsid w:val="00DD266D"/>
    <w:rsid w:val="00E0077A"/>
    <w:rsid w:val="00E35A6B"/>
    <w:rsid w:val="00E41A69"/>
    <w:rsid w:val="00E43011"/>
    <w:rsid w:val="00E44EFF"/>
    <w:rsid w:val="00E46710"/>
    <w:rsid w:val="00E85F70"/>
    <w:rsid w:val="00E867CA"/>
    <w:rsid w:val="00E86FB5"/>
    <w:rsid w:val="00EA0D6B"/>
    <w:rsid w:val="00EB3B3E"/>
    <w:rsid w:val="00EC2029"/>
    <w:rsid w:val="00EC33D2"/>
    <w:rsid w:val="00ED4822"/>
    <w:rsid w:val="00EF0792"/>
    <w:rsid w:val="00F02DC7"/>
    <w:rsid w:val="00F2590D"/>
    <w:rsid w:val="00F25ED1"/>
    <w:rsid w:val="00F3167F"/>
    <w:rsid w:val="00F33ED6"/>
    <w:rsid w:val="00F35505"/>
    <w:rsid w:val="00F40D4D"/>
    <w:rsid w:val="00F620B6"/>
    <w:rsid w:val="00F625FD"/>
    <w:rsid w:val="00F752D2"/>
    <w:rsid w:val="00F76304"/>
    <w:rsid w:val="00F81333"/>
    <w:rsid w:val="00F96278"/>
    <w:rsid w:val="00F964CC"/>
    <w:rsid w:val="00FB099A"/>
    <w:rsid w:val="00FE044C"/>
    <w:rsid w:val="00FF17C1"/>
    <w:rsid w:val="00FF5CB9"/>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styleId="zmlenmeyenBahsetme">
    <w:name w:val="Unresolved Mention"/>
    <w:basedOn w:val="VarsaylanParagrafYazTipi"/>
    <w:uiPriority w:val="99"/>
    <w:semiHidden/>
    <w:unhideWhenUsed/>
    <w:rsid w:val="00BA1F99"/>
    <w:rPr>
      <w:color w:val="605E5C"/>
      <w:shd w:val="clear" w:color="auto" w:fill="E1DFDD"/>
    </w:rPr>
  </w:style>
  <w:style w:type="paragraph" w:styleId="NormalWeb">
    <w:name w:val="Normal (Web)"/>
    <w:basedOn w:val="Normal"/>
    <w:uiPriority w:val="99"/>
    <w:semiHidden/>
    <w:unhideWhenUsed/>
    <w:rsid w:val="00AB072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oKlavuzu">
    <w:name w:val="Table Grid"/>
    <w:basedOn w:val="NormalTablo"/>
    <w:uiPriority w:val="39"/>
    <w:rsid w:val="0078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394547212">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558251584">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945991174">
      <w:bodyDiv w:val="1"/>
      <w:marLeft w:val="0"/>
      <w:marRight w:val="0"/>
      <w:marTop w:val="0"/>
      <w:marBottom w:val="0"/>
      <w:divBdr>
        <w:top w:val="none" w:sz="0" w:space="0" w:color="auto"/>
        <w:left w:val="none" w:sz="0" w:space="0" w:color="auto"/>
        <w:bottom w:val="none" w:sz="0" w:space="0" w:color="auto"/>
        <w:right w:val="none" w:sz="0" w:space="0" w:color="auto"/>
      </w:divBdr>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pmg.com.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kpmg/tr/tr/home/gorusler/2022/06/kuresel-madencilik-sektorune-genel-baki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24102-6347-4E14-AE3E-A328867965D4}">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EC7B7E1F-A9E9-403C-A671-851238D4E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54F3D-4276-402C-9EF7-0E1EC38D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740DE-2664-485B-B45B-62F406D5B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1244</Words>
  <Characters>7095</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KPMG</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6</cp:revision>
  <dcterms:created xsi:type="dcterms:W3CDTF">2022-06-21T11:35:00Z</dcterms:created>
  <dcterms:modified xsi:type="dcterms:W3CDTF">2022-06-22T07:00:00Z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