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7918" w14:textId="69ACB229" w:rsidR="00D322B8" w:rsidRPr="00997F8E" w:rsidRDefault="00D322B8" w:rsidP="00D322B8">
      <w:pPr>
        <w:rPr>
          <w:rFonts w:ascii="Tahoma" w:eastAsia="Tahoma" w:hAnsi="Tahoma" w:cs="Tahoma"/>
          <w:b/>
          <w:u w:val="single"/>
        </w:rPr>
      </w:pPr>
      <w:r w:rsidRPr="00997F8E">
        <w:rPr>
          <w:rFonts w:ascii="Tahoma" w:eastAsia="Tahoma" w:hAnsi="Tahoma" w:cs="Tahoma"/>
          <w:b/>
          <w:u w:val="single"/>
        </w:rPr>
        <w:t>BASIN BÜLTENİ</w:t>
      </w:r>
      <w:r w:rsidRPr="00997F8E">
        <w:rPr>
          <w:rFonts w:ascii="Tahoma" w:eastAsia="Tahoma" w:hAnsi="Tahoma" w:cs="Tahoma"/>
          <w:b/>
          <w:u w:val="single"/>
        </w:rPr>
        <w:tab/>
      </w:r>
      <w:r w:rsidRPr="00997F8E">
        <w:rPr>
          <w:rFonts w:ascii="Tahoma" w:eastAsia="Tahoma" w:hAnsi="Tahoma" w:cs="Tahoma"/>
          <w:b/>
          <w:u w:val="single"/>
        </w:rPr>
        <w:tab/>
      </w:r>
      <w:r w:rsidRPr="00997F8E">
        <w:rPr>
          <w:rFonts w:ascii="Tahoma" w:eastAsia="Tahoma" w:hAnsi="Tahoma" w:cs="Tahoma"/>
          <w:b/>
          <w:u w:val="single"/>
        </w:rPr>
        <w:tab/>
      </w:r>
      <w:r w:rsidRPr="00997F8E">
        <w:rPr>
          <w:rFonts w:ascii="Tahoma" w:eastAsia="Tahoma" w:hAnsi="Tahoma" w:cs="Tahoma"/>
          <w:b/>
          <w:u w:val="single"/>
        </w:rPr>
        <w:tab/>
      </w:r>
      <w:r w:rsidRPr="00997F8E">
        <w:rPr>
          <w:rFonts w:ascii="Tahoma" w:eastAsia="Tahoma" w:hAnsi="Tahoma" w:cs="Tahoma"/>
          <w:b/>
          <w:u w:val="single"/>
        </w:rPr>
        <w:tab/>
        <w:t xml:space="preserve">                                            </w:t>
      </w:r>
      <w:r w:rsidR="00E80F64" w:rsidRPr="00E80F64">
        <w:rPr>
          <w:rFonts w:ascii="Tahoma" w:eastAsia="Tahoma" w:hAnsi="Tahoma" w:cs="Tahoma"/>
          <w:b/>
          <w:u w:val="single"/>
        </w:rPr>
        <w:t>20</w:t>
      </w:r>
      <w:r w:rsidRPr="00E80F64">
        <w:rPr>
          <w:rFonts w:ascii="Tahoma" w:eastAsia="Tahoma" w:hAnsi="Tahoma" w:cs="Tahoma"/>
          <w:b/>
          <w:u w:val="single"/>
        </w:rPr>
        <w:t>.0</w:t>
      </w:r>
      <w:r w:rsidR="00761AD2" w:rsidRPr="00E80F64">
        <w:rPr>
          <w:rFonts w:ascii="Tahoma" w:eastAsia="Tahoma" w:hAnsi="Tahoma" w:cs="Tahoma"/>
          <w:b/>
          <w:u w:val="single"/>
        </w:rPr>
        <w:t>4</w:t>
      </w:r>
      <w:r w:rsidRPr="00E80F64">
        <w:rPr>
          <w:rFonts w:ascii="Tahoma" w:eastAsia="Tahoma" w:hAnsi="Tahoma" w:cs="Tahoma"/>
          <w:b/>
          <w:u w:val="single"/>
        </w:rPr>
        <w:t>.2022</w:t>
      </w:r>
    </w:p>
    <w:p w14:paraId="335CEAF7" w14:textId="60ACD4D6" w:rsidR="00D322B8" w:rsidRPr="00A23CC9" w:rsidRDefault="00D322B8" w:rsidP="00A23CC9">
      <w:pPr>
        <w:rPr>
          <w:rFonts w:ascii="Arial" w:hAnsi="Arial"/>
          <w:b/>
        </w:rPr>
      </w:pPr>
    </w:p>
    <w:p w14:paraId="1C8B557D" w14:textId="058E505A" w:rsidR="006620CF" w:rsidRDefault="00CE3556" w:rsidP="006620CF">
      <w:pPr>
        <w:spacing w:after="0" w:line="300" w:lineRule="auto"/>
        <w:contextualSpacing/>
        <w:jc w:val="center"/>
        <w:rPr>
          <w:rFonts w:ascii="Arial" w:hAnsi="Arial" w:cs="Arial"/>
          <w:b/>
          <w:bCs/>
          <w:sz w:val="40"/>
          <w:szCs w:val="40"/>
        </w:rPr>
      </w:pPr>
      <w:r w:rsidRPr="00CE3556">
        <w:rPr>
          <w:rFonts w:ascii="Arial" w:hAnsi="Arial" w:cs="Arial"/>
          <w:b/>
          <w:bCs/>
          <w:sz w:val="40"/>
          <w:szCs w:val="40"/>
        </w:rPr>
        <w:t xml:space="preserve">Lojistikte güven 2022’nin ilk çeyreğinde gücünü koruyor </w:t>
      </w:r>
    </w:p>
    <w:p w14:paraId="0704C3D2" w14:textId="77777777" w:rsidR="00D322B8" w:rsidRPr="00B25D38" w:rsidRDefault="00D322B8" w:rsidP="00D322B8">
      <w:pPr>
        <w:spacing w:after="0" w:line="300" w:lineRule="auto"/>
        <w:contextualSpacing/>
        <w:jc w:val="both"/>
        <w:rPr>
          <w:rFonts w:ascii="Arial" w:hAnsi="Arial" w:cs="Arial"/>
          <w:highlight w:val="yellow"/>
        </w:rPr>
      </w:pPr>
    </w:p>
    <w:p w14:paraId="37CF9F4E" w14:textId="0027AC96" w:rsidR="009A479B" w:rsidRPr="00197D29" w:rsidRDefault="009A479B" w:rsidP="009A479B">
      <w:pPr>
        <w:spacing w:after="0" w:line="300" w:lineRule="auto"/>
        <w:contextualSpacing/>
        <w:jc w:val="center"/>
        <w:rPr>
          <w:rFonts w:ascii="Arial" w:hAnsi="Arial" w:cs="Arial"/>
          <w:b/>
          <w:bCs/>
          <w:sz w:val="24"/>
          <w:szCs w:val="24"/>
        </w:rPr>
      </w:pPr>
      <w:r w:rsidRPr="009A479B">
        <w:rPr>
          <w:rFonts w:ascii="Arial" w:hAnsi="Arial" w:cs="Arial"/>
          <w:b/>
          <w:bCs/>
          <w:sz w:val="24"/>
          <w:szCs w:val="24"/>
        </w:rPr>
        <w:t>KPMG Türkiye</w:t>
      </w:r>
      <w:r>
        <w:rPr>
          <w:rFonts w:ascii="Arial" w:hAnsi="Arial" w:cs="Arial"/>
          <w:b/>
          <w:bCs/>
          <w:sz w:val="24"/>
          <w:szCs w:val="24"/>
        </w:rPr>
        <w:t xml:space="preserve"> ve </w:t>
      </w:r>
      <w:r w:rsidRPr="009A479B">
        <w:rPr>
          <w:rFonts w:ascii="Arial" w:hAnsi="Arial" w:cs="Arial"/>
          <w:b/>
          <w:bCs/>
          <w:sz w:val="24"/>
          <w:szCs w:val="24"/>
        </w:rPr>
        <w:t>İstanbul Üniversitesi iş birliği</w:t>
      </w:r>
      <w:r>
        <w:rPr>
          <w:rFonts w:ascii="Arial" w:hAnsi="Arial" w:cs="Arial"/>
          <w:b/>
          <w:bCs/>
          <w:sz w:val="24"/>
          <w:szCs w:val="24"/>
        </w:rPr>
        <w:t xml:space="preserve"> ile </w:t>
      </w:r>
      <w:r w:rsidRPr="009A479B">
        <w:rPr>
          <w:rFonts w:ascii="Arial" w:hAnsi="Arial" w:cs="Arial"/>
          <w:b/>
          <w:bCs/>
          <w:sz w:val="24"/>
          <w:szCs w:val="24"/>
        </w:rPr>
        <w:t>hazırlanan Lojistik Güven Endeksi</w:t>
      </w:r>
      <w:r>
        <w:rPr>
          <w:rFonts w:ascii="Arial" w:hAnsi="Arial" w:cs="Arial"/>
          <w:b/>
          <w:bCs/>
          <w:sz w:val="24"/>
          <w:szCs w:val="24"/>
        </w:rPr>
        <w:t>,</w:t>
      </w:r>
      <w:r w:rsidRPr="009A479B">
        <w:rPr>
          <w:rFonts w:ascii="Arial" w:hAnsi="Arial" w:cs="Arial"/>
          <w:b/>
          <w:bCs/>
          <w:sz w:val="24"/>
          <w:szCs w:val="24"/>
        </w:rPr>
        <w:t xml:space="preserve"> </w:t>
      </w:r>
      <w:r w:rsidR="00066976">
        <w:rPr>
          <w:rFonts w:ascii="Arial" w:hAnsi="Arial" w:cs="Arial"/>
          <w:b/>
          <w:bCs/>
          <w:sz w:val="24"/>
          <w:szCs w:val="24"/>
        </w:rPr>
        <w:t xml:space="preserve">bu yılın ilk çeyreğinde </w:t>
      </w:r>
      <w:r w:rsidRPr="009A479B">
        <w:rPr>
          <w:rFonts w:ascii="Arial" w:hAnsi="Arial" w:cs="Arial"/>
          <w:b/>
          <w:bCs/>
          <w:sz w:val="24"/>
          <w:szCs w:val="24"/>
        </w:rPr>
        <w:t xml:space="preserve">2021 yılının son çeyreğine kıyasla yüzde 2’lik küçük bir düşüş </w:t>
      </w:r>
      <w:r>
        <w:rPr>
          <w:rFonts w:ascii="Arial" w:hAnsi="Arial" w:cs="Arial"/>
          <w:b/>
          <w:bCs/>
          <w:sz w:val="24"/>
          <w:szCs w:val="24"/>
        </w:rPr>
        <w:t xml:space="preserve">kaydederek </w:t>
      </w:r>
      <w:r w:rsidRPr="009A479B">
        <w:rPr>
          <w:rFonts w:ascii="Arial" w:hAnsi="Arial" w:cs="Arial"/>
          <w:b/>
          <w:bCs/>
          <w:sz w:val="24"/>
          <w:szCs w:val="24"/>
        </w:rPr>
        <w:t>125,47 ola</w:t>
      </w:r>
      <w:r>
        <w:rPr>
          <w:rFonts w:ascii="Arial" w:hAnsi="Arial" w:cs="Arial"/>
          <w:b/>
          <w:bCs/>
          <w:sz w:val="24"/>
          <w:szCs w:val="24"/>
        </w:rPr>
        <w:t xml:space="preserve">rak ölçüldü ve </w:t>
      </w:r>
      <w:r w:rsidRPr="009A479B">
        <w:rPr>
          <w:rFonts w:ascii="Arial" w:hAnsi="Arial" w:cs="Arial"/>
          <w:b/>
          <w:bCs/>
          <w:sz w:val="24"/>
          <w:szCs w:val="24"/>
        </w:rPr>
        <w:t>pozitif görünümünü korudu. Sektördeki</w:t>
      </w:r>
      <w:r>
        <w:rPr>
          <w:rFonts w:ascii="Arial" w:hAnsi="Arial" w:cs="Arial"/>
          <w:b/>
          <w:bCs/>
          <w:sz w:val="24"/>
          <w:szCs w:val="24"/>
        </w:rPr>
        <w:t xml:space="preserve"> pozitif görünümü </w:t>
      </w:r>
      <w:r w:rsidRPr="009A479B">
        <w:rPr>
          <w:rFonts w:ascii="Arial" w:hAnsi="Arial" w:cs="Arial"/>
          <w:b/>
          <w:bCs/>
          <w:sz w:val="24"/>
          <w:szCs w:val="24"/>
        </w:rPr>
        <w:t>değerlendiren KPMG Türkiye Taşımacılık Sektör Lideri Yavuz Öner</w:t>
      </w:r>
      <w:r>
        <w:rPr>
          <w:rFonts w:ascii="Arial" w:hAnsi="Arial" w:cs="Arial"/>
          <w:b/>
          <w:bCs/>
          <w:sz w:val="24"/>
          <w:szCs w:val="24"/>
        </w:rPr>
        <w:t>,</w:t>
      </w:r>
      <w:r w:rsidRPr="009A479B">
        <w:rPr>
          <w:rFonts w:ascii="Arial" w:hAnsi="Arial" w:cs="Arial"/>
          <w:b/>
          <w:bCs/>
          <w:sz w:val="24"/>
          <w:szCs w:val="24"/>
        </w:rPr>
        <w:t xml:space="preserve"> Avrupa’nın Rusya üzerinden ticareti durdurmasının Türkiye açısından olumlu bir yanı oldu</w:t>
      </w:r>
      <w:r>
        <w:rPr>
          <w:rFonts w:ascii="Arial" w:hAnsi="Arial" w:cs="Arial"/>
          <w:b/>
          <w:bCs/>
          <w:sz w:val="24"/>
          <w:szCs w:val="24"/>
        </w:rPr>
        <w:t>ğuna dikkat çekti</w:t>
      </w:r>
      <w:r w:rsidRPr="009A479B">
        <w:rPr>
          <w:rFonts w:ascii="Arial" w:hAnsi="Arial" w:cs="Arial"/>
          <w:b/>
          <w:bCs/>
          <w:sz w:val="24"/>
          <w:szCs w:val="24"/>
        </w:rPr>
        <w:t>.</w:t>
      </w:r>
    </w:p>
    <w:p w14:paraId="78FFFAB0" w14:textId="77777777" w:rsidR="00D322B8" w:rsidRPr="00997F8E" w:rsidRDefault="00D322B8" w:rsidP="004A399D">
      <w:pPr>
        <w:spacing w:after="0" w:line="300" w:lineRule="auto"/>
        <w:contextualSpacing/>
        <w:jc w:val="both"/>
        <w:rPr>
          <w:rFonts w:ascii="Arial" w:hAnsi="Arial" w:cs="Arial"/>
        </w:rPr>
      </w:pPr>
    </w:p>
    <w:p w14:paraId="04AD1858" w14:textId="19A6897C" w:rsidR="00BC58C3" w:rsidRDefault="00CE3556" w:rsidP="00CE3556">
      <w:pPr>
        <w:spacing w:after="0" w:line="300" w:lineRule="auto"/>
        <w:contextualSpacing/>
        <w:jc w:val="both"/>
        <w:rPr>
          <w:rFonts w:ascii="Arial" w:hAnsi="Arial" w:cs="Arial"/>
        </w:rPr>
      </w:pPr>
      <w:r w:rsidRPr="00CE3556">
        <w:rPr>
          <w:rFonts w:ascii="Arial" w:hAnsi="Arial" w:cs="Arial"/>
        </w:rPr>
        <w:t xml:space="preserve">KPMG Türkiye ile İstanbul Üniversitesi Ulaştırma ve Lojistik Fakültesi iş birliğiyle hazırlanan Lojistik Güven Endeksi 2022 yılının ilk çeyreği için açıklandı. </w:t>
      </w:r>
    </w:p>
    <w:p w14:paraId="2B9D61A7" w14:textId="77777777" w:rsidR="00BC58C3" w:rsidRDefault="00BC58C3" w:rsidP="00CE3556">
      <w:pPr>
        <w:spacing w:after="0" w:line="300" w:lineRule="auto"/>
        <w:contextualSpacing/>
        <w:jc w:val="both"/>
        <w:rPr>
          <w:rFonts w:ascii="Arial" w:hAnsi="Arial" w:cs="Arial"/>
        </w:rPr>
      </w:pPr>
    </w:p>
    <w:p w14:paraId="7285A511" w14:textId="6B0B7D35" w:rsidR="00CE3556" w:rsidRDefault="00CE3556" w:rsidP="00CE3556">
      <w:pPr>
        <w:spacing w:after="0" w:line="300" w:lineRule="auto"/>
        <w:contextualSpacing/>
        <w:jc w:val="both"/>
        <w:rPr>
          <w:rFonts w:ascii="Arial" w:hAnsi="Arial" w:cs="Arial"/>
        </w:rPr>
      </w:pPr>
      <w:r w:rsidRPr="00CE3556">
        <w:rPr>
          <w:rFonts w:ascii="Arial" w:hAnsi="Arial" w:cs="Arial"/>
        </w:rPr>
        <w:t xml:space="preserve">2021 yılının son çeyreğine kıyasla yüzde 2’lik küçük bir düşüş kaydeden endeks, 125,47 olarak ölçülerek pozitif görünümünü korudu. </w:t>
      </w:r>
      <w:r w:rsidR="00BC58C3">
        <w:rPr>
          <w:rFonts w:ascii="Arial" w:hAnsi="Arial" w:cs="Arial"/>
        </w:rPr>
        <w:t>E</w:t>
      </w:r>
      <w:r w:rsidR="00BC58C3" w:rsidRPr="00CE3556">
        <w:rPr>
          <w:rFonts w:ascii="Arial" w:hAnsi="Arial" w:cs="Arial"/>
        </w:rPr>
        <w:t>ndeks</w:t>
      </w:r>
      <w:r w:rsidR="00BC58C3">
        <w:rPr>
          <w:rFonts w:ascii="Arial" w:hAnsi="Arial" w:cs="Arial"/>
        </w:rPr>
        <w:t>,</w:t>
      </w:r>
      <w:r w:rsidR="00BC58C3" w:rsidRPr="00CE3556">
        <w:rPr>
          <w:rFonts w:ascii="Arial" w:hAnsi="Arial" w:cs="Arial"/>
        </w:rPr>
        <w:t xml:space="preserve"> </w:t>
      </w:r>
      <w:r w:rsidRPr="00CE3556">
        <w:rPr>
          <w:rFonts w:ascii="Arial" w:hAnsi="Arial" w:cs="Arial"/>
        </w:rPr>
        <w:t>2021 yılının ilk çeyreğiyle karşılaştırıldığında</w:t>
      </w:r>
      <w:r w:rsidR="00BC58C3">
        <w:rPr>
          <w:rFonts w:ascii="Arial" w:hAnsi="Arial" w:cs="Arial"/>
        </w:rPr>
        <w:t xml:space="preserve"> ise </w:t>
      </w:r>
      <w:r w:rsidRPr="00CE3556">
        <w:rPr>
          <w:rFonts w:ascii="Arial" w:hAnsi="Arial" w:cs="Arial"/>
        </w:rPr>
        <w:t xml:space="preserve">büyük ölçüde sabit bir trend izliyor. </w:t>
      </w:r>
      <w:r w:rsidR="00784016">
        <w:rPr>
          <w:rFonts w:ascii="Arial" w:hAnsi="Arial" w:cs="Arial"/>
        </w:rPr>
        <w:t xml:space="preserve">Bununla birlikte endekste, </w:t>
      </w:r>
      <w:r w:rsidRPr="00CE3556">
        <w:rPr>
          <w:rFonts w:ascii="Arial" w:hAnsi="Arial" w:cs="Arial"/>
        </w:rPr>
        <w:t>2021’in üçüncü çeyreğinde kaydedilen rekor seviyeye kıyasla ise yüzde 12’lik bir düşüş söz konusu. Sektörün güncel durumunu gösteren Mevcut Durum Endeksi</w:t>
      </w:r>
      <w:r w:rsidR="00784016">
        <w:rPr>
          <w:rFonts w:ascii="Arial" w:hAnsi="Arial" w:cs="Arial"/>
        </w:rPr>
        <w:t xml:space="preserve"> ise </w:t>
      </w:r>
      <w:r w:rsidRPr="00CE3556">
        <w:rPr>
          <w:rFonts w:ascii="Arial" w:hAnsi="Arial" w:cs="Arial"/>
        </w:rPr>
        <w:t>bir önceki çeyreğe kıyasla yüzde 4,4’lük hafif bir düşüşle 130,71 olarak gerçekleşti. Gelecek Dönem Beklenti Endeksi de 2021’in son çeyreğine göre yüzde 1’lik hafif bir düşüşle 122,85 olarak ölçüldü.</w:t>
      </w:r>
    </w:p>
    <w:p w14:paraId="35F2B6C0" w14:textId="6DD07E2E" w:rsidR="00CE3556" w:rsidRPr="00CE3556" w:rsidRDefault="00CE3556" w:rsidP="00CE3556">
      <w:pPr>
        <w:spacing w:after="0" w:line="300" w:lineRule="auto"/>
        <w:contextualSpacing/>
        <w:jc w:val="both"/>
        <w:rPr>
          <w:rFonts w:ascii="Arial" w:hAnsi="Arial" w:cs="Arial"/>
        </w:rPr>
      </w:pPr>
      <w:r w:rsidRPr="00CE3556">
        <w:rPr>
          <w:rFonts w:ascii="Arial" w:hAnsi="Arial" w:cs="Arial"/>
        </w:rPr>
        <w:t xml:space="preserve"> </w:t>
      </w:r>
    </w:p>
    <w:p w14:paraId="3B59A83C" w14:textId="73F3F01F" w:rsidR="00CE3556" w:rsidRDefault="00CE3556" w:rsidP="00CE3556">
      <w:pPr>
        <w:spacing w:after="0" w:line="300" w:lineRule="auto"/>
        <w:contextualSpacing/>
        <w:jc w:val="both"/>
        <w:rPr>
          <w:rFonts w:ascii="Arial" w:hAnsi="Arial" w:cs="Arial"/>
        </w:rPr>
      </w:pPr>
      <w:r w:rsidRPr="00CE3556">
        <w:rPr>
          <w:rFonts w:ascii="Arial" w:hAnsi="Arial" w:cs="Arial"/>
        </w:rPr>
        <w:t xml:space="preserve">Gelecek Dönem Beklenti Endeksinin alt kırılımlarına </w:t>
      </w:r>
      <w:r w:rsidR="00784016">
        <w:rPr>
          <w:rFonts w:ascii="Arial" w:hAnsi="Arial" w:cs="Arial"/>
        </w:rPr>
        <w:t>bakıldığında</w:t>
      </w:r>
      <w:r w:rsidRPr="00CE3556">
        <w:rPr>
          <w:rFonts w:ascii="Arial" w:hAnsi="Arial" w:cs="Arial"/>
        </w:rPr>
        <w:t xml:space="preserve">, </w:t>
      </w:r>
      <w:r w:rsidR="00784016">
        <w:rPr>
          <w:rFonts w:ascii="Arial" w:hAnsi="Arial" w:cs="Arial"/>
        </w:rPr>
        <w:t>n</w:t>
      </w:r>
      <w:r w:rsidRPr="00CE3556">
        <w:rPr>
          <w:rFonts w:ascii="Arial" w:hAnsi="Arial" w:cs="Arial"/>
        </w:rPr>
        <w:t>isan</w:t>
      </w:r>
      <w:r w:rsidR="00784016">
        <w:rPr>
          <w:rFonts w:ascii="Arial" w:hAnsi="Arial" w:cs="Arial"/>
        </w:rPr>
        <w:t xml:space="preserve"> </w:t>
      </w:r>
      <w:r w:rsidRPr="00CE3556">
        <w:rPr>
          <w:rFonts w:ascii="Arial" w:hAnsi="Arial" w:cs="Arial"/>
        </w:rPr>
        <w:t>-</w:t>
      </w:r>
      <w:r w:rsidR="00784016">
        <w:rPr>
          <w:rFonts w:ascii="Arial" w:hAnsi="Arial" w:cs="Arial"/>
        </w:rPr>
        <w:t xml:space="preserve"> h</w:t>
      </w:r>
      <w:r w:rsidRPr="00CE3556">
        <w:rPr>
          <w:rFonts w:ascii="Arial" w:hAnsi="Arial" w:cs="Arial"/>
        </w:rPr>
        <w:t>aziran döneminde sektördeki iş hacmi beklentisine ilişkin endeks, çeyrek baz</w:t>
      </w:r>
      <w:r w:rsidR="00784016">
        <w:rPr>
          <w:rFonts w:ascii="Arial" w:hAnsi="Arial" w:cs="Arial"/>
        </w:rPr>
        <w:t>da</w:t>
      </w:r>
      <w:r w:rsidRPr="00CE3556">
        <w:rPr>
          <w:rFonts w:ascii="Arial" w:hAnsi="Arial" w:cs="Arial"/>
        </w:rPr>
        <w:t xml:space="preserve"> yüzde 9’luk bir artışla 148,31 puana ulaştı. İkinci çeyrekte sektörün </w:t>
      </w:r>
      <w:r w:rsidR="00D27846">
        <w:rPr>
          <w:rFonts w:ascii="Arial" w:hAnsi="Arial" w:cs="Arial"/>
        </w:rPr>
        <w:t>kârlılığına</w:t>
      </w:r>
      <w:r w:rsidR="00D27846" w:rsidRPr="00CE3556">
        <w:rPr>
          <w:rFonts w:ascii="Arial" w:hAnsi="Arial" w:cs="Arial"/>
        </w:rPr>
        <w:t xml:space="preserve"> </w:t>
      </w:r>
      <w:r w:rsidRPr="00CE3556">
        <w:rPr>
          <w:rFonts w:ascii="Arial" w:hAnsi="Arial" w:cs="Arial"/>
        </w:rPr>
        <w:t>ilişkin endeks ise çeyrek baz</w:t>
      </w:r>
      <w:r w:rsidR="00784016">
        <w:rPr>
          <w:rFonts w:ascii="Arial" w:hAnsi="Arial" w:cs="Arial"/>
        </w:rPr>
        <w:t>da</w:t>
      </w:r>
      <w:r w:rsidRPr="00CE3556">
        <w:rPr>
          <w:rFonts w:ascii="Arial" w:hAnsi="Arial" w:cs="Arial"/>
        </w:rPr>
        <w:t xml:space="preserve"> yüzde 7’lik bir düşüşle 93,26 puana geriledi. Böylelikle k</w:t>
      </w:r>
      <w:r w:rsidR="00784016">
        <w:rPr>
          <w:rFonts w:ascii="Arial" w:hAnsi="Arial" w:cs="Arial"/>
        </w:rPr>
        <w:t>â</w:t>
      </w:r>
      <w:r w:rsidRPr="00CE3556">
        <w:rPr>
          <w:rFonts w:ascii="Arial" w:hAnsi="Arial" w:cs="Arial"/>
        </w:rPr>
        <w:t>rlılık beklentilerine ilişkin endeks, 2020 yılının son çeyreğinden bu yana ilk defa negatif bir görünüm sergilemiş oldu. Bu durum, yükselen yakıt maliyetlerin</w:t>
      </w:r>
      <w:r w:rsidR="00784016">
        <w:rPr>
          <w:rFonts w:ascii="Arial" w:hAnsi="Arial" w:cs="Arial"/>
        </w:rPr>
        <w:t xml:space="preserve">den kaynaklı görünüyor. </w:t>
      </w:r>
      <w:r w:rsidRPr="00CE3556">
        <w:rPr>
          <w:rFonts w:ascii="Arial" w:hAnsi="Arial" w:cs="Arial"/>
        </w:rPr>
        <w:t xml:space="preserve">Gelecek üç ayda sektörün insan kaynakları ihtiyacına ilişkin endeks </w:t>
      </w:r>
      <w:r w:rsidR="00784016">
        <w:rPr>
          <w:rFonts w:ascii="Arial" w:hAnsi="Arial" w:cs="Arial"/>
        </w:rPr>
        <w:t xml:space="preserve">ise </w:t>
      </w:r>
      <w:r w:rsidRPr="00CE3556">
        <w:rPr>
          <w:rFonts w:ascii="Arial" w:hAnsi="Arial" w:cs="Arial"/>
        </w:rPr>
        <w:t xml:space="preserve">yüzde 6,3’lük bir düşüş göstererek 141,57 puana geriledi. </w:t>
      </w:r>
    </w:p>
    <w:p w14:paraId="6D1B1D12" w14:textId="77777777" w:rsidR="00CE3556" w:rsidRPr="00CE3556" w:rsidRDefault="00CE3556" w:rsidP="00CE3556">
      <w:pPr>
        <w:spacing w:after="0" w:line="300" w:lineRule="auto"/>
        <w:contextualSpacing/>
        <w:jc w:val="both"/>
        <w:rPr>
          <w:rFonts w:ascii="Arial" w:hAnsi="Arial" w:cs="Arial"/>
        </w:rPr>
      </w:pPr>
    </w:p>
    <w:p w14:paraId="431BD390" w14:textId="7A7B998E" w:rsidR="00611E06" w:rsidRDefault="00611E06" w:rsidP="00611E06">
      <w:pPr>
        <w:spacing w:line="300" w:lineRule="auto"/>
        <w:jc w:val="both"/>
        <w:rPr>
          <w:rFonts w:ascii="Arial" w:hAnsi="Arial" w:cs="Arial"/>
        </w:rPr>
      </w:pPr>
      <w:r>
        <w:rPr>
          <w:rFonts w:ascii="Arial" w:hAnsi="Arial" w:cs="Arial"/>
        </w:rPr>
        <w:t xml:space="preserve">Sektördeki gelişmeleri değerlendiren </w:t>
      </w:r>
      <w:r>
        <w:rPr>
          <w:rFonts w:ascii="Arial" w:hAnsi="Arial" w:cs="Arial"/>
          <w:b/>
          <w:bCs/>
        </w:rPr>
        <w:t>KPMG Türkiye Taşımacılık Sektör Lideri Yavuz Öner</w:t>
      </w:r>
      <w:r>
        <w:rPr>
          <w:rFonts w:ascii="Arial" w:hAnsi="Arial" w:cs="Arial"/>
        </w:rPr>
        <w:t xml:space="preserve"> “Lojistik Güven Endeksi, 2021 yılının üçüncü çeyreğinde rekor kırarak 143 puana ulaştığından bu yana hafif bir düşüş trendi içerisinde bulunuyor. Buna karşın, görünüm hala pozitif. Ukrayna’daki savaş uluslararası ticareti ve özellikle denizyolu taşımacılığı rotalarını etkilemeye devam ediyor. Bölgeyle ticaretin yavaşlaması, limanlarda elleçlenen yükleri olumsuz etkiliyor. Bu duruma ek olarak, hava ve karayolu taşımacılığı da artan maliyetlerle karşı karşıya. Ukrayna geçişi kapandığı için Türk tırları Gürcistan üzerinden ilerlemeye yöneldi, bu durum da büyük tıkanıklıklara yol açtı. Birçok tır Gürcistan, Ermenistan ve Azerbaycan sı</w:t>
      </w:r>
      <w:r w:rsidR="00D27846">
        <w:rPr>
          <w:rFonts w:ascii="Arial" w:hAnsi="Arial" w:cs="Arial"/>
        </w:rPr>
        <w:t>nı</w:t>
      </w:r>
      <w:r>
        <w:rPr>
          <w:rFonts w:ascii="Arial" w:hAnsi="Arial" w:cs="Arial"/>
        </w:rPr>
        <w:t xml:space="preserve">rında kaldı. Ancak, Avrupa’nın Rusya üzerinden ticareti durdurmasının Türkiye açısından olumlu bir yanı olduğunu da söylemek mümkün. Türkiye’nin ‘Bir Kuşak Bir Yol’ projesine sunduğu en önemli </w:t>
      </w:r>
      <w:r>
        <w:rPr>
          <w:rFonts w:ascii="Arial" w:hAnsi="Arial" w:cs="Arial"/>
        </w:rPr>
        <w:lastRenderedPageBreak/>
        <w:t xml:space="preserve">girişim olan Orta </w:t>
      </w:r>
      <w:proofErr w:type="spellStart"/>
      <w:r>
        <w:rPr>
          <w:rFonts w:ascii="Arial" w:hAnsi="Arial" w:cs="Arial"/>
        </w:rPr>
        <w:t>Koridor’daki</w:t>
      </w:r>
      <w:proofErr w:type="spellEnd"/>
      <w:r>
        <w:rPr>
          <w:rFonts w:ascii="Arial" w:hAnsi="Arial" w:cs="Arial"/>
        </w:rPr>
        <w:t xml:space="preserve"> demiryolunun stratejik önemi vurgulanmış oldu. Bu noktada, Orta </w:t>
      </w:r>
      <w:proofErr w:type="spellStart"/>
      <w:r>
        <w:rPr>
          <w:rFonts w:ascii="Arial" w:hAnsi="Arial" w:cs="Arial"/>
        </w:rPr>
        <w:t>Koridor’a</w:t>
      </w:r>
      <w:proofErr w:type="spellEnd"/>
      <w:r>
        <w:rPr>
          <w:rFonts w:ascii="Arial" w:hAnsi="Arial" w:cs="Arial"/>
        </w:rPr>
        <w:t xml:space="preserve"> yönelik gerekli altyapısal önlemlerin alınması kritik önemde. Diğer yandan, Türkiye’nin imalat satın alma yöneticileri endeksi (PMI), son 10 yılın en düşük seviyesine geriledi. Savaş ve fiyat artışları tüketicilerden gelen talebi olumsuz yönde etkilemiş oldu. Bu durum ise önümüzdeki dönemde sektör üzerinde aşağı yönlü bir baskı kurabilir.” dedi. </w:t>
      </w:r>
    </w:p>
    <w:p w14:paraId="0F8499A2" w14:textId="77777777" w:rsidR="00066976" w:rsidRDefault="00066976" w:rsidP="00CE3556">
      <w:pPr>
        <w:spacing w:after="0" w:line="300" w:lineRule="auto"/>
        <w:contextualSpacing/>
        <w:jc w:val="both"/>
        <w:rPr>
          <w:rFonts w:ascii="Arial" w:hAnsi="Arial" w:cs="Arial"/>
        </w:rPr>
      </w:pPr>
    </w:p>
    <w:tbl>
      <w:tblPr>
        <w:tblStyle w:val="TabloKlavuzu"/>
        <w:tblW w:w="9157" w:type="dxa"/>
        <w:tblLook w:val="04A0" w:firstRow="1" w:lastRow="0" w:firstColumn="1" w:lastColumn="0" w:noHBand="0" w:noVBand="1"/>
      </w:tblPr>
      <w:tblGrid>
        <w:gridCol w:w="1177"/>
        <w:gridCol w:w="2609"/>
        <w:gridCol w:w="2563"/>
        <w:gridCol w:w="2808"/>
      </w:tblGrid>
      <w:tr w:rsidR="00066976" w:rsidRPr="009A479B" w14:paraId="6FC1829F" w14:textId="77777777" w:rsidTr="00066976">
        <w:trPr>
          <w:trHeight w:val="296"/>
        </w:trPr>
        <w:tc>
          <w:tcPr>
            <w:tcW w:w="1177" w:type="dxa"/>
            <w:noWrap/>
            <w:hideMark/>
          </w:tcPr>
          <w:p w14:paraId="2E2255DF" w14:textId="7A9A5C75" w:rsidR="009A479B" w:rsidRPr="00066976" w:rsidRDefault="009A479B" w:rsidP="009A479B">
            <w:pPr>
              <w:rPr>
                <w:rFonts w:ascii="Times New Roman" w:eastAsia="Times New Roman" w:hAnsi="Times New Roman" w:cs="Times New Roman"/>
                <w:b/>
                <w:bCs/>
                <w:sz w:val="24"/>
                <w:szCs w:val="24"/>
                <w:lang w:eastAsia="tr-TR"/>
              </w:rPr>
            </w:pPr>
            <w:r w:rsidRPr="00066976">
              <w:rPr>
                <w:rFonts w:ascii="Calibri" w:eastAsia="Times New Roman" w:hAnsi="Calibri" w:cs="Calibri"/>
                <w:b/>
                <w:bCs/>
                <w:color w:val="000000"/>
                <w:lang w:eastAsia="tr-TR"/>
              </w:rPr>
              <w:t>Yıl</w:t>
            </w:r>
          </w:p>
        </w:tc>
        <w:tc>
          <w:tcPr>
            <w:tcW w:w="2609" w:type="dxa"/>
            <w:noWrap/>
            <w:hideMark/>
          </w:tcPr>
          <w:p w14:paraId="76452447" w14:textId="77777777" w:rsidR="009A479B" w:rsidRPr="00066976" w:rsidRDefault="009A479B" w:rsidP="009A479B">
            <w:pPr>
              <w:rPr>
                <w:rFonts w:ascii="Calibri" w:eastAsia="Times New Roman" w:hAnsi="Calibri" w:cs="Calibri"/>
                <w:b/>
                <w:bCs/>
                <w:color w:val="000000"/>
                <w:lang w:eastAsia="tr-TR"/>
              </w:rPr>
            </w:pPr>
            <w:r w:rsidRPr="00066976">
              <w:rPr>
                <w:rFonts w:ascii="Calibri" w:eastAsia="Times New Roman" w:hAnsi="Calibri" w:cs="Calibri"/>
                <w:b/>
                <w:bCs/>
                <w:color w:val="000000"/>
                <w:lang w:eastAsia="tr-TR"/>
              </w:rPr>
              <w:t>Lojistik Güven Endeksi</w:t>
            </w:r>
          </w:p>
        </w:tc>
        <w:tc>
          <w:tcPr>
            <w:tcW w:w="2563" w:type="dxa"/>
            <w:noWrap/>
            <w:hideMark/>
          </w:tcPr>
          <w:p w14:paraId="558D9C15" w14:textId="77777777" w:rsidR="009A479B" w:rsidRPr="00066976" w:rsidRDefault="009A479B" w:rsidP="009A479B">
            <w:pPr>
              <w:rPr>
                <w:rFonts w:ascii="Calibri" w:eastAsia="Times New Roman" w:hAnsi="Calibri" w:cs="Calibri"/>
                <w:b/>
                <w:bCs/>
                <w:color w:val="000000"/>
                <w:lang w:eastAsia="tr-TR"/>
              </w:rPr>
            </w:pPr>
            <w:r w:rsidRPr="00066976">
              <w:rPr>
                <w:rFonts w:ascii="Calibri" w:eastAsia="Times New Roman" w:hAnsi="Calibri" w:cs="Calibri"/>
                <w:b/>
                <w:bCs/>
                <w:color w:val="000000"/>
                <w:lang w:eastAsia="tr-TR"/>
              </w:rPr>
              <w:t>Beklenti Endeksi</w:t>
            </w:r>
          </w:p>
        </w:tc>
        <w:tc>
          <w:tcPr>
            <w:tcW w:w="2808" w:type="dxa"/>
            <w:noWrap/>
            <w:hideMark/>
          </w:tcPr>
          <w:p w14:paraId="34A9C399" w14:textId="30AC2423" w:rsidR="009A479B" w:rsidRPr="00066976" w:rsidRDefault="009A479B" w:rsidP="009A479B">
            <w:pPr>
              <w:rPr>
                <w:rFonts w:ascii="Calibri" w:eastAsia="Times New Roman" w:hAnsi="Calibri" w:cs="Calibri"/>
                <w:b/>
                <w:bCs/>
                <w:color w:val="000000"/>
                <w:lang w:eastAsia="tr-TR"/>
              </w:rPr>
            </w:pPr>
            <w:r w:rsidRPr="00066976">
              <w:rPr>
                <w:rFonts w:ascii="Calibri" w:eastAsia="Times New Roman" w:hAnsi="Calibri" w:cs="Calibri"/>
                <w:b/>
                <w:bCs/>
                <w:color w:val="000000"/>
                <w:lang w:eastAsia="tr-TR"/>
              </w:rPr>
              <w:t>Mevcut Durum Endeksi</w:t>
            </w:r>
          </w:p>
        </w:tc>
      </w:tr>
      <w:tr w:rsidR="00066976" w:rsidRPr="009A479B" w14:paraId="7590BE71" w14:textId="77777777" w:rsidTr="00066976">
        <w:trPr>
          <w:trHeight w:val="296"/>
        </w:trPr>
        <w:tc>
          <w:tcPr>
            <w:tcW w:w="1177" w:type="dxa"/>
            <w:noWrap/>
            <w:hideMark/>
          </w:tcPr>
          <w:p w14:paraId="0250DB6B" w14:textId="463B9884"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4</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2019</w:t>
            </w:r>
          </w:p>
        </w:tc>
        <w:tc>
          <w:tcPr>
            <w:tcW w:w="2609" w:type="dxa"/>
            <w:noWrap/>
            <w:hideMark/>
          </w:tcPr>
          <w:p w14:paraId="72FE4E1E"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95,9</w:t>
            </w:r>
          </w:p>
        </w:tc>
        <w:tc>
          <w:tcPr>
            <w:tcW w:w="2563" w:type="dxa"/>
            <w:noWrap/>
            <w:hideMark/>
          </w:tcPr>
          <w:p w14:paraId="2107C239"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101,0</w:t>
            </w:r>
          </w:p>
        </w:tc>
        <w:tc>
          <w:tcPr>
            <w:tcW w:w="2808" w:type="dxa"/>
            <w:noWrap/>
            <w:hideMark/>
          </w:tcPr>
          <w:p w14:paraId="41B2CFB6"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89,56</w:t>
            </w:r>
          </w:p>
        </w:tc>
      </w:tr>
      <w:tr w:rsidR="00066976" w:rsidRPr="009A479B" w14:paraId="3362CD3D" w14:textId="77777777" w:rsidTr="00066976">
        <w:trPr>
          <w:trHeight w:val="296"/>
        </w:trPr>
        <w:tc>
          <w:tcPr>
            <w:tcW w:w="1177" w:type="dxa"/>
            <w:noWrap/>
            <w:hideMark/>
          </w:tcPr>
          <w:p w14:paraId="4CE6EC30" w14:textId="5D6E2E9A"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2020</w:t>
            </w:r>
          </w:p>
        </w:tc>
        <w:tc>
          <w:tcPr>
            <w:tcW w:w="2609" w:type="dxa"/>
            <w:noWrap/>
            <w:hideMark/>
          </w:tcPr>
          <w:p w14:paraId="51FFC015"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84,1</w:t>
            </w:r>
          </w:p>
        </w:tc>
        <w:tc>
          <w:tcPr>
            <w:tcW w:w="2563" w:type="dxa"/>
            <w:noWrap/>
            <w:hideMark/>
          </w:tcPr>
          <w:p w14:paraId="5B78CCE1"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87,8</w:t>
            </w:r>
          </w:p>
        </w:tc>
        <w:tc>
          <w:tcPr>
            <w:tcW w:w="2808" w:type="dxa"/>
            <w:noWrap/>
            <w:hideMark/>
          </w:tcPr>
          <w:p w14:paraId="4458B91E"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76,6</w:t>
            </w:r>
          </w:p>
        </w:tc>
      </w:tr>
      <w:tr w:rsidR="00066976" w:rsidRPr="009A479B" w14:paraId="1A2DC577" w14:textId="77777777" w:rsidTr="00066976">
        <w:trPr>
          <w:trHeight w:val="296"/>
        </w:trPr>
        <w:tc>
          <w:tcPr>
            <w:tcW w:w="1177" w:type="dxa"/>
            <w:noWrap/>
            <w:hideMark/>
          </w:tcPr>
          <w:p w14:paraId="70687EB7" w14:textId="499EC311"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2</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2020</w:t>
            </w:r>
          </w:p>
        </w:tc>
        <w:tc>
          <w:tcPr>
            <w:tcW w:w="2609" w:type="dxa"/>
            <w:noWrap/>
            <w:hideMark/>
          </w:tcPr>
          <w:p w14:paraId="73D21F59"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84,3</w:t>
            </w:r>
          </w:p>
        </w:tc>
        <w:tc>
          <w:tcPr>
            <w:tcW w:w="2563" w:type="dxa"/>
            <w:noWrap/>
            <w:hideMark/>
          </w:tcPr>
          <w:p w14:paraId="5F0996AF"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108,3</w:t>
            </w:r>
          </w:p>
        </w:tc>
        <w:tc>
          <w:tcPr>
            <w:tcW w:w="2808" w:type="dxa"/>
            <w:noWrap/>
            <w:hideMark/>
          </w:tcPr>
          <w:p w14:paraId="0DE6B36F"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36,23</w:t>
            </w:r>
          </w:p>
        </w:tc>
      </w:tr>
      <w:tr w:rsidR="00066976" w:rsidRPr="009A479B" w14:paraId="4F57304D" w14:textId="77777777" w:rsidTr="00066976">
        <w:trPr>
          <w:trHeight w:val="296"/>
        </w:trPr>
        <w:tc>
          <w:tcPr>
            <w:tcW w:w="1177" w:type="dxa"/>
            <w:noWrap/>
            <w:hideMark/>
          </w:tcPr>
          <w:p w14:paraId="68FD1EB9" w14:textId="70911B0D"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3</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2020</w:t>
            </w:r>
          </w:p>
        </w:tc>
        <w:tc>
          <w:tcPr>
            <w:tcW w:w="2609" w:type="dxa"/>
            <w:noWrap/>
            <w:hideMark/>
          </w:tcPr>
          <w:p w14:paraId="51909DC3"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109,6</w:t>
            </w:r>
          </w:p>
        </w:tc>
        <w:tc>
          <w:tcPr>
            <w:tcW w:w="2563" w:type="dxa"/>
            <w:noWrap/>
            <w:hideMark/>
          </w:tcPr>
          <w:p w14:paraId="340113AA"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111,7</w:t>
            </w:r>
          </w:p>
        </w:tc>
        <w:tc>
          <w:tcPr>
            <w:tcW w:w="2808" w:type="dxa"/>
            <w:noWrap/>
            <w:hideMark/>
          </w:tcPr>
          <w:p w14:paraId="285C21B9"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105,21</w:t>
            </w:r>
          </w:p>
        </w:tc>
      </w:tr>
      <w:tr w:rsidR="00066976" w:rsidRPr="009A479B" w14:paraId="3799F4AD" w14:textId="77777777" w:rsidTr="00066976">
        <w:trPr>
          <w:trHeight w:val="296"/>
        </w:trPr>
        <w:tc>
          <w:tcPr>
            <w:tcW w:w="1177" w:type="dxa"/>
            <w:noWrap/>
            <w:hideMark/>
          </w:tcPr>
          <w:p w14:paraId="5EE4E558" w14:textId="0BE36EF2"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4</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2020</w:t>
            </w:r>
          </w:p>
        </w:tc>
        <w:tc>
          <w:tcPr>
            <w:tcW w:w="2609" w:type="dxa"/>
            <w:noWrap/>
            <w:hideMark/>
          </w:tcPr>
          <w:p w14:paraId="0E3F45FA"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110,4</w:t>
            </w:r>
          </w:p>
        </w:tc>
        <w:tc>
          <w:tcPr>
            <w:tcW w:w="2563" w:type="dxa"/>
            <w:noWrap/>
            <w:hideMark/>
          </w:tcPr>
          <w:p w14:paraId="2C6C359A"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111,8</w:t>
            </w:r>
          </w:p>
        </w:tc>
        <w:tc>
          <w:tcPr>
            <w:tcW w:w="2808" w:type="dxa"/>
            <w:noWrap/>
            <w:hideMark/>
          </w:tcPr>
          <w:p w14:paraId="4E512E1C"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107,54</w:t>
            </w:r>
          </w:p>
        </w:tc>
      </w:tr>
      <w:tr w:rsidR="00066976" w:rsidRPr="009A479B" w14:paraId="6E2FB4BA" w14:textId="77777777" w:rsidTr="00066976">
        <w:trPr>
          <w:trHeight w:val="296"/>
        </w:trPr>
        <w:tc>
          <w:tcPr>
            <w:tcW w:w="1177" w:type="dxa"/>
            <w:noWrap/>
            <w:hideMark/>
          </w:tcPr>
          <w:p w14:paraId="284C5BB4" w14:textId="292AAF72"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2021</w:t>
            </w:r>
          </w:p>
        </w:tc>
        <w:tc>
          <w:tcPr>
            <w:tcW w:w="2609" w:type="dxa"/>
            <w:noWrap/>
            <w:hideMark/>
          </w:tcPr>
          <w:p w14:paraId="1466CD7A"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124,7</w:t>
            </w:r>
          </w:p>
        </w:tc>
        <w:tc>
          <w:tcPr>
            <w:tcW w:w="2563" w:type="dxa"/>
            <w:noWrap/>
            <w:hideMark/>
          </w:tcPr>
          <w:p w14:paraId="46E586EE"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129,1</w:t>
            </w:r>
          </w:p>
        </w:tc>
        <w:tc>
          <w:tcPr>
            <w:tcW w:w="2808" w:type="dxa"/>
            <w:noWrap/>
            <w:hideMark/>
          </w:tcPr>
          <w:p w14:paraId="6E76287B"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116,06</w:t>
            </w:r>
          </w:p>
        </w:tc>
      </w:tr>
      <w:tr w:rsidR="00066976" w:rsidRPr="009A479B" w14:paraId="0163363B" w14:textId="77777777" w:rsidTr="00066976">
        <w:trPr>
          <w:trHeight w:val="296"/>
        </w:trPr>
        <w:tc>
          <w:tcPr>
            <w:tcW w:w="1177" w:type="dxa"/>
            <w:noWrap/>
            <w:hideMark/>
          </w:tcPr>
          <w:p w14:paraId="3735346A" w14:textId="07AFC336"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2</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2021</w:t>
            </w:r>
          </w:p>
        </w:tc>
        <w:tc>
          <w:tcPr>
            <w:tcW w:w="2609" w:type="dxa"/>
            <w:noWrap/>
            <w:hideMark/>
          </w:tcPr>
          <w:p w14:paraId="0F288F44"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136,4</w:t>
            </w:r>
          </w:p>
        </w:tc>
        <w:tc>
          <w:tcPr>
            <w:tcW w:w="2563" w:type="dxa"/>
            <w:noWrap/>
            <w:hideMark/>
          </w:tcPr>
          <w:p w14:paraId="220CE57E"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136,5</w:t>
            </w:r>
          </w:p>
        </w:tc>
        <w:tc>
          <w:tcPr>
            <w:tcW w:w="2808" w:type="dxa"/>
            <w:noWrap/>
            <w:hideMark/>
          </w:tcPr>
          <w:p w14:paraId="63CCD8AE"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136,15</w:t>
            </w:r>
          </w:p>
        </w:tc>
      </w:tr>
      <w:tr w:rsidR="00066976" w:rsidRPr="009A479B" w14:paraId="073A33F8" w14:textId="77777777" w:rsidTr="00066976">
        <w:trPr>
          <w:trHeight w:val="296"/>
        </w:trPr>
        <w:tc>
          <w:tcPr>
            <w:tcW w:w="1177" w:type="dxa"/>
            <w:noWrap/>
            <w:hideMark/>
          </w:tcPr>
          <w:p w14:paraId="56242CBB" w14:textId="674217B5"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3</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2021</w:t>
            </w:r>
          </w:p>
        </w:tc>
        <w:tc>
          <w:tcPr>
            <w:tcW w:w="2609" w:type="dxa"/>
            <w:noWrap/>
            <w:hideMark/>
          </w:tcPr>
          <w:p w14:paraId="44D4DDB9"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143,2</w:t>
            </w:r>
          </w:p>
        </w:tc>
        <w:tc>
          <w:tcPr>
            <w:tcW w:w="2563" w:type="dxa"/>
            <w:noWrap/>
            <w:hideMark/>
          </w:tcPr>
          <w:p w14:paraId="354AD4B4"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141,3</w:t>
            </w:r>
          </w:p>
        </w:tc>
        <w:tc>
          <w:tcPr>
            <w:tcW w:w="2808" w:type="dxa"/>
            <w:noWrap/>
            <w:hideMark/>
          </w:tcPr>
          <w:p w14:paraId="12CED6B5"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147,03</w:t>
            </w:r>
          </w:p>
        </w:tc>
      </w:tr>
      <w:tr w:rsidR="00066976" w:rsidRPr="009A479B" w14:paraId="15B85FB0" w14:textId="77777777" w:rsidTr="00066976">
        <w:trPr>
          <w:trHeight w:val="296"/>
        </w:trPr>
        <w:tc>
          <w:tcPr>
            <w:tcW w:w="1177" w:type="dxa"/>
            <w:noWrap/>
            <w:hideMark/>
          </w:tcPr>
          <w:p w14:paraId="5EE85655" w14:textId="55CE675C"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4</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2021</w:t>
            </w:r>
          </w:p>
        </w:tc>
        <w:tc>
          <w:tcPr>
            <w:tcW w:w="2609" w:type="dxa"/>
            <w:noWrap/>
            <w:hideMark/>
          </w:tcPr>
          <w:p w14:paraId="1244DF49"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128,3</w:t>
            </w:r>
          </w:p>
        </w:tc>
        <w:tc>
          <w:tcPr>
            <w:tcW w:w="2563" w:type="dxa"/>
            <w:noWrap/>
            <w:hideMark/>
          </w:tcPr>
          <w:p w14:paraId="7736B647"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124,1</w:t>
            </w:r>
          </w:p>
        </w:tc>
        <w:tc>
          <w:tcPr>
            <w:tcW w:w="2808" w:type="dxa"/>
            <w:noWrap/>
            <w:hideMark/>
          </w:tcPr>
          <w:p w14:paraId="08FBBBEE"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136,55</w:t>
            </w:r>
          </w:p>
        </w:tc>
      </w:tr>
      <w:tr w:rsidR="00066976" w:rsidRPr="009A479B" w14:paraId="33709205" w14:textId="77777777" w:rsidTr="00066976">
        <w:trPr>
          <w:trHeight w:val="296"/>
        </w:trPr>
        <w:tc>
          <w:tcPr>
            <w:tcW w:w="1177" w:type="dxa"/>
            <w:noWrap/>
            <w:hideMark/>
          </w:tcPr>
          <w:p w14:paraId="5D3BB0F0" w14:textId="5A7A490E"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w:t>
            </w:r>
            <w:r>
              <w:rPr>
                <w:rFonts w:ascii="Calibri" w:eastAsia="Times New Roman" w:hAnsi="Calibri" w:cs="Calibri"/>
                <w:color w:val="000000"/>
                <w:lang w:eastAsia="tr-TR"/>
              </w:rPr>
              <w:t>Ç</w:t>
            </w:r>
            <w:r w:rsidRPr="009A479B">
              <w:rPr>
                <w:rFonts w:ascii="Calibri" w:eastAsia="Times New Roman" w:hAnsi="Calibri" w:cs="Calibri"/>
                <w:color w:val="000000"/>
                <w:lang w:eastAsia="tr-TR"/>
              </w:rPr>
              <w:t xml:space="preserve"> 2022</w:t>
            </w:r>
          </w:p>
        </w:tc>
        <w:tc>
          <w:tcPr>
            <w:tcW w:w="2609" w:type="dxa"/>
            <w:noWrap/>
            <w:hideMark/>
          </w:tcPr>
          <w:p w14:paraId="55FFC466"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125,5</w:t>
            </w:r>
          </w:p>
        </w:tc>
        <w:tc>
          <w:tcPr>
            <w:tcW w:w="2563" w:type="dxa"/>
            <w:noWrap/>
            <w:hideMark/>
          </w:tcPr>
          <w:p w14:paraId="501E5565"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122,9</w:t>
            </w:r>
          </w:p>
        </w:tc>
        <w:tc>
          <w:tcPr>
            <w:tcW w:w="2808" w:type="dxa"/>
            <w:noWrap/>
            <w:hideMark/>
          </w:tcPr>
          <w:p w14:paraId="36BEE373" w14:textId="77777777" w:rsidR="00066976" w:rsidRPr="009A479B" w:rsidRDefault="00066976" w:rsidP="009A479B">
            <w:pPr>
              <w:rPr>
                <w:rFonts w:ascii="Calibri" w:eastAsia="Times New Roman" w:hAnsi="Calibri" w:cs="Calibri"/>
                <w:color w:val="000000"/>
                <w:lang w:eastAsia="tr-TR"/>
              </w:rPr>
            </w:pPr>
            <w:r w:rsidRPr="009A479B">
              <w:rPr>
                <w:rFonts w:ascii="Calibri" w:eastAsia="Times New Roman" w:hAnsi="Calibri" w:cs="Calibri"/>
                <w:color w:val="000000"/>
                <w:lang w:eastAsia="tr-TR"/>
              </w:rPr>
              <w:t>130,71</w:t>
            </w:r>
          </w:p>
        </w:tc>
      </w:tr>
    </w:tbl>
    <w:p w14:paraId="5FCE7FDB" w14:textId="77777777" w:rsidR="009A479B" w:rsidRDefault="009A479B" w:rsidP="00CE3556">
      <w:pPr>
        <w:spacing w:after="0" w:line="300" w:lineRule="auto"/>
        <w:contextualSpacing/>
        <w:jc w:val="both"/>
        <w:rPr>
          <w:rFonts w:ascii="Arial" w:hAnsi="Arial" w:cs="Arial"/>
        </w:rPr>
      </w:pPr>
    </w:p>
    <w:p w14:paraId="65004C36" w14:textId="577893F9" w:rsidR="0028718E" w:rsidRDefault="0028718E" w:rsidP="00DB4AB8">
      <w:pPr>
        <w:spacing w:after="0" w:line="300" w:lineRule="auto"/>
        <w:contextualSpacing/>
        <w:jc w:val="both"/>
        <w:rPr>
          <w:rFonts w:ascii="Arial" w:hAnsi="Arial" w:cs="Arial"/>
        </w:rPr>
      </w:pPr>
    </w:p>
    <w:p w14:paraId="1C8447B9" w14:textId="77777777" w:rsidR="00CE3556" w:rsidRPr="00997F8E" w:rsidRDefault="00CE3556" w:rsidP="00CE3556">
      <w:pPr>
        <w:spacing w:after="0" w:line="240" w:lineRule="auto"/>
        <w:contextualSpacing/>
        <w:jc w:val="both"/>
        <w:rPr>
          <w:b/>
          <w:bCs/>
          <w:sz w:val="16"/>
          <w:szCs w:val="16"/>
          <w:u w:val="single"/>
        </w:rPr>
      </w:pPr>
      <w:r w:rsidRPr="00997F8E">
        <w:rPr>
          <w:b/>
          <w:sz w:val="16"/>
          <w:szCs w:val="16"/>
          <w:u w:val="single"/>
        </w:rPr>
        <w:t>KPMG Hakkında</w:t>
      </w:r>
    </w:p>
    <w:p w14:paraId="19C04AF1" w14:textId="77777777" w:rsidR="00CE3556" w:rsidRPr="00997F8E" w:rsidRDefault="00CE3556" w:rsidP="00CE3556">
      <w:pPr>
        <w:spacing w:after="0" w:line="240" w:lineRule="auto"/>
        <w:contextualSpacing/>
        <w:jc w:val="both"/>
        <w:rPr>
          <w:color w:val="000000"/>
          <w:sz w:val="24"/>
          <w:szCs w:val="24"/>
        </w:rPr>
      </w:pPr>
      <w:r w:rsidRPr="00997F8E">
        <w:rPr>
          <w:color w:val="000000"/>
          <w:sz w:val="18"/>
          <w:szCs w:val="18"/>
        </w:rPr>
        <w:t>Denetim, vergi ve danışmanlık alanında teknoloji temelli hizmetler sunan KPMG, geçmişi 1867 yılına dayanan, üye firmalar ağı sistemiyle 145 ülkede 236 binin üzerinde çalışanıyla faaliyet gösteriyor. Finansal hizmetler, tüketici ürünleri, otomotiv; endüstriyel sektörlerden gıda, perakende, enerji, telekomünikasyon, kimya gibi pek çok sektöre danışmanlık hizmeti sağlıyor. KPMG Türkiye ise İstanbul merkez ofisinin yanı sıra Ankara, İzmir ve Bursa ofisleriyle, 1982 yılından beri 1.850 çalışanıyla her sektörden 4 binin üzerinde firmaya sektörler özelinde hizmet veriyor. 2020 yılında küresel ağın Lighthouse lisansını alarak yeni teknolojilerde dünyadaki mükemmeliyet merkezleri arasına giren KPMG Türkiye, müşterilerine değer yaratan çözümler sunuyor. Detaylı bilgi için</w:t>
      </w:r>
      <w:r w:rsidRPr="00997F8E">
        <w:rPr>
          <w:rStyle w:val="apple-converted-space"/>
          <w:color w:val="000000"/>
          <w:sz w:val="18"/>
          <w:szCs w:val="18"/>
        </w:rPr>
        <w:t> </w:t>
      </w:r>
      <w:hyperlink r:id="rId11" w:tooltip="http://www.kpmg.com.tr/" w:history="1">
        <w:r w:rsidRPr="00997F8E">
          <w:rPr>
            <w:rStyle w:val="Kpr"/>
            <w:color w:val="954F72"/>
            <w:sz w:val="18"/>
            <w:szCs w:val="18"/>
          </w:rPr>
          <w:t>www.kpmg.com.tr</w:t>
        </w:r>
      </w:hyperlink>
      <w:r w:rsidRPr="00997F8E">
        <w:rPr>
          <w:rStyle w:val="apple-converted-space"/>
          <w:color w:val="000000"/>
          <w:sz w:val="18"/>
          <w:szCs w:val="18"/>
        </w:rPr>
        <w:t> </w:t>
      </w:r>
      <w:r w:rsidRPr="00997F8E">
        <w:rPr>
          <w:color w:val="000000"/>
          <w:sz w:val="18"/>
          <w:szCs w:val="18"/>
        </w:rPr>
        <w:t>adresine başvurabilirsiniz.</w:t>
      </w:r>
    </w:p>
    <w:p w14:paraId="0107C503" w14:textId="77777777" w:rsidR="00CE3556" w:rsidRPr="00997F8E" w:rsidRDefault="00CE3556" w:rsidP="00CE3556">
      <w:pPr>
        <w:pBdr>
          <w:top w:val="nil"/>
          <w:left w:val="nil"/>
          <w:bottom w:val="nil"/>
          <w:right w:val="nil"/>
          <w:between w:val="nil"/>
        </w:pBdr>
        <w:spacing w:after="0" w:line="240" w:lineRule="auto"/>
        <w:contextualSpacing/>
        <w:jc w:val="both"/>
        <w:rPr>
          <w:sz w:val="18"/>
          <w:szCs w:val="18"/>
        </w:rPr>
      </w:pPr>
    </w:p>
    <w:p w14:paraId="221DC62E" w14:textId="77777777" w:rsidR="00CE3556" w:rsidRPr="00997F8E" w:rsidRDefault="00CE3556" w:rsidP="00CE3556">
      <w:pPr>
        <w:pBdr>
          <w:top w:val="nil"/>
          <w:left w:val="nil"/>
          <w:bottom w:val="nil"/>
          <w:right w:val="nil"/>
          <w:between w:val="nil"/>
        </w:pBdr>
        <w:spacing w:after="0" w:line="240" w:lineRule="auto"/>
        <w:contextualSpacing/>
        <w:jc w:val="both"/>
        <w:rPr>
          <w:rFonts w:ascii="Tahoma" w:eastAsia="Tahoma" w:hAnsi="Tahoma" w:cs="Tahoma"/>
          <w:b/>
          <w:sz w:val="18"/>
          <w:szCs w:val="18"/>
        </w:rPr>
      </w:pPr>
      <w:r w:rsidRPr="00997F8E">
        <w:rPr>
          <w:rFonts w:ascii="Tahoma" w:eastAsia="Tahoma" w:hAnsi="Tahoma" w:cs="Tahoma"/>
          <w:b/>
          <w:sz w:val="18"/>
          <w:szCs w:val="18"/>
        </w:rPr>
        <w:t xml:space="preserve">Bilgi için: </w:t>
      </w:r>
      <w:r w:rsidRPr="00997F8E">
        <w:rPr>
          <w:rFonts w:ascii="Tahoma" w:eastAsia="Tahoma" w:hAnsi="Tahoma" w:cs="Tahoma"/>
          <w:b/>
          <w:sz w:val="18"/>
          <w:szCs w:val="18"/>
        </w:rPr>
        <w:tab/>
      </w:r>
    </w:p>
    <w:p w14:paraId="6B488E21" w14:textId="77777777" w:rsidR="00CE3556" w:rsidRPr="00997F8E" w:rsidRDefault="00CE3556" w:rsidP="00CE3556">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997F8E">
        <w:rPr>
          <w:rFonts w:ascii="Tahoma" w:eastAsia="Tahoma" w:hAnsi="Tahoma" w:cs="Tahoma"/>
          <w:color w:val="000000" w:themeColor="text1"/>
          <w:sz w:val="18"/>
          <w:szCs w:val="18"/>
        </w:rPr>
        <w:t>Ceren Moral Aru</w:t>
      </w:r>
    </w:p>
    <w:p w14:paraId="59816EE7" w14:textId="77777777" w:rsidR="00CE3556" w:rsidRPr="00997F8E" w:rsidRDefault="00CE3556" w:rsidP="00CE3556">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997F8E">
        <w:rPr>
          <w:rFonts w:ascii="Tahoma" w:eastAsia="Tahoma" w:hAnsi="Tahoma" w:cs="Tahoma"/>
          <w:color w:val="000000" w:themeColor="text1"/>
          <w:sz w:val="18"/>
          <w:szCs w:val="18"/>
        </w:rPr>
        <w:t>0533 921 43 53</w:t>
      </w:r>
    </w:p>
    <w:p w14:paraId="55886D28" w14:textId="77777777" w:rsidR="00CE3556" w:rsidRPr="00997F8E" w:rsidRDefault="00CE3556" w:rsidP="00CE3556">
      <w:pPr>
        <w:pBdr>
          <w:top w:val="nil"/>
          <w:left w:val="nil"/>
          <w:bottom w:val="nil"/>
          <w:right w:val="nil"/>
          <w:between w:val="nil"/>
        </w:pBdr>
        <w:spacing w:after="0" w:line="240" w:lineRule="auto"/>
        <w:contextualSpacing/>
        <w:jc w:val="both"/>
        <w:rPr>
          <w:rFonts w:ascii="Tahoma" w:eastAsia="Tahoma" w:hAnsi="Tahoma" w:cs="Tahoma"/>
          <w:bCs/>
          <w:color w:val="000000" w:themeColor="text1"/>
          <w:sz w:val="18"/>
          <w:szCs w:val="18"/>
        </w:rPr>
      </w:pPr>
      <w:r w:rsidRPr="00997F8E">
        <w:rPr>
          <w:rFonts w:ascii="Tahoma" w:eastAsia="Tahoma" w:hAnsi="Tahoma" w:cs="Tahoma"/>
          <w:color w:val="000000" w:themeColor="text1"/>
          <w:sz w:val="18"/>
          <w:szCs w:val="18"/>
        </w:rPr>
        <w:t>cerenm@marjinal.com.tr</w:t>
      </w:r>
    </w:p>
    <w:p w14:paraId="3359F04C" w14:textId="77777777" w:rsidR="00D322B8" w:rsidRPr="00997F8E" w:rsidRDefault="00D322B8" w:rsidP="00FB099A">
      <w:pPr>
        <w:rPr>
          <w:rFonts w:ascii="Arial" w:hAnsi="Arial" w:cs="Arial"/>
        </w:rPr>
      </w:pPr>
    </w:p>
    <w:p w14:paraId="62516F6D" w14:textId="77777777" w:rsidR="00511A4F" w:rsidRPr="00997F8E" w:rsidRDefault="00511A4F" w:rsidP="00FB099A">
      <w:pPr>
        <w:rPr>
          <w:rFonts w:ascii="Arial" w:hAnsi="Arial" w:cs="Arial"/>
        </w:rPr>
      </w:pPr>
    </w:p>
    <w:p w14:paraId="2699C430" w14:textId="2F228AE0" w:rsidR="00AD1559" w:rsidRPr="00997F8E" w:rsidRDefault="00AD1559" w:rsidP="0097526A">
      <w:pPr>
        <w:pStyle w:val="chrome"/>
        <w:shd w:val="clear" w:color="auto" w:fill="FFFFFF"/>
        <w:spacing w:before="0" w:beforeAutospacing="0" w:after="0" w:afterAutospacing="0"/>
        <w:textAlignment w:val="baseline"/>
        <w:rPr>
          <w:rFonts w:ascii="Arial" w:hAnsi="Arial" w:cs="Arial"/>
          <w:color w:val="333333"/>
          <w:sz w:val="22"/>
          <w:szCs w:val="22"/>
        </w:rPr>
      </w:pPr>
    </w:p>
    <w:p w14:paraId="6C7DDD1E" w14:textId="3398AD21" w:rsidR="00376CAF" w:rsidRPr="00997F8E" w:rsidRDefault="00376CAF" w:rsidP="00FB099A">
      <w:pPr>
        <w:rPr>
          <w:rFonts w:ascii="Arial" w:eastAsia="Times New Roman" w:hAnsi="Arial" w:cs="Arial"/>
          <w:color w:val="000000"/>
        </w:rPr>
      </w:pPr>
    </w:p>
    <w:p w14:paraId="2AB1866D" w14:textId="1B96F09F" w:rsidR="00376CAF" w:rsidRPr="00997F8E" w:rsidRDefault="00376CAF" w:rsidP="00376CAF">
      <w:pPr>
        <w:rPr>
          <w:rFonts w:ascii="Arial" w:hAnsi="Arial" w:cs="Arial"/>
        </w:rPr>
      </w:pPr>
    </w:p>
    <w:sectPr w:rsidR="00376CAF" w:rsidRPr="00997F8E" w:rsidSect="00D322B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AF70" w14:textId="77777777" w:rsidR="00AE3F8E" w:rsidRDefault="00AE3F8E" w:rsidP="00D322B8">
      <w:pPr>
        <w:spacing w:after="0" w:line="240" w:lineRule="auto"/>
      </w:pPr>
      <w:r>
        <w:separator/>
      </w:r>
    </w:p>
  </w:endnote>
  <w:endnote w:type="continuationSeparator" w:id="0">
    <w:p w14:paraId="4065485F" w14:textId="77777777" w:rsidR="00AE3F8E" w:rsidRDefault="00AE3F8E" w:rsidP="00D322B8">
      <w:pPr>
        <w:spacing w:after="0" w:line="240" w:lineRule="auto"/>
      </w:pPr>
      <w:r>
        <w:continuationSeparator/>
      </w:r>
    </w:p>
  </w:endnote>
  <w:endnote w:type="continuationNotice" w:id="1">
    <w:p w14:paraId="088F211A" w14:textId="77777777" w:rsidR="00AE3F8E" w:rsidRDefault="00AE3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5FC1" w14:textId="77777777" w:rsidR="00425686" w:rsidRDefault="004256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E973" w14:textId="77777777" w:rsidR="00AE3F8E" w:rsidRDefault="00AE3F8E" w:rsidP="00D322B8">
      <w:pPr>
        <w:spacing w:after="0" w:line="240" w:lineRule="auto"/>
      </w:pPr>
      <w:r>
        <w:separator/>
      </w:r>
    </w:p>
  </w:footnote>
  <w:footnote w:type="continuationSeparator" w:id="0">
    <w:p w14:paraId="1CFAF95A" w14:textId="77777777" w:rsidR="00AE3F8E" w:rsidRDefault="00AE3F8E" w:rsidP="00D322B8">
      <w:pPr>
        <w:spacing w:after="0" w:line="240" w:lineRule="auto"/>
      </w:pPr>
      <w:r>
        <w:continuationSeparator/>
      </w:r>
    </w:p>
  </w:footnote>
  <w:footnote w:type="continuationNotice" w:id="1">
    <w:p w14:paraId="2AEC5FE3" w14:textId="77777777" w:rsidR="00AE3F8E" w:rsidRDefault="00AE3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A12" w14:textId="4EEF8F9A" w:rsidR="00D322B8" w:rsidRDefault="00D322B8">
    <w:pPr>
      <w:pStyle w:val="stBilgi"/>
    </w:pPr>
    <w:r w:rsidRPr="009A4977">
      <w:rPr>
        <w:rFonts w:ascii="Tahoma" w:hAnsi="Tahoma" w:cs="Tahoma"/>
        <w:noProof/>
        <w:lang w:eastAsia="tr-TR"/>
      </w:rPr>
      <w:drawing>
        <wp:anchor distT="0" distB="0" distL="114300" distR="114300" simplePos="0" relativeHeight="251659264" behindDoc="0" locked="0" layoutInCell="1" hidden="0" allowOverlap="1" wp14:anchorId="5764EE0C" wp14:editId="7D305421">
          <wp:simplePos x="0" y="0"/>
          <wp:positionH relativeFrom="column">
            <wp:posOffset>-158750</wp:posOffset>
          </wp:positionH>
          <wp:positionV relativeFrom="paragraph">
            <wp:posOffset>-248285</wp:posOffset>
          </wp:positionV>
          <wp:extent cx="1057275" cy="444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89" b="20467"/>
                  <a:stretch>
                    <a:fillRect/>
                  </a:stretch>
                </pic:blipFill>
                <pic:spPr>
                  <a:xfrm>
                    <a:off x="0" y="0"/>
                    <a:ext cx="1057275"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88A"/>
    <w:multiLevelType w:val="hybridMultilevel"/>
    <w:tmpl w:val="3B441F80"/>
    <w:lvl w:ilvl="0" w:tplc="36444AA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FB52FD"/>
    <w:multiLevelType w:val="hybridMultilevel"/>
    <w:tmpl w:val="F5F09F5A"/>
    <w:lvl w:ilvl="0" w:tplc="F0F442EE">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08422C"/>
    <w:multiLevelType w:val="hybridMultilevel"/>
    <w:tmpl w:val="42AC419E"/>
    <w:lvl w:ilvl="0" w:tplc="61846716">
      <w:start w:val="202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674BD1"/>
    <w:multiLevelType w:val="hybridMultilevel"/>
    <w:tmpl w:val="C1BA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959414">
    <w:abstractNumId w:val="0"/>
  </w:num>
  <w:num w:numId="2" w16cid:durableId="1614435683">
    <w:abstractNumId w:val="2"/>
  </w:num>
  <w:num w:numId="3" w16cid:durableId="1834223934">
    <w:abstractNumId w:val="1"/>
  </w:num>
  <w:num w:numId="4" w16cid:durableId="82801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9A"/>
    <w:rsid w:val="00000694"/>
    <w:rsid w:val="00000B59"/>
    <w:rsid w:val="00003A13"/>
    <w:rsid w:val="0002393F"/>
    <w:rsid w:val="00030E0C"/>
    <w:rsid w:val="00037DC0"/>
    <w:rsid w:val="0004713C"/>
    <w:rsid w:val="00057F69"/>
    <w:rsid w:val="00066976"/>
    <w:rsid w:val="000859AF"/>
    <w:rsid w:val="00086CCC"/>
    <w:rsid w:val="00087103"/>
    <w:rsid w:val="00095268"/>
    <w:rsid w:val="000B22C3"/>
    <w:rsid w:val="000C46F9"/>
    <w:rsid w:val="000C5AB6"/>
    <w:rsid w:val="000D38DD"/>
    <w:rsid w:val="001379EB"/>
    <w:rsid w:val="00156445"/>
    <w:rsid w:val="001878E6"/>
    <w:rsid w:val="00197D29"/>
    <w:rsid w:val="001A6F9F"/>
    <w:rsid w:val="001B0E50"/>
    <w:rsid w:val="001B535E"/>
    <w:rsid w:val="001D763A"/>
    <w:rsid w:val="001E1645"/>
    <w:rsid w:val="001E5460"/>
    <w:rsid w:val="002054E4"/>
    <w:rsid w:val="00207324"/>
    <w:rsid w:val="002159B8"/>
    <w:rsid w:val="00226B77"/>
    <w:rsid w:val="00251E53"/>
    <w:rsid w:val="0026094B"/>
    <w:rsid w:val="00270661"/>
    <w:rsid w:val="002724D1"/>
    <w:rsid w:val="0028718E"/>
    <w:rsid w:val="002B3AE7"/>
    <w:rsid w:val="002C69A1"/>
    <w:rsid w:val="002D3A9A"/>
    <w:rsid w:val="002E7933"/>
    <w:rsid w:val="00320E15"/>
    <w:rsid w:val="0032289A"/>
    <w:rsid w:val="00344941"/>
    <w:rsid w:val="003468D7"/>
    <w:rsid w:val="003656F3"/>
    <w:rsid w:val="00370DEB"/>
    <w:rsid w:val="00376CAF"/>
    <w:rsid w:val="00376EE4"/>
    <w:rsid w:val="003A593A"/>
    <w:rsid w:val="003C0FFB"/>
    <w:rsid w:val="003C190F"/>
    <w:rsid w:val="003C439A"/>
    <w:rsid w:val="003D4F02"/>
    <w:rsid w:val="003E2420"/>
    <w:rsid w:val="004136C3"/>
    <w:rsid w:val="00425686"/>
    <w:rsid w:val="00430650"/>
    <w:rsid w:val="00433B51"/>
    <w:rsid w:val="00445F3E"/>
    <w:rsid w:val="00497BB9"/>
    <w:rsid w:val="004A399D"/>
    <w:rsid w:val="004D1FE9"/>
    <w:rsid w:val="004D5E3E"/>
    <w:rsid w:val="004F4625"/>
    <w:rsid w:val="004F4A67"/>
    <w:rsid w:val="00511A4F"/>
    <w:rsid w:val="005175DD"/>
    <w:rsid w:val="0056796C"/>
    <w:rsid w:val="005A4CA5"/>
    <w:rsid w:val="005C587C"/>
    <w:rsid w:val="00611E06"/>
    <w:rsid w:val="00637C15"/>
    <w:rsid w:val="006524A0"/>
    <w:rsid w:val="0065331B"/>
    <w:rsid w:val="006620CF"/>
    <w:rsid w:val="006844CE"/>
    <w:rsid w:val="006923D1"/>
    <w:rsid w:val="00693178"/>
    <w:rsid w:val="006A7309"/>
    <w:rsid w:val="006C59F5"/>
    <w:rsid w:val="006D40E2"/>
    <w:rsid w:val="006E2959"/>
    <w:rsid w:val="00712EA5"/>
    <w:rsid w:val="0072012D"/>
    <w:rsid w:val="00745D55"/>
    <w:rsid w:val="007534ED"/>
    <w:rsid w:val="007614EB"/>
    <w:rsid w:val="00761AD2"/>
    <w:rsid w:val="007711BF"/>
    <w:rsid w:val="00784016"/>
    <w:rsid w:val="007D3441"/>
    <w:rsid w:val="007F4C73"/>
    <w:rsid w:val="00804BEF"/>
    <w:rsid w:val="00812B22"/>
    <w:rsid w:val="00815963"/>
    <w:rsid w:val="00860951"/>
    <w:rsid w:val="0087515C"/>
    <w:rsid w:val="00876803"/>
    <w:rsid w:val="008A3556"/>
    <w:rsid w:val="008D091F"/>
    <w:rsid w:val="008D1A3E"/>
    <w:rsid w:val="009228B8"/>
    <w:rsid w:val="0093489B"/>
    <w:rsid w:val="00946277"/>
    <w:rsid w:val="00954474"/>
    <w:rsid w:val="0097123D"/>
    <w:rsid w:val="0097526A"/>
    <w:rsid w:val="00997F8E"/>
    <w:rsid w:val="009A4076"/>
    <w:rsid w:val="009A479B"/>
    <w:rsid w:val="009C145B"/>
    <w:rsid w:val="009C40DD"/>
    <w:rsid w:val="009D20C9"/>
    <w:rsid w:val="009F352B"/>
    <w:rsid w:val="00A05523"/>
    <w:rsid w:val="00A236E4"/>
    <w:rsid w:val="00A23CC9"/>
    <w:rsid w:val="00A2669F"/>
    <w:rsid w:val="00A33A58"/>
    <w:rsid w:val="00A82827"/>
    <w:rsid w:val="00A842EF"/>
    <w:rsid w:val="00A87956"/>
    <w:rsid w:val="00A97A31"/>
    <w:rsid w:val="00AC557A"/>
    <w:rsid w:val="00AD1559"/>
    <w:rsid w:val="00AD337D"/>
    <w:rsid w:val="00AD54D6"/>
    <w:rsid w:val="00AD6BF0"/>
    <w:rsid w:val="00AD7908"/>
    <w:rsid w:val="00AE0852"/>
    <w:rsid w:val="00AE0C5E"/>
    <w:rsid w:val="00AE3F8E"/>
    <w:rsid w:val="00B05134"/>
    <w:rsid w:val="00B07BDF"/>
    <w:rsid w:val="00B25D38"/>
    <w:rsid w:val="00BA1F99"/>
    <w:rsid w:val="00BB0308"/>
    <w:rsid w:val="00BC58C3"/>
    <w:rsid w:val="00BF0F13"/>
    <w:rsid w:val="00BF16D4"/>
    <w:rsid w:val="00C33EC5"/>
    <w:rsid w:val="00C36A84"/>
    <w:rsid w:val="00C6078E"/>
    <w:rsid w:val="00C61C73"/>
    <w:rsid w:val="00C76ED8"/>
    <w:rsid w:val="00C7784A"/>
    <w:rsid w:val="00C97C6C"/>
    <w:rsid w:val="00CA0069"/>
    <w:rsid w:val="00CD7F12"/>
    <w:rsid w:val="00CE3556"/>
    <w:rsid w:val="00D27846"/>
    <w:rsid w:val="00D322B8"/>
    <w:rsid w:val="00D3667E"/>
    <w:rsid w:val="00D36E76"/>
    <w:rsid w:val="00D42939"/>
    <w:rsid w:val="00D60FFE"/>
    <w:rsid w:val="00D64BF4"/>
    <w:rsid w:val="00D97160"/>
    <w:rsid w:val="00DA6E98"/>
    <w:rsid w:val="00DA7165"/>
    <w:rsid w:val="00DB4AB8"/>
    <w:rsid w:val="00DB6158"/>
    <w:rsid w:val="00DD1909"/>
    <w:rsid w:val="00E0077A"/>
    <w:rsid w:val="00E05755"/>
    <w:rsid w:val="00E1434C"/>
    <w:rsid w:val="00E15FA2"/>
    <w:rsid w:val="00E6627F"/>
    <w:rsid w:val="00E80F64"/>
    <w:rsid w:val="00E85F70"/>
    <w:rsid w:val="00EB3B3E"/>
    <w:rsid w:val="00EB6C5E"/>
    <w:rsid w:val="00EC33D2"/>
    <w:rsid w:val="00EF25E3"/>
    <w:rsid w:val="00EF55A7"/>
    <w:rsid w:val="00F02DC7"/>
    <w:rsid w:val="00F130A7"/>
    <w:rsid w:val="00F24DC1"/>
    <w:rsid w:val="00F3167F"/>
    <w:rsid w:val="00F40D4D"/>
    <w:rsid w:val="00FA7B23"/>
    <w:rsid w:val="00FB099A"/>
    <w:rsid w:val="00FE44A5"/>
    <w:rsid w:val="00FF3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E21"/>
  <w15:chartTrackingRefBased/>
  <w15:docId w15:val="{E76F4AA9-5752-416A-BAA5-E4D660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5D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D55"/>
    <w:rPr>
      <w:rFonts w:ascii="Segoe UI" w:hAnsi="Segoe UI" w:cs="Segoe UI"/>
      <w:sz w:val="18"/>
      <w:szCs w:val="18"/>
    </w:rPr>
  </w:style>
  <w:style w:type="paragraph" w:styleId="ListeParagraf">
    <w:name w:val="List Paragraph"/>
    <w:basedOn w:val="Normal"/>
    <w:uiPriority w:val="34"/>
    <w:qFormat/>
    <w:rsid w:val="00A97A31"/>
    <w:pPr>
      <w:ind w:left="720"/>
      <w:contextualSpacing/>
    </w:pPr>
  </w:style>
  <w:style w:type="paragraph" w:customStyle="1" w:styleId="chrome">
    <w:name w:val="chrome"/>
    <w:basedOn w:val="Normal"/>
    <w:rsid w:val="00A97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26A"/>
    <w:rPr>
      <w:b/>
      <w:bCs/>
    </w:rPr>
  </w:style>
  <w:style w:type="paragraph" w:styleId="stBilgi">
    <w:name w:val="header"/>
    <w:basedOn w:val="Normal"/>
    <w:link w:val="stBilgiChar"/>
    <w:uiPriority w:val="99"/>
    <w:unhideWhenUsed/>
    <w:rsid w:val="00D322B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22B8"/>
  </w:style>
  <w:style w:type="paragraph" w:styleId="AltBilgi">
    <w:name w:val="footer"/>
    <w:basedOn w:val="Normal"/>
    <w:link w:val="AltBilgiChar"/>
    <w:uiPriority w:val="99"/>
    <w:unhideWhenUsed/>
    <w:rsid w:val="00D322B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22B8"/>
  </w:style>
  <w:style w:type="paragraph" w:styleId="Dzeltme">
    <w:name w:val="Revision"/>
    <w:hidden/>
    <w:uiPriority w:val="99"/>
    <w:semiHidden/>
    <w:rsid w:val="00D322B8"/>
    <w:pPr>
      <w:spacing w:after="0" w:line="240" w:lineRule="auto"/>
    </w:pPr>
  </w:style>
  <w:style w:type="character" w:styleId="Kpr">
    <w:name w:val="Hyperlink"/>
    <w:basedOn w:val="VarsaylanParagrafYazTipi"/>
    <w:uiPriority w:val="99"/>
    <w:unhideWhenUsed/>
    <w:rsid w:val="00D322B8"/>
    <w:rPr>
      <w:color w:val="0563C1" w:themeColor="hyperlink"/>
      <w:u w:val="single"/>
    </w:rPr>
  </w:style>
  <w:style w:type="character" w:customStyle="1" w:styleId="apple-converted-space">
    <w:name w:val="apple-converted-space"/>
    <w:basedOn w:val="VarsaylanParagrafYazTipi"/>
    <w:rsid w:val="00D322B8"/>
  </w:style>
  <w:style w:type="character" w:styleId="AklamaBavurusu">
    <w:name w:val="annotation reference"/>
    <w:basedOn w:val="VarsaylanParagrafYazTipi"/>
    <w:uiPriority w:val="99"/>
    <w:semiHidden/>
    <w:unhideWhenUsed/>
    <w:rsid w:val="00812B22"/>
    <w:rPr>
      <w:sz w:val="16"/>
      <w:szCs w:val="16"/>
    </w:rPr>
  </w:style>
  <w:style w:type="paragraph" w:styleId="AklamaMetni">
    <w:name w:val="annotation text"/>
    <w:basedOn w:val="Normal"/>
    <w:link w:val="AklamaMetniChar"/>
    <w:uiPriority w:val="99"/>
    <w:semiHidden/>
    <w:unhideWhenUsed/>
    <w:rsid w:val="00812B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2B22"/>
    <w:rPr>
      <w:sz w:val="20"/>
      <w:szCs w:val="20"/>
    </w:rPr>
  </w:style>
  <w:style w:type="paragraph" w:styleId="AklamaKonusu">
    <w:name w:val="annotation subject"/>
    <w:basedOn w:val="AklamaMetni"/>
    <w:next w:val="AklamaMetni"/>
    <w:link w:val="AklamaKonusuChar"/>
    <w:uiPriority w:val="99"/>
    <w:semiHidden/>
    <w:unhideWhenUsed/>
    <w:rsid w:val="00812B22"/>
    <w:rPr>
      <w:b/>
      <w:bCs/>
    </w:rPr>
  </w:style>
  <w:style w:type="character" w:customStyle="1" w:styleId="AklamaKonusuChar">
    <w:name w:val="Açıklama Konusu Char"/>
    <w:basedOn w:val="AklamaMetniChar"/>
    <w:link w:val="AklamaKonusu"/>
    <w:uiPriority w:val="99"/>
    <w:semiHidden/>
    <w:rsid w:val="00812B22"/>
    <w:rPr>
      <w:b/>
      <w:bCs/>
      <w:sz w:val="20"/>
      <w:szCs w:val="20"/>
    </w:rPr>
  </w:style>
  <w:style w:type="character" w:styleId="zmlenmeyenBahsetme">
    <w:name w:val="Unresolved Mention"/>
    <w:basedOn w:val="VarsaylanParagrafYazTipi"/>
    <w:uiPriority w:val="99"/>
    <w:semiHidden/>
    <w:unhideWhenUsed/>
    <w:rsid w:val="00BA1F99"/>
    <w:rPr>
      <w:color w:val="605E5C"/>
      <w:shd w:val="clear" w:color="auto" w:fill="E1DFDD"/>
    </w:rPr>
  </w:style>
  <w:style w:type="paragraph" w:styleId="NormalWeb">
    <w:name w:val="Normal (Web)"/>
    <w:basedOn w:val="Normal"/>
    <w:uiPriority w:val="99"/>
    <w:semiHidden/>
    <w:unhideWhenUsed/>
    <w:rsid w:val="00376EE4"/>
    <w:pPr>
      <w:spacing w:before="100" w:beforeAutospacing="1" w:after="100" w:afterAutospacing="1" w:line="240" w:lineRule="auto"/>
    </w:pPr>
    <w:rPr>
      <w:rFonts w:ascii="Calibri" w:hAnsi="Calibri" w:cs="Calibri"/>
      <w:lang w:eastAsia="tr-TR"/>
    </w:rPr>
  </w:style>
  <w:style w:type="table" w:styleId="TabloKlavuzu">
    <w:name w:val="Table Grid"/>
    <w:basedOn w:val="NormalTablo"/>
    <w:uiPriority w:val="39"/>
    <w:rsid w:val="009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4274">
      <w:bodyDiv w:val="1"/>
      <w:marLeft w:val="0"/>
      <w:marRight w:val="0"/>
      <w:marTop w:val="0"/>
      <w:marBottom w:val="0"/>
      <w:divBdr>
        <w:top w:val="none" w:sz="0" w:space="0" w:color="auto"/>
        <w:left w:val="none" w:sz="0" w:space="0" w:color="auto"/>
        <w:bottom w:val="none" w:sz="0" w:space="0" w:color="auto"/>
        <w:right w:val="none" w:sz="0" w:space="0" w:color="auto"/>
      </w:divBdr>
    </w:div>
    <w:div w:id="182210584">
      <w:bodyDiv w:val="1"/>
      <w:marLeft w:val="0"/>
      <w:marRight w:val="0"/>
      <w:marTop w:val="0"/>
      <w:marBottom w:val="0"/>
      <w:divBdr>
        <w:top w:val="none" w:sz="0" w:space="0" w:color="auto"/>
        <w:left w:val="none" w:sz="0" w:space="0" w:color="auto"/>
        <w:bottom w:val="none" w:sz="0" w:space="0" w:color="auto"/>
        <w:right w:val="none" w:sz="0" w:space="0" w:color="auto"/>
      </w:divBdr>
    </w:div>
    <w:div w:id="365105162">
      <w:bodyDiv w:val="1"/>
      <w:marLeft w:val="0"/>
      <w:marRight w:val="0"/>
      <w:marTop w:val="0"/>
      <w:marBottom w:val="0"/>
      <w:divBdr>
        <w:top w:val="none" w:sz="0" w:space="0" w:color="auto"/>
        <w:left w:val="none" w:sz="0" w:space="0" w:color="auto"/>
        <w:bottom w:val="none" w:sz="0" w:space="0" w:color="auto"/>
        <w:right w:val="none" w:sz="0" w:space="0" w:color="auto"/>
      </w:divBdr>
    </w:div>
    <w:div w:id="370963653">
      <w:bodyDiv w:val="1"/>
      <w:marLeft w:val="0"/>
      <w:marRight w:val="0"/>
      <w:marTop w:val="0"/>
      <w:marBottom w:val="0"/>
      <w:divBdr>
        <w:top w:val="none" w:sz="0" w:space="0" w:color="auto"/>
        <w:left w:val="none" w:sz="0" w:space="0" w:color="auto"/>
        <w:bottom w:val="none" w:sz="0" w:space="0" w:color="auto"/>
        <w:right w:val="none" w:sz="0" w:space="0" w:color="auto"/>
      </w:divBdr>
    </w:div>
    <w:div w:id="446512573">
      <w:bodyDiv w:val="1"/>
      <w:marLeft w:val="0"/>
      <w:marRight w:val="0"/>
      <w:marTop w:val="0"/>
      <w:marBottom w:val="0"/>
      <w:divBdr>
        <w:top w:val="none" w:sz="0" w:space="0" w:color="auto"/>
        <w:left w:val="none" w:sz="0" w:space="0" w:color="auto"/>
        <w:bottom w:val="none" w:sz="0" w:space="0" w:color="auto"/>
        <w:right w:val="none" w:sz="0" w:space="0" w:color="auto"/>
      </w:divBdr>
    </w:div>
    <w:div w:id="467279409">
      <w:bodyDiv w:val="1"/>
      <w:marLeft w:val="0"/>
      <w:marRight w:val="0"/>
      <w:marTop w:val="0"/>
      <w:marBottom w:val="0"/>
      <w:divBdr>
        <w:top w:val="none" w:sz="0" w:space="0" w:color="auto"/>
        <w:left w:val="none" w:sz="0" w:space="0" w:color="auto"/>
        <w:bottom w:val="none" w:sz="0" w:space="0" w:color="auto"/>
        <w:right w:val="none" w:sz="0" w:space="0" w:color="auto"/>
      </w:divBdr>
    </w:div>
    <w:div w:id="745105014">
      <w:bodyDiv w:val="1"/>
      <w:marLeft w:val="0"/>
      <w:marRight w:val="0"/>
      <w:marTop w:val="0"/>
      <w:marBottom w:val="0"/>
      <w:divBdr>
        <w:top w:val="none" w:sz="0" w:space="0" w:color="auto"/>
        <w:left w:val="none" w:sz="0" w:space="0" w:color="auto"/>
        <w:bottom w:val="none" w:sz="0" w:space="0" w:color="auto"/>
        <w:right w:val="none" w:sz="0" w:space="0" w:color="auto"/>
      </w:divBdr>
    </w:div>
    <w:div w:id="745147302">
      <w:bodyDiv w:val="1"/>
      <w:marLeft w:val="0"/>
      <w:marRight w:val="0"/>
      <w:marTop w:val="0"/>
      <w:marBottom w:val="0"/>
      <w:divBdr>
        <w:top w:val="none" w:sz="0" w:space="0" w:color="auto"/>
        <w:left w:val="none" w:sz="0" w:space="0" w:color="auto"/>
        <w:bottom w:val="none" w:sz="0" w:space="0" w:color="auto"/>
        <w:right w:val="none" w:sz="0" w:space="0" w:color="auto"/>
      </w:divBdr>
    </w:div>
    <w:div w:id="752897020">
      <w:bodyDiv w:val="1"/>
      <w:marLeft w:val="0"/>
      <w:marRight w:val="0"/>
      <w:marTop w:val="0"/>
      <w:marBottom w:val="0"/>
      <w:divBdr>
        <w:top w:val="none" w:sz="0" w:space="0" w:color="auto"/>
        <w:left w:val="none" w:sz="0" w:space="0" w:color="auto"/>
        <w:bottom w:val="none" w:sz="0" w:space="0" w:color="auto"/>
        <w:right w:val="none" w:sz="0" w:space="0" w:color="auto"/>
      </w:divBdr>
    </w:div>
    <w:div w:id="1215122337">
      <w:bodyDiv w:val="1"/>
      <w:marLeft w:val="0"/>
      <w:marRight w:val="0"/>
      <w:marTop w:val="0"/>
      <w:marBottom w:val="0"/>
      <w:divBdr>
        <w:top w:val="none" w:sz="0" w:space="0" w:color="auto"/>
        <w:left w:val="none" w:sz="0" w:space="0" w:color="auto"/>
        <w:bottom w:val="none" w:sz="0" w:space="0" w:color="auto"/>
        <w:right w:val="none" w:sz="0" w:space="0" w:color="auto"/>
      </w:divBdr>
    </w:div>
    <w:div w:id="1218005910">
      <w:bodyDiv w:val="1"/>
      <w:marLeft w:val="0"/>
      <w:marRight w:val="0"/>
      <w:marTop w:val="0"/>
      <w:marBottom w:val="0"/>
      <w:divBdr>
        <w:top w:val="none" w:sz="0" w:space="0" w:color="auto"/>
        <w:left w:val="none" w:sz="0" w:space="0" w:color="auto"/>
        <w:bottom w:val="none" w:sz="0" w:space="0" w:color="auto"/>
        <w:right w:val="none" w:sz="0" w:space="0" w:color="auto"/>
      </w:divBdr>
    </w:div>
    <w:div w:id="1326200746">
      <w:bodyDiv w:val="1"/>
      <w:marLeft w:val="0"/>
      <w:marRight w:val="0"/>
      <w:marTop w:val="0"/>
      <w:marBottom w:val="0"/>
      <w:divBdr>
        <w:top w:val="none" w:sz="0" w:space="0" w:color="auto"/>
        <w:left w:val="none" w:sz="0" w:space="0" w:color="auto"/>
        <w:bottom w:val="none" w:sz="0" w:space="0" w:color="auto"/>
        <w:right w:val="none" w:sz="0" w:space="0" w:color="auto"/>
      </w:divBdr>
      <w:divsChild>
        <w:div w:id="1037437247">
          <w:marLeft w:val="0"/>
          <w:marRight w:val="0"/>
          <w:marTop w:val="0"/>
          <w:marBottom w:val="0"/>
          <w:divBdr>
            <w:top w:val="none" w:sz="0" w:space="0" w:color="auto"/>
            <w:left w:val="none" w:sz="0" w:space="0" w:color="auto"/>
            <w:bottom w:val="none" w:sz="0" w:space="0" w:color="auto"/>
            <w:right w:val="none" w:sz="0" w:space="0" w:color="auto"/>
          </w:divBdr>
        </w:div>
      </w:divsChild>
    </w:div>
    <w:div w:id="1660503089">
      <w:bodyDiv w:val="1"/>
      <w:marLeft w:val="0"/>
      <w:marRight w:val="0"/>
      <w:marTop w:val="0"/>
      <w:marBottom w:val="0"/>
      <w:divBdr>
        <w:top w:val="none" w:sz="0" w:space="0" w:color="auto"/>
        <w:left w:val="none" w:sz="0" w:space="0" w:color="auto"/>
        <w:bottom w:val="none" w:sz="0" w:space="0" w:color="auto"/>
        <w:right w:val="none" w:sz="0" w:space="0" w:color="auto"/>
      </w:divBdr>
    </w:div>
    <w:div w:id="20430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pmg.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24102-6347-4E14-AE3E-A328867965D4}">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59BCCD7E-9226-4D5C-8B35-DD5CD120A9BA}">
  <ds:schemaRefs>
    <ds:schemaRef ds:uri="http://schemas.openxmlformats.org/officeDocument/2006/bibliography"/>
  </ds:schemaRefs>
</ds:datastoreItem>
</file>

<file path=customXml/itemProps3.xml><?xml version="1.0" encoding="utf-8"?>
<ds:datastoreItem xmlns:ds="http://schemas.openxmlformats.org/officeDocument/2006/customXml" ds:itemID="{1B4740DE-2664-485B-B45B-62F406D5B39C}">
  <ds:schemaRefs>
    <ds:schemaRef ds:uri="http://schemas.microsoft.com/sharepoint/v3/contenttype/forms"/>
  </ds:schemaRefs>
</ds:datastoreItem>
</file>

<file path=customXml/itemProps4.xml><?xml version="1.0" encoding="utf-8"?>
<ds:datastoreItem xmlns:ds="http://schemas.openxmlformats.org/officeDocument/2006/customXml" ds:itemID="{EC7B7E1F-A9E9-403C-A671-851238D4E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3981</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KPMG</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Balci, Berra</dc:creator>
  <cp:keywords/>
  <dc:description/>
  <cp:lastModifiedBy>Ceren Moral</cp:lastModifiedBy>
  <cp:revision>5</cp:revision>
  <dcterms:created xsi:type="dcterms:W3CDTF">2022-04-19T13:43:00Z</dcterms:created>
  <dcterms:modified xsi:type="dcterms:W3CDTF">2022-04-20T06:50:00Z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