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7918" w14:textId="612880DA" w:rsidR="00D322B8" w:rsidRDefault="00D322B8" w:rsidP="3B411B06">
      <w:pPr>
        <w:pBdr>
          <w:bottom w:val="single" w:sz="6" w:space="1" w:color="auto"/>
        </w:pBdr>
        <w:rPr>
          <w:rFonts w:ascii="Tahoma" w:eastAsia="Tahoma" w:hAnsi="Tahoma" w:cs="Tahoma"/>
          <w:b/>
          <w:bCs/>
        </w:rPr>
      </w:pPr>
      <w:r w:rsidRPr="3B411B06">
        <w:rPr>
          <w:rFonts w:ascii="Tahoma" w:eastAsia="Tahoma" w:hAnsi="Tahoma" w:cs="Tahoma"/>
          <w:b/>
          <w:bCs/>
        </w:rPr>
        <w:t>BASIN BÜLTENİ</w:t>
      </w:r>
      <w:r>
        <w:tab/>
      </w:r>
      <w:r>
        <w:tab/>
      </w:r>
      <w:r>
        <w:tab/>
      </w:r>
      <w:r>
        <w:tab/>
      </w:r>
      <w:r>
        <w:tab/>
      </w:r>
      <w:r w:rsidRPr="3B411B06">
        <w:rPr>
          <w:rFonts w:ascii="Tahoma" w:eastAsia="Tahoma" w:hAnsi="Tahoma" w:cs="Tahoma"/>
          <w:b/>
          <w:bCs/>
        </w:rPr>
        <w:t xml:space="preserve">                                           </w:t>
      </w:r>
      <w:r w:rsidR="5DD45067" w:rsidRPr="3B411B06">
        <w:rPr>
          <w:rFonts w:ascii="Tahoma" w:eastAsia="Tahoma" w:hAnsi="Tahoma" w:cs="Tahoma"/>
          <w:b/>
          <w:bCs/>
        </w:rPr>
        <w:t>17</w:t>
      </w:r>
      <w:r w:rsidRPr="3B411B06">
        <w:rPr>
          <w:rFonts w:ascii="Tahoma" w:eastAsia="Tahoma" w:hAnsi="Tahoma" w:cs="Tahoma"/>
          <w:b/>
          <w:bCs/>
        </w:rPr>
        <w:t>.</w:t>
      </w:r>
      <w:r w:rsidR="007C5EA6" w:rsidRPr="3B411B06">
        <w:rPr>
          <w:rFonts w:ascii="Tahoma" w:eastAsia="Tahoma" w:hAnsi="Tahoma" w:cs="Tahoma"/>
          <w:b/>
          <w:bCs/>
        </w:rPr>
        <w:t>10</w:t>
      </w:r>
      <w:r w:rsidRPr="3B411B06">
        <w:rPr>
          <w:rFonts w:ascii="Tahoma" w:eastAsia="Tahoma" w:hAnsi="Tahoma" w:cs="Tahoma"/>
          <w:b/>
          <w:bCs/>
        </w:rPr>
        <w:t>.202</w:t>
      </w:r>
      <w:r w:rsidR="00063287" w:rsidRPr="3B411B06">
        <w:rPr>
          <w:rFonts w:ascii="Tahoma" w:eastAsia="Tahoma" w:hAnsi="Tahoma" w:cs="Tahoma"/>
          <w:b/>
          <w:bCs/>
        </w:rPr>
        <w:t>5</w:t>
      </w:r>
    </w:p>
    <w:p w14:paraId="335CEAF7" w14:textId="77777777" w:rsidR="00D322B8" w:rsidRPr="006257BE" w:rsidRDefault="00D322B8" w:rsidP="00FB099A">
      <w:pPr>
        <w:rPr>
          <w:rFonts w:ascii="Arial" w:hAnsi="Arial" w:cs="Arial"/>
          <w:b/>
          <w:bCs/>
        </w:rPr>
      </w:pPr>
    </w:p>
    <w:p w14:paraId="7297E1AF" w14:textId="4C27B45B" w:rsidR="00050F6E" w:rsidRPr="00063287" w:rsidRDefault="00E76A34" w:rsidP="00063287">
      <w:pPr>
        <w:spacing w:after="0" w:line="276" w:lineRule="auto"/>
        <w:contextualSpacing/>
        <w:jc w:val="center"/>
        <w:rPr>
          <w:rFonts w:ascii="Verdana" w:hAnsi="Verdana" w:cs="Arial"/>
          <w:b/>
          <w:bCs/>
          <w:sz w:val="32"/>
          <w:szCs w:val="32"/>
        </w:rPr>
      </w:pPr>
      <w:r w:rsidRPr="00E76A34">
        <w:rPr>
          <w:rFonts w:ascii="Verdana" w:hAnsi="Verdana" w:cs="Arial"/>
          <w:b/>
          <w:bCs/>
          <w:sz w:val="32"/>
          <w:szCs w:val="32"/>
        </w:rPr>
        <w:t>KPMG</w:t>
      </w:r>
      <w:r>
        <w:rPr>
          <w:rFonts w:ascii="Verdana" w:hAnsi="Verdana" w:cs="Arial"/>
          <w:b/>
          <w:bCs/>
          <w:sz w:val="32"/>
          <w:szCs w:val="32"/>
        </w:rPr>
        <w:t xml:space="preserve"> ve </w:t>
      </w:r>
      <w:r w:rsidRPr="00E76A34">
        <w:rPr>
          <w:rFonts w:ascii="Verdana" w:hAnsi="Verdana" w:cs="Arial"/>
          <w:b/>
          <w:bCs/>
          <w:sz w:val="32"/>
          <w:szCs w:val="32"/>
        </w:rPr>
        <w:t>AIMA</w:t>
      </w:r>
      <w:r>
        <w:rPr>
          <w:rFonts w:ascii="Verdana" w:hAnsi="Verdana" w:cs="Arial"/>
          <w:b/>
          <w:bCs/>
          <w:sz w:val="32"/>
          <w:szCs w:val="32"/>
        </w:rPr>
        <w:t xml:space="preserve">’dan </w:t>
      </w:r>
      <w:r w:rsidRPr="00E76A34">
        <w:rPr>
          <w:rFonts w:ascii="Verdana" w:hAnsi="Verdana" w:cs="Arial"/>
          <w:b/>
          <w:bCs/>
          <w:sz w:val="32"/>
          <w:szCs w:val="32"/>
        </w:rPr>
        <w:t>yatırımların geleceğin</w:t>
      </w:r>
      <w:r>
        <w:rPr>
          <w:rFonts w:ascii="Verdana" w:hAnsi="Verdana" w:cs="Arial"/>
          <w:b/>
          <w:bCs/>
          <w:sz w:val="32"/>
          <w:szCs w:val="32"/>
        </w:rPr>
        <w:t xml:space="preserve">e yön verecek </w:t>
      </w:r>
      <w:r w:rsidRPr="00E76A34">
        <w:rPr>
          <w:rFonts w:ascii="Verdana" w:hAnsi="Verdana" w:cs="Arial"/>
          <w:b/>
          <w:bCs/>
          <w:sz w:val="32"/>
          <w:szCs w:val="32"/>
        </w:rPr>
        <w:t>tokenizasyon raporu</w:t>
      </w:r>
    </w:p>
    <w:p w14:paraId="0704C3D2" w14:textId="77777777" w:rsidR="00D322B8" w:rsidRPr="00063287" w:rsidRDefault="00D322B8" w:rsidP="00063287">
      <w:pPr>
        <w:spacing w:after="0" w:line="276" w:lineRule="auto"/>
        <w:contextualSpacing/>
        <w:jc w:val="both"/>
        <w:rPr>
          <w:rFonts w:ascii="Verdana" w:hAnsi="Verdana" w:cs="Arial"/>
          <w:sz w:val="20"/>
          <w:szCs w:val="20"/>
          <w:highlight w:val="yellow"/>
        </w:rPr>
      </w:pPr>
    </w:p>
    <w:p w14:paraId="69466B2E" w14:textId="02920096" w:rsidR="00D547B4" w:rsidRDefault="00614C8E" w:rsidP="00063287">
      <w:pPr>
        <w:spacing w:after="0" w:line="300" w:lineRule="auto"/>
        <w:contextualSpacing/>
        <w:jc w:val="center"/>
        <w:rPr>
          <w:rFonts w:ascii="Verdana" w:hAnsi="Verdana" w:cs="Arial"/>
          <w:b/>
          <w:bCs/>
        </w:rPr>
      </w:pPr>
      <w:r w:rsidRPr="00614C8E">
        <w:rPr>
          <w:rFonts w:ascii="Verdana" w:hAnsi="Verdana" w:cs="Arial"/>
          <w:b/>
          <w:bCs/>
        </w:rPr>
        <w:t xml:space="preserve">“Alternatiflerin </w:t>
      </w:r>
      <w:r w:rsidR="00D547B4">
        <w:rPr>
          <w:rFonts w:ascii="Verdana" w:hAnsi="Verdana" w:cs="Arial"/>
          <w:b/>
          <w:bCs/>
        </w:rPr>
        <w:t>Tokenizasyonu</w:t>
      </w:r>
      <w:r w:rsidRPr="00614C8E">
        <w:rPr>
          <w:rFonts w:ascii="Verdana" w:hAnsi="Verdana" w:cs="Arial"/>
          <w:b/>
          <w:bCs/>
        </w:rPr>
        <w:t>” raporu, blok zinciri teknolojisinin alternatif yatırım fonlarını dijitalleştirerek finans sektöründe şeffaflı</w:t>
      </w:r>
      <w:r>
        <w:rPr>
          <w:rFonts w:ascii="Verdana" w:hAnsi="Verdana" w:cs="Arial"/>
          <w:b/>
          <w:bCs/>
        </w:rPr>
        <w:t>ğı</w:t>
      </w:r>
      <w:r w:rsidRPr="00614C8E">
        <w:rPr>
          <w:rFonts w:ascii="Verdana" w:hAnsi="Verdana" w:cs="Arial"/>
          <w:b/>
          <w:bCs/>
        </w:rPr>
        <w:t>, verimlili</w:t>
      </w:r>
      <w:r>
        <w:rPr>
          <w:rFonts w:ascii="Verdana" w:hAnsi="Verdana" w:cs="Arial"/>
          <w:b/>
          <w:bCs/>
        </w:rPr>
        <w:t>ği</w:t>
      </w:r>
      <w:r w:rsidRPr="00614C8E">
        <w:rPr>
          <w:rFonts w:ascii="Verdana" w:hAnsi="Verdana" w:cs="Arial"/>
          <w:b/>
          <w:bCs/>
        </w:rPr>
        <w:t xml:space="preserve"> ve erişimi </w:t>
      </w:r>
      <w:r>
        <w:rPr>
          <w:rFonts w:ascii="Verdana" w:hAnsi="Verdana" w:cs="Arial"/>
          <w:b/>
          <w:bCs/>
        </w:rPr>
        <w:t xml:space="preserve">nasıl </w:t>
      </w:r>
      <w:r w:rsidRPr="00614C8E">
        <w:rPr>
          <w:rFonts w:ascii="Verdana" w:hAnsi="Verdana" w:cs="Arial"/>
          <w:b/>
          <w:bCs/>
        </w:rPr>
        <w:t xml:space="preserve">artırdığını ortaya koyuyor. </w:t>
      </w:r>
    </w:p>
    <w:p w14:paraId="43479E44" w14:textId="421CE33D" w:rsidR="00F55ADF" w:rsidRDefault="00614C8E" w:rsidP="00063287">
      <w:pPr>
        <w:spacing w:after="0" w:line="300" w:lineRule="auto"/>
        <w:contextualSpacing/>
        <w:jc w:val="center"/>
        <w:rPr>
          <w:rFonts w:ascii="Verdana" w:hAnsi="Verdana" w:cs="Arial"/>
          <w:b/>
          <w:bCs/>
        </w:rPr>
      </w:pPr>
      <w:r w:rsidRPr="00614C8E">
        <w:rPr>
          <w:rFonts w:ascii="Verdana" w:hAnsi="Verdana" w:cs="Arial"/>
          <w:b/>
          <w:bCs/>
        </w:rPr>
        <w:t>“Fon Tokenleri” ve “Alternatif Varlık Tokenleri” olmak üzere iki model</w:t>
      </w:r>
      <w:r>
        <w:rPr>
          <w:rFonts w:ascii="Verdana" w:hAnsi="Verdana" w:cs="Arial"/>
          <w:b/>
          <w:bCs/>
        </w:rPr>
        <w:t>in</w:t>
      </w:r>
      <w:r w:rsidRPr="00614C8E">
        <w:rPr>
          <w:rFonts w:ascii="Verdana" w:hAnsi="Verdana" w:cs="Arial"/>
          <w:b/>
          <w:bCs/>
        </w:rPr>
        <w:t xml:space="preserve"> tanımlan</w:t>
      </w:r>
      <w:r>
        <w:rPr>
          <w:rFonts w:ascii="Verdana" w:hAnsi="Verdana" w:cs="Arial"/>
          <w:b/>
          <w:bCs/>
        </w:rPr>
        <w:t>dığı raporda,</w:t>
      </w:r>
      <w:r w:rsidRPr="00614C8E">
        <w:rPr>
          <w:rFonts w:ascii="Verdana" w:hAnsi="Verdana" w:cs="Arial"/>
          <w:b/>
          <w:bCs/>
        </w:rPr>
        <w:t xml:space="preserve"> Lüksemburg gibi ülkeler</w:t>
      </w:r>
      <w:r>
        <w:rPr>
          <w:rFonts w:ascii="Verdana" w:hAnsi="Verdana" w:cs="Arial"/>
          <w:b/>
          <w:bCs/>
        </w:rPr>
        <w:t>in</w:t>
      </w:r>
      <w:r w:rsidRPr="00614C8E">
        <w:rPr>
          <w:rFonts w:ascii="Verdana" w:hAnsi="Verdana" w:cs="Arial"/>
          <w:b/>
          <w:bCs/>
        </w:rPr>
        <w:t xml:space="preserve"> bu dönüşümde öncü konumda bulun</w:t>
      </w:r>
      <w:r>
        <w:rPr>
          <w:rFonts w:ascii="Verdana" w:hAnsi="Verdana" w:cs="Arial"/>
          <w:b/>
          <w:bCs/>
        </w:rPr>
        <w:t>duğuna dikkat çekiliyor</w:t>
      </w:r>
      <w:r w:rsidRPr="00614C8E">
        <w:rPr>
          <w:rFonts w:ascii="Verdana" w:hAnsi="Verdana" w:cs="Arial"/>
          <w:b/>
          <w:bCs/>
        </w:rPr>
        <w:t>.</w:t>
      </w:r>
    </w:p>
    <w:p w14:paraId="18BC0BDE" w14:textId="77777777" w:rsidR="00614C8E" w:rsidRPr="00063287" w:rsidRDefault="00614C8E" w:rsidP="00063287">
      <w:pPr>
        <w:spacing w:after="0" w:line="300" w:lineRule="auto"/>
        <w:contextualSpacing/>
        <w:jc w:val="center"/>
        <w:rPr>
          <w:rFonts w:ascii="Verdana" w:hAnsi="Verdana" w:cs="Arial"/>
          <w:b/>
          <w:bCs/>
          <w:sz w:val="20"/>
          <w:szCs w:val="20"/>
        </w:rPr>
      </w:pPr>
    </w:p>
    <w:p w14:paraId="25C7E8C9" w14:textId="6D8DAE6E" w:rsidR="00966664" w:rsidRPr="00966664" w:rsidRDefault="00E76A34" w:rsidP="00966664">
      <w:pPr>
        <w:spacing w:after="0" w:line="300" w:lineRule="auto"/>
        <w:contextualSpacing/>
        <w:jc w:val="both"/>
        <w:rPr>
          <w:rFonts w:ascii="Verdana" w:hAnsi="Verdana" w:cs="Arial"/>
          <w:sz w:val="20"/>
          <w:szCs w:val="20"/>
        </w:rPr>
      </w:pPr>
      <w:r w:rsidRPr="00E76A34">
        <w:rPr>
          <w:rFonts w:ascii="Verdana" w:hAnsi="Verdana" w:cs="Arial"/>
          <w:sz w:val="20"/>
          <w:szCs w:val="20"/>
        </w:rPr>
        <w:t xml:space="preserve">KPMG </w:t>
      </w:r>
      <w:r>
        <w:rPr>
          <w:rFonts w:ascii="Verdana" w:hAnsi="Verdana" w:cs="Arial"/>
          <w:sz w:val="20"/>
          <w:szCs w:val="20"/>
        </w:rPr>
        <w:t xml:space="preserve">ve </w:t>
      </w:r>
      <w:r w:rsidRPr="00E76A34">
        <w:rPr>
          <w:rFonts w:ascii="Verdana" w:hAnsi="Verdana" w:cs="Arial"/>
          <w:sz w:val="20"/>
          <w:szCs w:val="20"/>
        </w:rPr>
        <w:t xml:space="preserve">Alternatif Yatırım Yönetimi Derneği (AIMA) iş birliğiyle </w:t>
      </w:r>
      <w:r>
        <w:rPr>
          <w:rFonts w:ascii="Verdana" w:hAnsi="Verdana" w:cs="Arial"/>
          <w:sz w:val="20"/>
          <w:szCs w:val="20"/>
        </w:rPr>
        <w:t xml:space="preserve">yayımlanan </w:t>
      </w:r>
      <w:r w:rsidR="00966664" w:rsidRPr="002C1C29">
        <w:rPr>
          <w:rFonts w:ascii="Verdana" w:hAnsi="Verdana"/>
          <w:b/>
          <w:sz w:val="20"/>
        </w:rPr>
        <w:t xml:space="preserve">Alternatiflerin </w:t>
      </w:r>
      <w:r w:rsidR="00D547B4">
        <w:rPr>
          <w:rFonts w:ascii="Verdana" w:hAnsi="Verdana" w:cs="Arial"/>
          <w:b/>
          <w:bCs/>
          <w:sz w:val="20"/>
          <w:szCs w:val="20"/>
        </w:rPr>
        <w:t>Toke</w:t>
      </w:r>
      <w:r w:rsidR="0049367B">
        <w:rPr>
          <w:rFonts w:ascii="Verdana" w:hAnsi="Verdana" w:cs="Arial"/>
          <w:b/>
          <w:bCs/>
          <w:sz w:val="20"/>
          <w:szCs w:val="20"/>
        </w:rPr>
        <w:t>ni</w:t>
      </w:r>
      <w:r w:rsidR="00D547B4">
        <w:rPr>
          <w:rFonts w:ascii="Verdana" w:hAnsi="Verdana" w:cs="Arial"/>
          <w:b/>
          <w:bCs/>
          <w:sz w:val="20"/>
          <w:szCs w:val="20"/>
        </w:rPr>
        <w:t>zasyonu</w:t>
      </w:r>
      <w:r w:rsidR="00D547B4" w:rsidRPr="002C1C29">
        <w:rPr>
          <w:rFonts w:ascii="Verdana" w:hAnsi="Verdana"/>
          <w:b/>
          <w:sz w:val="20"/>
        </w:rPr>
        <w:t xml:space="preserve"> </w:t>
      </w:r>
      <w:r w:rsidRPr="00E76A34">
        <w:rPr>
          <w:rFonts w:ascii="Verdana" w:hAnsi="Verdana" w:cs="Arial"/>
          <w:sz w:val="20"/>
          <w:szCs w:val="20"/>
        </w:rPr>
        <w:t xml:space="preserve">raporunda, alternatif yatırım fonlarının tokenizasyonunun finans dünyasında </w:t>
      </w:r>
      <w:r w:rsidR="00D550BF">
        <w:rPr>
          <w:rFonts w:ascii="Verdana" w:hAnsi="Verdana" w:cs="Arial"/>
          <w:sz w:val="20"/>
          <w:szCs w:val="20"/>
        </w:rPr>
        <w:t xml:space="preserve">başlattığı </w:t>
      </w:r>
      <w:r w:rsidRPr="00E76A34">
        <w:rPr>
          <w:rFonts w:ascii="Verdana" w:hAnsi="Verdana" w:cs="Arial"/>
          <w:sz w:val="20"/>
          <w:szCs w:val="20"/>
        </w:rPr>
        <w:t>köklü dönüşüm</w:t>
      </w:r>
      <w:r w:rsidR="00D550BF">
        <w:rPr>
          <w:rFonts w:ascii="Verdana" w:hAnsi="Verdana" w:cs="Arial"/>
          <w:sz w:val="20"/>
          <w:szCs w:val="20"/>
        </w:rPr>
        <w:t xml:space="preserve"> mercek altına alınıyor. </w:t>
      </w:r>
      <w:r w:rsidRPr="00E76A34">
        <w:rPr>
          <w:rFonts w:ascii="Verdana" w:hAnsi="Verdana" w:cs="Arial"/>
          <w:sz w:val="20"/>
          <w:szCs w:val="20"/>
        </w:rPr>
        <w:t>Rapor, blok</w:t>
      </w:r>
      <w:r w:rsidR="00966664">
        <w:rPr>
          <w:rFonts w:ascii="Verdana" w:hAnsi="Verdana" w:cs="Arial"/>
          <w:sz w:val="20"/>
          <w:szCs w:val="20"/>
        </w:rPr>
        <w:t xml:space="preserve"> </w:t>
      </w:r>
      <w:r w:rsidRPr="00E76A34">
        <w:rPr>
          <w:rFonts w:ascii="Verdana" w:hAnsi="Verdana" w:cs="Arial"/>
          <w:sz w:val="20"/>
          <w:szCs w:val="20"/>
        </w:rPr>
        <w:t>zincir teknolojisinin alternatif varlıkların dijital temsiline olanak tanıyarak</w:t>
      </w:r>
      <w:r w:rsidR="00D547B4">
        <w:rPr>
          <w:rFonts w:ascii="Verdana" w:hAnsi="Verdana" w:cs="Arial"/>
          <w:sz w:val="20"/>
          <w:szCs w:val="20"/>
        </w:rPr>
        <w:t>,</w:t>
      </w:r>
      <w:r w:rsidRPr="00E76A34">
        <w:rPr>
          <w:rFonts w:ascii="Verdana" w:hAnsi="Verdana" w:cs="Arial"/>
          <w:sz w:val="20"/>
          <w:szCs w:val="20"/>
        </w:rPr>
        <w:t xml:space="preserve"> finansal sistemde verimlilik, şeffaflık ve erişilebilirlik açısından devrim yarattığını vurguluyor. </w:t>
      </w:r>
      <w:r w:rsidR="00966664" w:rsidRPr="00966664">
        <w:rPr>
          <w:rFonts w:ascii="Verdana" w:hAnsi="Verdana" w:cs="Arial"/>
          <w:sz w:val="20"/>
          <w:szCs w:val="20"/>
        </w:rPr>
        <w:t>Tokenleştirme</w:t>
      </w:r>
      <w:r w:rsidR="00966664">
        <w:rPr>
          <w:rFonts w:ascii="Verdana" w:hAnsi="Verdana" w:cs="Arial"/>
          <w:sz w:val="20"/>
          <w:szCs w:val="20"/>
        </w:rPr>
        <w:t xml:space="preserve"> </w:t>
      </w:r>
      <w:r w:rsidR="00966664" w:rsidRPr="00966664">
        <w:rPr>
          <w:rFonts w:ascii="Verdana" w:hAnsi="Verdana" w:cs="Arial"/>
          <w:sz w:val="20"/>
          <w:szCs w:val="20"/>
        </w:rPr>
        <w:t xml:space="preserve">sayesinde alternatif yatırımlara erişim </w:t>
      </w:r>
      <w:r w:rsidR="00966664" w:rsidRPr="002C1C29">
        <w:rPr>
          <w:rFonts w:ascii="Verdana" w:hAnsi="Verdana"/>
          <w:b/>
          <w:sz w:val="20"/>
        </w:rPr>
        <w:t>demokratikleşiyor</w:t>
      </w:r>
      <w:r w:rsidR="00966664">
        <w:rPr>
          <w:rFonts w:ascii="Verdana" w:hAnsi="Verdana" w:cs="Arial"/>
          <w:sz w:val="20"/>
          <w:szCs w:val="20"/>
        </w:rPr>
        <w:t xml:space="preserve"> ve</w:t>
      </w:r>
      <w:r w:rsidR="00966664" w:rsidRPr="00966664">
        <w:rPr>
          <w:rFonts w:ascii="Verdana" w:hAnsi="Verdana" w:cs="Arial"/>
          <w:sz w:val="20"/>
          <w:szCs w:val="20"/>
        </w:rPr>
        <w:t xml:space="preserve"> böylece daha fazla yatırımcının hedge fonlar ve özel piyasa varlıklarından oluşan </w:t>
      </w:r>
      <w:r w:rsidR="00966664" w:rsidRPr="002C1C29">
        <w:rPr>
          <w:rFonts w:ascii="Verdana" w:hAnsi="Verdana"/>
          <w:b/>
          <w:sz w:val="20"/>
        </w:rPr>
        <w:t>çeşitlendirilmiş</w:t>
      </w:r>
      <w:r w:rsidR="00D547B4" w:rsidRPr="002C1C29">
        <w:rPr>
          <w:rFonts w:ascii="Verdana" w:hAnsi="Verdana"/>
          <w:b/>
          <w:sz w:val="20"/>
        </w:rPr>
        <w:t xml:space="preserve"> </w:t>
      </w:r>
      <w:r w:rsidR="00966664" w:rsidRPr="00966664">
        <w:rPr>
          <w:rFonts w:ascii="Verdana" w:hAnsi="Verdana" w:cs="Arial"/>
          <w:sz w:val="20"/>
          <w:szCs w:val="20"/>
        </w:rPr>
        <w:t>portföylere erişimi mümkün oluyor.</w:t>
      </w:r>
    </w:p>
    <w:p w14:paraId="013A3F70" w14:textId="77777777" w:rsidR="00966664" w:rsidRPr="00966664" w:rsidRDefault="00966664" w:rsidP="00966664">
      <w:pPr>
        <w:spacing w:after="0" w:line="300" w:lineRule="auto"/>
        <w:contextualSpacing/>
        <w:jc w:val="both"/>
        <w:rPr>
          <w:rFonts w:ascii="Verdana" w:hAnsi="Verdana" w:cs="Arial"/>
          <w:sz w:val="20"/>
          <w:szCs w:val="20"/>
        </w:rPr>
      </w:pPr>
    </w:p>
    <w:p w14:paraId="32A06C0D" w14:textId="116461D1" w:rsidR="00966664" w:rsidRPr="00966664" w:rsidRDefault="00966664" w:rsidP="00966664">
      <w:pPr>
        <w:spacing w:after="0" w:line="300" w:lineRule="auto"/>
        <w:contextualSpacing/>
        <w:jc w:val="both"/>
        <w:rPr>
          <w:rFonts w:ascii="Verdana" w:hAnsi="Verdana" w:cs="Arial"/>
          <w:sz w:val="20"/>
          <w:szCs w:val="20"/>
        </w:rPr>
      </w:pPr>
      <w:r w:rsidRPr="00966664">
        <w:rPr>
          <w:rFonts w:ascii="Verdana" w:hAnsi="Verdana" w:cs="Arial"/>
          <w:sz w:val="20"/>
          <w:szCs w:val="20"/>
        </w:rPr>
        <w:t>Ancak</w:t>
      </w:r>
      <w:r>
        <w:rPr>
          <w:rFonts w:ascii="Verdana" w:hAnsi="Verdana" w:cs="Arial"/>
          <w:sz w:val="20"/>
          <w:szCs w:val="20"/>
        </w:rPr>
        <w:t xml:space="preserve"> rapora göre </w:t>
      </w:r>
      <w:r w:rsidRPr="00966664">
        <w:rPr>
          <w:rFonts w:ascii="Verdana" w:hAnsi="Verdana" w:cs="Arial"/>
          <w:sz w:val="20"/>
          <w:szCs w:val="20"/>
        </w:rPr>
        <w:t xml:space="preserve">tokenleştirmenin yaygınlaşması bazı zorlukları da beraberinde getiriyor. Hukuki ve düzenleyici çerçeveler hâlâ gelişmekte </w:t>
      </w:r>
      <w:r>
        <w:rPr>
          <w:rFonts w:ascii="Verdana" w:hAnsi="Verdana" w:cs="Arial"/>
          <w:sz w:val="20"/>
          <w:szCs w:val="20"/>
        </w:rPr>
        <w:t>olup</w:t>
      </w:r>
      <w:r w:rsidR="00D547B4">
        <w:rPr>
          <w:rFonts w:ascii="Verdana" w:hAnsi="Verdana" w:cs="Arial"/>
          <w:sz w:val="20"/>
          <w:szCs w:val="20"/>
        </w:rPr>
        <w:t>,</w:t>
      </w:r>
      <w:r>
        <w:rPr>
          <w:rFonts w:ascii="Verdana" w:hAnsi="Verdana" w:cs="Arial"/>
          <w:sz w:val="20"/>
          <w:szCs w:val="20"/>
        </w:rPr>
        <w:t xml:space="preserve"> </w:t>
      </w:r>
      <w:r w:rsidRPr="00966664">
        <w:rPr>
          <w:rFonts w:ascii="Verdana" w:hAnsi="Verdana" w:cs="Arial"/>
          <w:sz w:val="20"/>
          <w:szCs w:val="20"/>
        </w:rPr>
        <w:t>yatırımcı</w:t>
      </w:r>
      <w:r>
        <w:rPr>
          <w:rFonts w:ascii="Verdana" w:hAnsi="Verdana" w:cs="Arial"/>
          <w:sz w:val="20"/>
          <w:szCs w:val="20"/>
        </w:rPr>
        <w:t>ların</w:t>
      </w:r>
      <w:r w:rsidRPr="00966664">
        <w:rPr>
          <w:rFonts w:ascii="Verdana" w:hAnsi="Verdana" w:cs="Arial"/>
          <w:sz w:val="20"/>
          <w:szCs w:val="20"/>
        </w:rPr>
        <w:t xml:space="preserve"> koru</w:t>
      </w:r>
      <w:r>
        <w:rPr>
          <w:rFonts w:ascii="Verdana" w:hAnsi="Verdana" w:cs="Arial"/>
          <w:sz w:val="20"/>
          <w:szCs w:val="20"/>
        </w:rPr>
        <w:t>n</w:t>
      </w:r>
      <w:r w:rsidRPr="00966664">
        <w:rPr>
          <w:rFonts w:ascii="Verdana" w:hAnsi="Verdana" w:cs="Arial"/>
          <w:sz w:val="20"/>
          <w:szCs w:val="20"/>
        </w:rPr>
        <w:t>ması</w:t>
      </w:r>
      <w:r>
        <w:rPr>
          <w:rFonts w:ascii="Verdana" w:hAnsi="Verdana" w:cs="Arial"/>
          <w:sz w:val="20"/>
          <w:szCs w:val="20"/>
        </w:rPr>
        <w:t xml:space="preserve"> </w:t>
      </w:r>
      <w:r w:rsidRPr="00966664">
        <w:rPr>
          <w:rFonts w:ascii="Verdana" w:hAnsi="Verdana" w:cs="Arial"/>
          <w:sz w:val="20"/>
          <w:szCs w:val="20"/>
        </w:rPr>
        <w:t xml:space="preserve">ve siber güvenlik gibi alanlarda çeşitli sorunların çözülmesi gerekiyor. </w:t>
      </w:r>
      <w:r>
        <w:rPr>
          <w:rFonts w:ascii="Verdana" w:hAnsi="Verdana" w:cs="Arial"/>
          <w:sz w:val="20"/>
          <w:szCs w:val="20"/>
        </w:rPr>
        <w:t xml:space="preserve">Bunun yanı sıra </w:t>
      </w:r>
      <w:r w:rsidRPr="00966664">
        <w:rPr>
          <w:rFonts w:ascii="Verdana" w:hAnsi="Verdana" w:cs="Arial"/>
          <w:sz w:val="20"/>
          <w:szCs w:val="20"/>
        </w:rPr>
        <w:t>piyasa oyuncuları blok</w:t>
      </w:r>
      <w:r>
        <w:rPr>
          <w:rFonts w:ascii="Verdana" w:hAnsi="Verdana" w:cs="Arial"/>
          <w:sz w:val="20"/>
          <w:szCs w:val="20"/>
        </w:rPr>
        <w:t xml:space="preserve"> </w:t>
      </w:r>
      <w:r w:rsidRPr="00966664">
        <w:rPr>
          <w:rFonts w:ascii="Verdana" w:hAnsi="Verdana" w:cs="Arial"/>
          <w:sz w:val="20"/>
          <w:szCs w:val="20"/>
        </w:rPr>
        <w:t>zincir altyapısını mevcut finansal sistemlerle entegre etmenin karmaşıklığıyla da başa çıkmak zorunda</w:t>
      </w:r>
      <w:r>
        <w:rPr>
          <w:rFonts w:ascii="Verdana" w:hAnsi="Verdana" w:cs="Arial"/>
          <w:sz w:val="20"/>
          <w:szCs w:val="20"/>
        </w:rPr>
        <w:t xml:space="preserve"> kalıyor</w:t>
      </w:r>
      <w:r w:rsidRPr="00966664">
        <w:rPr>
          <w:rFonts w:ascii="Verdana" w:hAnsi="Verdana" w:cs="Arial"/>
          <w:sz w:val="20"/>
          <w:szCs w:val="20"/>
        </w:rPr>
        <w:t>.</w:t>
      </w:r>
    </w:p>
    <w:p w14:paraId="4F5E09B0" w14:textId="77777777" w:rsidR="00966664" w:rsidRPr="00966664" w:rsidRDefault="00966664" w:rsidP="00966664">
      <w:pPr>
        <w:spacing w:after="0" w:line="300" w:lineRule="auto"/>
        <w:contextualSpacing/>
        <w:jc w:val="both"/>
        <w:rPr>
          <w:rFonts w:ascii="Verdana" w:hAnsi="Verdana" w:cs="Arial"/>
          <w:sz w:val="20"/>
          <w:szCs w:val="20"/>
        </w:rPr>
      </w:pPr>
    </w:p>
    <w:p w14:paraId="6AE9312C" w14:textId="2BE17095" w:rsidR="00966664" w:rsidRDefault="00D550BF" w:rsidP="00966664">
      <w:pPr>
        <w:spacing w:after="0" w:line="300" w:lineRule="auto"/>
        <w:contextualSpacing/>
        <w:jc w:val="both"/>
        <w:rPr>
          <w:rFonts w:ascii="Verdana" w:hAnsi="Verdana" w:cs="Arial"/>
          <w:sz w:val="20"/>
          <w:szCs w:val="20"/>
        </w:rPr>
      </w:pPr>
      <w:r>
        <w:rPr>
          <w:rFonts w:ascii="Verdana" w:hAnsi="Verdana" w:cs="Arial"/>
          <w:sz w:val="20"/>
          <w:szCs w:val="20"/>
        </w:rPr>
        <w:t>R</w:t>
      </w:r>
      <w:r w:rsidR="00966664">
        <w:rPr>
          <w:rFonts w:ascii="Verdana" w:hAnsi="Verdana" w:cs="Arial"/>
          <w:sz w:val="20"/>
          <w:szCs w:val="20"/>
        </w:rPr>
        <w:t xml:space="preserve">apor hakkında değerlendirmede </w:t>
      </w:r>
      <w:r w:rsidR="00966664" w:rsidRPr="0049367B">
        <w:rPr>
          <w:rFonts w:ascii="Verdana" w:hAnsi="Verdana" w:cs="Arial"/>
          <w:sz w:val="20"/>
          <w:szCs w:val="20"/>
        </w:rPr>
        <w:t xml:space="preserve">bulunan </w:t>
      </w:r>
      <w:r w:rsidR="00966664" w:rsidRPr="002C1C29">
        <w:rPr>
          <w:rFonts w:ascii="Verdana" w:hAnsi="Verdana"/>
          <w:b/>
          <w:sz w:val="20"/>
        </w:rPr>
        <w:t xml:space="preserve">KPMG Türkiye </w:t>
      </w:r>
      <w:r w:rsidR="00FF60B2" w:rsidRPr="0049367B">
        <w:rPr>
          <w:rFonts w:ascii="Verdana" w:hAnsi="Verdana" w:cs="Arial"/>
          <w:b/>
          <w:bCs/>
          <w:sz w:val="20"/>
          <w:szCs w:val="20"/>
        </w:rPr>
        <w:t>Fintech ve Dijital Finans Lideri, Şirket Ortağı Sinem Cantürk</w:t>
      </w:r>
      <w:r w:rsidR="00966664" w:rsidRPr="0049367B">
        <w:rPr>
          <w:rFonts w:ascii="Verdana" w:hAnsi="Verdana" w:cs="Arial"/>
          <w:sz w:val="20"/>
          <w:szCs w:val="20"/>
        </w:rPr>
        <w:t>,</w:t>
      </w:r>
      <w:r w:rsidR="00966664">
        <w:rPr>
          <w:rFonts w:ascii="Verdana" w:hAnsi="Verdana" w:cs="Arial"/>
          <w:sz w:val="20"/>
          <w:szCs w:val="20"/>
        </w:rPr>
        <w:t xml:space="preserve"> “</w:t>
      </w:r>
      <w:r w:rsidR="00827A92" w:rsidRPr="00966664">
        <w:rPr>
          <w:rFonts w:ascii="Verdana" w:hAnsi="Verdana" w:cs="Arial"/>
          <w:sz w:val="20"/>
          <w:szCs w:val="20"/>
        </w:rPr>
        <w:t xml:space="preserve">Finansal ekosistem giderek dijitalleşirken, </w:t>
      </w:r>
      <w:r w:rsidR="00D547B4">
        <w:rPr>
          <w:rFonts w:ascii="Verdana" w:hAnsi="Verdana" w:cs="Arial"/>
          <w:sz w:val="20"/>
          <w:szCs w:val="20"/>
        </w:rPr>
        <w:t xml:space="preserve">tokenizasyonun </w:t>
      </w:r>
      <w:r w:rsidR="00827A92" w:rsidRPr="00966664">
        <w:rPr>
          <w:rFonts w:ascii="Verdana" w:hAnsi="Verdana" w:cs="Arial"/>
          <w:sz w:val="20"/>
          <w:szCs w:val="20"/>
        </w:rPr>
        <w:t>sermayeye erişim, yatırım ve yönetim biçimlerini yeniden tanımlamada öncü bir rol üstlenmesi bekleniyor.</w:t>
      </w:r>
      <w:r w:rsidR="00827A92">
        <w:rPr>
          <w:rFonts w:ascii="Verdana" w:hAnsi="Verdana" w:cs="Arial"/>
          <w:sz w:val="20"/>
          <w:szCs w:val="20"/>
        </w:rPr>
        <w:t xml:space="preserve"> </w:t>
      </w:r>
      <w:r w:rsidR="00966664" w:rsidRPr="00966664">
        <w:rPr>
          <w:rFonts w:ascii="Verdana" w:hAnsi="Verdana" w:cs="Arial"/>
          <w:sz w:val="20"/>
          <w:szCs w:val="20"/>
        </w:rPr>
        <w:t>Bu rapor</w:t>
      </w:r>
      <w:r w:rsidR="00966664">
        <w:rPr>
          <w:rFonts w:ascii="Verdana" w:hAnsi="Verdana" w:cs="Arial"/>
          <w:sz w:val="20"/>
          <w:szCs w:val="20"/>
        </w:rPr>
        <w:t>umuz</w:t>
      </w:r>
      <w:r w:rsidR="00966664" w:rsidRPr="00966664">
        <w:rPr>
          <w:rFonts w:ascii="Verdana" w:hAnsi="Verdana" w:cs="Arial"/>
          <w:sz w:val="20"/>
          <w:szCs w:val="20"/>
        </w:rPr>
        <w:t>, alternatif</w:t>
      </w:r>
      <w:r w:rsidR="00827A92">
        <w:rPr>
          <w:rFonts w:ascii="Verdana" w:hAnsi="Verdana" w:cs="Arial"/>
          <w:sz w:val="20"/>
          <w:szCs w:val="20"/>
        </w:rPr>
        <w:t xml:space="preserve"> yatırımların</w:t>
      </w:r>
      <w:r w:rsidR="00966664" w:rsidRPr="00966664">
        <w:rPr>
          <w:rFonts w:ascii="Verdana" w:hAnsi="Verdana" w:cs="Arial"/>
          <w:sz w:val="20"/>
          <w:szCs w:val="20"/>
        </w:rPr>
        <w:t xml:space="preserve"> </w:t>
      </w:r>
      <w:r w:rsidR="00D547B4">
        <w:rPr>
          <w:rFonts w:ascii="Verdana" w:hAnsi="Verdana" w:cs="Arial"/>
          <w:sz w:val="20"/>
          <w:szCs w:val="20"/>
        </w:rPr>
        <w:t xml:space="preserve">tokenize edilmesinin </w:t>
      </w:r>
      <w:r w:rsidR="00966664" w:rsidRPr="00966664">
        <w:rPr>
          <w:rFonts w:ascii="Verdana" w:hAnsi="Verdana" w:cs="Arial"/>
          <w:sz w:val="20"/>
          <w:szCs w:val="20"/>
        </w:rPr>
        <w:t>mevcut durumunu ve gelecekteki potansiyelini</w:t>
      </w:r>
      <w:r w:rsidR="00827A92">
        <w:rPr>
          <w:rFonts w:ascii="Verdana" w:hAnsi="Verdana" w:cs="Arial"/>
          <w:sz w:val="20"/>
          <w:szCs w:val="20"/>
        </w:rPr>
        <w:t xml:space="preserve"> ortaya koyuyor. Ö</w:t>
      </w:r>
      <w:r w:rsidR="00966664" w:rsidRPr="00966664">
        <w:rPr>
          <w:rFonts w:ascii="Verdana" w:hAnsi="Verdana" w:cs="Arial"/>
          <w:sz w:val="20"/>
          <w:szCs w:val="20"/>
        </w:rPr>
        <w:t xml:space="preserve">zellikle yatırım fonlarının </w:t>
      </w:r>
      <w:r w:rsidR="00D547B4">
        <w:rPr>
          <w:rFonts w:ascii="Verdana" w:hAnsi="Verdana" w:cs="Arial"/>
          <w:sz w:val="20"/>
          <w:szCs w:val="20"/>
        </w:rPr>
        <w:t xml:space="preserve">tokenize edilmesi </w:t>
      </w:r>
      <w:r w:rsidR="00966664" w:rsidRPr="00966664">
        <w:rPr>
          <w:rFonts w:ascii="Verdana" w:hAnsi="Verdana" w:cs="Arial"/>
          <w:sz w:val="20"/>
          <w:szCs w:val="20"/>
        </w:rPr>
        <w:t>yoluyla blok</w:t>
      </w:r>
      <w:r w:rsidR="00827A92">
        <w:rPr>
          <w:rFonts w:ascii="Verdana" w:hAnsi="Verdana" w:cs="Arial"/>
          <w:sz w:val="20"/>
          <w:szCs w:val="20"/>
        </w:rPr>
        <w:t xml:space="preserve"> </w:t>
      </w:r>
      <w:r w:rsidR="00966664" w:rsidRPr="00966664">
        <w:rPr>
          <w:rFonts w:ascii="Verdana" w:hAnsi="Verdana" w:cs="Arial"/>
          <w:sz w:val="20"/>
          <w:szCs w:val="20"/>
        </w:rPr>
        <w:t>zincir teknolojisinin uygulanmasın</w:t>
      </w:r>
      <w:r w:rsidR="00827A92">
        <w:rPr>
          <w:rFonts w:ascii="Verdana" w:hAnsi="Verdana" w:cs="Arial"/>
          <w:sz w:val="20"/>
          <w:szCs w:val="20"/>
        </w:rPr>
        <w:t xml:space="preserve">a değiniliyor. </w:t>
      </w:r>
      <w:r w:rsidR="00966664" w:rsidRPr="00966664">
        <w:rPr>
          <w:rFonts w:ascii="Verdana" w:hAnsi="Verdana" w:cs="Arial"/>
          <w:sz w:val="20"/>
          <w:szCs w:val="20"/>
        </w:rPr>
        <w:t>Rapor</w:t>
      </w:r>
      <w:r w:rsidR="00827A92">
        <w:rPr>
          <w:rFonts w:ascii="Verdana" w:hAnsi="Verdana" w:cs="Arial"/>
          <w:sz w:val="20"/>
          <w:szCs w:val="20"/>
        </w:rPr>
        <w:t>umuz</w:t>
      </w:r>
      <w:r w:rsidR="00966664" w:rsidRPr="00966664">
        <w:rPr>
          <w:rFonts w:ascii="Verdana" w:hAnsi="Verdana" w:cs="Arial"/>
          <w:sz w:val="20"/>
          <w:szCs w:val="20"/>
        </w:rPr>
        <w:t xml:space="preserve">da teknolojik ve düzenleyici </w:t>
      </w:r>
      <w:r w:rsidR="00827A92">
        <w:rPr>
          <w:rFonts w:ascii="Verdana" w:hAnsi="Verdana" w:cs="Arial"/>
          <w:sz w:val="20"/>
          <w:szCs w:val="20"/>
        </w:rPr>
        <w:t xml:space="preserve">şarlar ve </w:t>
      </w:r>
      <w:r w:rsidR="00966664" w:rsidRPr="00966664">
        <w:rPr>
          <w:rFonts w:ascii="Verdana" w:hAnsi="Verdana" w:cs="Arial"/>
          <w:sz w:val="20"/>
          <w:szCs w:val="20"/>
        </w:rPr>
        <w:t xml:space="preserve">piyasa katılımcılarını bekleyen yeni gelişmeler </w:t>
      </w:r>
      <w:r w:rsidR="00827A92">
        <w:rPr>
          <w:rFonts w:ascii="Verdana" w:hAnsi="Verdana" w:cs="Arial"/>
          <w:sz w:val="20"/>
          <w:szCs w:val="20"/>
        </w:rPr>
        <w:t xml:space="preserve">de </w:t>
      </w:r>
      <w:r w:rsidR="00966664" w:rsidRPr="00966664">
        <w:rPr>
          <w:rFonts w:ascii="Verdana" w:hAnsi="Verdana" w:cs="Arial"/>
          <w:sz w:val="20"/>
          <w:szCs w:val="20"/>
        </w:rPr>
        <w:t>inceleniyor.</w:t>
      </w:r>
      <w:r w:rsidR="00827A92">
        <w:rPr>
          <w:rFonts w:ascii="Verdana" w:hAnsi="Verdana" w:cs="Arial"/>
          <w:sz w:val="20"/>
          <w:szCs w:val="20"/>
        </w:rPr>
        <w:t>” dedi.</w:t>
      </w:r>
    </w:p>
    <w:p w14:paraId="7E5CC444" w14:textId="77777777" w:rsidR="00827A92" w:rsidRDefault="00827A92" w:rsidP="00966664">
      <w:pPr>
        <w:spacing w:after="0" w:line="300" w:lineRule="auto"/>
        <w:contextualSpacing/>
        <w:jc w:val="both"/>
        <w:rPr>
          <w:rFonts w:ascii="Verdana" w:hAnsi="Verdana" w:cs="Arial"/>
          <w:sz w:val="20"/>
          <w:szCs w:val="20"/>
        </w:rPr>
      </w:pPr>
    </w:p>
    <w:p w14:paraId="48A2124C" w14:textId="50D64C8F" w:rsidR="00827A92" w:rsidRDefault="00827A92" w:rsidP="00827A92">
      <w:pPr>
        <w:spacing w:after="0" w:line="300" w:lineRule="auto"/>
        <w:contextualSpacing/>
        <w:jc w:val="both"/>
        <w:rPr>
          <w:rFonts w:ascii="Verdana" w:hAnsi="Verdana" w:cs="Arial"/>
          <w:b/>
          <w:bCs/>
          <w:sz w:val="20"/>
          <w:szCs w:val="20"/>
        </w:rPr>
      </w:pPr>
      <w:r w:rsidRPr="3B411B06">
        <w:rPr>
          <w:rFonts w:ascii="Verdana" w:hAnsi="Verdana" w:cs="Arial"/>
          <w:b/>
          <w:bCs/>
          <w:sz w:val="20"/>
          <w:szCs w:val="20"/>
        </w:rPr>
        <w:t xml:space="preserve">Yeni </w:t>
      </w:r>
      <w:r w:rsidR="002C1C29" w:rsidRPr="3B411B06">
        <w:rPr>
          <w:rFonts w:ascii="Verdana" w:hAnsi="Verdana" w:cs="Arial"/>
          <w:b/>
          <w:bCs/>
          <w:sz w:val="20"/>
          <w:szCs w:val="20"/>
        </w:rPr>
        <w:t>n</w:t>
      </w:r>
      <w:r w:rsidRPr="3B411B06">
        <w:rPr>
          <w:rFonts w:ascii="Verdana" w:hAnsi="Verdana" w:cs="Arial"/>
          <w:b/>
          <w:bCs/>
          <w:sz w:val="20"/>
          <w:szCs w:val="20"/>
        </w:rPr>
        <w:t xml:space="preserve">esil </w:t>
      </w:r>
      <w:r w:rsidR="002C1C29" w:rsidRPr="3B411B06">
        <w:rPr>
          <w:rFonts w:ascii="Verdana" w:hAnsi="Verdana" w:cs="Arial"/>
          <w:b/>
          <w:bCs/>
          <w:sz w:val="20"/>
          <w:szCs w:val="20"/>
        </w:rPr>
        <w:t>y</w:t>
      </w:r>
      <w:r w:rsidRPr="3B411B06">
        <w:rPr>
          <w:rFonts w:ascii="Verdana" w:hAnsi="Verdana" w:cs="Arial"/>
          <w:b/>
          <w:bCs/>
          <w:sz w:val="20"/>
          <w:szCs w:val="20"/>
        </w:rPr>
        <w:t xml:space="preserve">atırım </w:t>
      </w:r>
      <w:r w:rsidR="002C1C29" w:rsidRPr="3B411B06">
        <w:rPr>
          <w:rFonts w:ascii="Verdana" w:hAnsi="Verdana" w:cs="Arial"/>
          <w:b/>
          <w:bCs/>
          <w:sz w:val="20"/>
          <w:szCs w:val="20"/>
        </w:rPr>
        <w:t>m</w:t>
      </w:r>
      <w:r w:rsidRPr="3B411B06">
        <w:rPr>
          <w:rFonts w:ascii="Verdana" w:hAnsi="Verdana" w:cs="Arial"/>
          <w:b/>
          <w:bCs/>
          <w:sz w:val="20"/>
          <w:szCs w:val="20"/>
        </w:rPr>
        <w:t>odelleri</w:t>
      </w:r>
    </w:p>
    <w:p w14:paraId="66821749" w14:textId="1AE993D4" w:rsidR="0049367B" w:rsidRDefault="00827A92" w:rsidP="3B411B06">
      <w:pPr>
        <w:spacing w:after="0" w:line="300" w:lineRule="auto"/>
        <w:contextualSpacing/>
        <w:jc w:val="both"/>
        <w:rPr>
          <w:rFonts w:ascii="Verdana" w:hAnsi="Verdana" w:cs="Arial"/>
          <w:sz w:val="20"/>
          <w:szCs w:val="20"/>
        </w:rPr>
      </w:pPr>
      <w:r w:rsidRPr="3B411B06">
        <w:rPr>
          <w:rFonts w:ascii="Verdana" w:hAnsi="Verdana" w:cs="Arial"/>
          <w:sz w:val="20"/>
          <w:szCs w:val="20"/>
        </w:rPr>
        <w:t xml:space="preserve">Raporda, biri Fon Tokenleri (Fund Tokens) ve diğeri Alternatif Varlık Tokenleri (Alternative Asset Tokens) olmak üzere iki temel </w:t>
      </w:r>
      <w:proofErr w:type="spellStart"/>
      <w:r w:rsidRPr="3B411B06">
        <w:rPr>
          <w:rFonts w:ascii="Verdana" w:hAnsi="Verdana" w:cs="Arial"/>
          <w:sz w:val="20"/>
          <w:szCs w:val="20"/>
        </w:rPr>
        <w:t>tokenizasyon</w:t>
      </w:r>
      <w:proofErr w:type="spellEnd"/>
      <w:r w:rsidRPr="3B411B06">
        <w:rPr>
          <w:rFonts w:ascii="Verdana" w:hAnsi="Verdana" w:cs="Arial"/>
          <w:sz w:val="20"/>
          <w:szCs w:val="20"/>
        </w:rPr>
        <w:t xml:space="preserve"> modeline dikkat çeki</w:t>
      </w:r>
      <w:r w:rsidR="0049367B" w:rsidRPr="3B411B06">
        <w:rPr>
          <w:rFonts w:ascii="Verdana" w:hAnsi="Verdana" w:cs="Arial"/>
          <w:sz w:val="20"/>
          <w:szCs w:val="20"/>
        </w:rPr>
        <w:t>liyor</w:t>
      </w:r>
      <w:r w:rsidRPr="3B411B06">
        <w:rPr>
          <w:rFonts w:ascii="Verdana" w:hAnsi="Verdana" w:cs="Arial"/>
          <w:sz w:val="20"/>
          <w:szCs w:val="20"/>
        </w:rPr>
        <w:t>.</w:t>
      </w:r>
    </w:p>
    <w:p w14:paraId="5E278F36" w14:textId="77777777" w:rsidR="0049367B" w:rsidRDefault="0049367B" w:rsidP="00827A92">
      <w:pPr>
        <w:spacing w:after="0" w:line="300" w:lineRule="auto"/>
        <w:contextualSpacing/>
        <w:jc w:val="both"/>
        <w:rPr>
          <w:rFonts w:ascii="Verdana" w:hAnsi="Verdana" w:cs="Arial"/>
          <w:sz w:val="20"/>
          <w:szCs w:val="20"/>
        </w:rPr>
      </w:pPr>
    </w:p>
    <w:p w14:paraId="533A6A8B" w14:textId="373E279A" w:rsidR="00827A92" w:rsidRDefault="00827A92" w:rsidP="00827A92">
      <w:pPr>
        <w:spacing w:after="0" w:line="300" w:lineRule="auto"/>
        <w:contextualSpacing/>
        <w:jc w:val="both"/>
        <w:rPr>
          <w:rFonts w:ascii="Verdana" w:hAnsi="Verdana" w:cs="Arial"/>
          <w:sz w:val="20"/>
          <w:szCs w:val="20"/>
        </w:rPr>
      </w:pPr>
      <w:r w:rsidRPr="00827A92">
        <w:rPr>
          <w:rFonts w:ascii="Verdana" w:hAnsi="Verdana" w:cs="Arial"/>
          <w:sz w:val="20"/>
          <w:szCs w:val="20"/>
        </w:rPr>
        <w:t>Fon tokenl</w:t>
      </w:r>
      <w:r>
        <w:rPr>
          <w:rFonts w:ascii="Verdana" w:hAnsi="Verdana" w:cs="Arial"/>
          <w:sz w:val="20"/>
          <w:szCs w:val="20"/>
        </w:rPr>
        <w:t>eri</w:t>
      </w:r>
      <w:r w:rsidRPr="00827A92">
        <w:rPr>
          <w:rFonts w:ascii="Verdana" w:hAnsi="Verdana" w:cs="Arial"/>
          <w:sz w:val="20"/>
          <w:szCs w:val="20"/>
        </w:rPr>
        <w:t>, fon paylarının dijital zincir üzerinde temsil edilmesini sağlarken</w:t>
      </w:r>
      <w:r w:rsidR="00AC41E6">
        <w:rPr>
          <w:rFonts w:ascii="Verdana" w:hAnsi="Verdana" w:cs="Arial"/>
          <w:sz w:val="20"/>
          <w:szCs w:val="20"/>
        </w:rPr>
        <w:t>,</w:t>
      </w:r>
      <w:r w:rsidRPr="00827A92">
        <w:rPr>
          <w:rFonts w:ascii="Verdana" w:hAnsi="Verdana" w:cs="Arial"/>
          <w:sz w:val="20"/>
          <w:szCs w:val="20"/>
        </w:rPr>
        <w:t xml:space="preserve"> alternatif varlık tokenl</w:t>
      </w:r>
      <w:r w:rsidR="00AC41E6">
        <w:rPr>
          <w:rFonts w:ascii="Verdana" w:hAnsi="Verdana" w:cs="Arial"/>
          <w:sz w:val="20"/>
          <w:szCs w:val="20"/>
        </w:rPr>
        <w:t>eri</w:t>
      </w:r>
      <w:r w:rsidRPr="00827A92">
        <w:rPr>
          <w:rFonts w:ascii="Verdana" w:hAnsi="Verdana" w:cs="Arial"/>
          <w:sz w:val="20"/>
          <w:szCs w:val="20"/>
        </w:rPr>
        <w:t>, doğrudan varlıkların dijitalleştirilmesini mümkün kılıyor.</w:t>
      </w:r>
    </w:p>
    <w:p w14:paraId="00178C79" w14:textId="44CD04C4" w:rsidR="00AC41E6" w:rsidRPr="00AC41E6" w:rsidRDefault="00AC41E6" w:rsidP="00AE1908">
      <w:pPr>
        <w:pStyle w:val="ListeParagraf"/>
        <w:numPr>
          <w:ilvl w:val="0"/>
          <w:numId w:val="5"/>
        </w:numPr>
        <w:spacing w:after="0" w:line="300" w:lineRule="auto"/>
        <w:jc w:val="both"/>
        <w:rPr>
          <w:rFonts w:ascii="Verdana" w:hAnsi="Verdana" w:cs="Arial"/>
          <w:sz w:val="20"/>
          <w:szCs w:val="20"/>
        </w:rPr>
      </w:pPr>
      <w:r w:rsidRPr="00AC41E6">
        <w:rPr>
          <w:rFonts w:ascii="Verdana" w:hAnsi="Verdana" w:cs="Arial"/>
          <w:b/>
          <w:bCs/>
          <w:sz w:val="20"/>
          <w:szCs w:val="20"/>
        </w:rPr>
        <w:lastRenderedPageBreak/>
        <w:t>Fon Tokenleri</w:t>
      </w:r>
      <w:r w:rsidRPr="00AC41E6">
        <w:rPr>
          <w:rFonts w:ascii="Verdana" w:hAnsi="Verdana" w:cs="Arial"/>
          <w:sz w:val="20"/>
          <w:szCs w:val="20"/>
        </w:rPr>
        <w:t>: Fon paylarının, dijital zincir üzerindeki pay sertifikalarını temsil eden tokenlere dönüştürülmesini sağlıyor. Tokenler, hedge fonlarda veya özel piyasa fonlarındaki payları temsil edebiliyor. Akıllı sözleşmeler sayesinde; sermaye çağrısı, geri alım gibi işlemler otomatikleştirilebili</w:t>
      </w:r>
      <w:r>
        <w:rPr>
          <w:rFonts w:ascii="Verdana" w:hAnsi="Verdana" w:cs="Arial"/>
          <w:sz w:val="20"/>
          <w:szCs w:val="20"/>
        </w:rPr>
        <w:t>yor</w:t>
      </w:r>
      <w:r w:rsidRPr="00AC41E6">
        <w:rPr>
          <w:rFonts w:ascii="Verdana" w:hAnsi="Verdana" w:cs="Arial"/>
          <w:sz w:val="20"/>
          <w:szCs w:val="20"/>
        </w:rPr>
        <w:t>. Fon token</w:t>
      </w:r>
      <w:r>
        <w:rPr>
          <w:rFonts w:ascii="Verdana" w:hAnsi="Verdana" w:cs="Arial"/>
          <w:sz w:val="20"/>
          <w:szCs w:val="20"/>
        </w:rPr>
        <w:t>leri</w:t>
      </w:r>
      <w:r w:rsidRPr="00AC41E6">
        <w:rPr>
          <w:rFonts w:ascii="Verdana" w:hAnsi="Verdana" w:cs="Arial"/>
          <w:sz w:val="20"/>
          <w:szCs w:val="20"/>
        </w:rPr>
        <w:t>, genellikle geleneksel kayıt sistemleri yerine blok</w:t>
      </w:r>
      <w:r>
        <w:rPr>
          <w:rFonts w:ascii="Verdana" w:hAnsi="Verdana" w:cs="Arial"/>
          <w:sz w:val="20"/>
          <w:szCs w:val="20"/>
        </w:rPr>
        <w:t xml:space="preserve"> </w:t>
      </w:r>
      <w:r w:rsidRPr="00AC41E6">
        <w:rPr>
          <w:rFonts w:ascii="Verdana" w:hAnsi="Verdana" w:cs="Arial"/>
          <w:sz w:val="20"/>
          <w:szCs w:val="20"/>
        </w:rPr>
        <w:t>zincir</w:t>
      </w:r>
      <w:r>
        <w:rPr>
          <w:rFonts w:ascii="Verdana" w:hAnsi="Verdana" w:cs="Arial"/>
          <w:sz w:val="20"/>
          <w:szCs w:val="20"/>
        </w:rPr>
        <w:t>i</w:t>
      </w:r>
      <w:r w:rsidRPr="00AC41E6">
        <w:rPr>
          <w:rFonts w:ascii="Verdana" w:hAnsi="Verdana" w:cs="Arial"/>
          <w:sz w:val="20"/>
          <w:szCs w:val="20"/>
        </w:rPr>
        <w:t xml:space="preserve"> üzerinde alınıp satılı</w:t>
      </w:r>
      <w:r>
        <w:rPr>
          <w:rFonts w:ascii="Verdana" w:hAnsi="Verdana" w:cs="Arial"/>
          <w:sz w:val="20"/>
          <w:szCs w:val="20"/>
        </w:rPr>
        <w:t>yor</w:t>
      </w:r>
      <w:r w:rsidRPr="00AC41E6">
        <w:rPr>
          <w:rFonts w:ascii="Verdana" w:hAnsi="Verdana" w:cs="Arial"/>
          <w:sz w:val="20"/>
          <w:szCs w:val="20"/>
        </w:rPr>
        <w:t xml:space="preserve"> ve kaydedili</w:t>
      </w:r>
      <w:r>
        <w:rPr>
          <w:rFonts w:ascii="Verdana" w:hAnsi="Verdana" w:cs="Arial"/>
          <w:sz w:val="20"/>
          <w:szCs w:val="20"/>
        </w:rPr>
        <w:t>yor</w:t>
      </w:r>
      <w:r w:rsidRPr="00AC41E6">
        <w:rPr>
          <w:rFonts w:ascii="Verdana" w:hAnsi="Verdana" w:cs="Arial"/>
          <w:sz w:val="20"/>
          <w:szCs w:val="20"/>
        </w:rPr>
        <w:t>.</w:t>
      </w:r>
    </w:p>
    <w:p w14:paraId="03B93F92" w14:textId="3CFE12C4" w:rsidR="00AC41E6" w:rsidRPr="00AC41E6" w:rsidRDefault="00AC41E6" w:rsidP="00AC41E6">
      <w:pPr>
        <w:pStyle w:val="ListeParagraf"/>
        <w:numPr>
          <w:ilvl w:val="0"/>
          <w:numId w:val="5"/>
        </w:numPr>
        <w:spacing w:after="0" w:line="300" w:lineRule="auto"/>
        <w:jc w:val="both"/>
        <w:rPr>
          <w:rFonts w:ascii="Verdana" w:hAnsi="Verdana" w:cs="Arial"/>
          <w:sz w:val="20"/>
          <w:szCs w:val="20"/>
        </w:rPr>
      </w:pPr>
      <w:r w:rsidRPr="002C1C29">
        <w:rPr>
          <w:rFonts w:ascii="Verdana" w:hAnsi="Verdana"/>
          <w:b/>
          <w:sz w:val="20"/>
        </w:rPr>
        <w:t>Alternatif Varlık Tokenleri</w:t>
      </w:r>
      <w:r w:rsidRPr="00AC41E6">
        <w:rPr>
          <w:rFonts w:ascii="Verdana" w:hAnsi="Verdana" w:cs="Arial"/>
          <w:sz w:val="20"/>
          <w:szCs w:val="20"/>
        </w:rPr>
        <w:t>: Temel varlıkların doğrudan tokenleştirilmesiyle, bireysel işlem dağıtımı, ortak yatırımlar ve portföylerin kişiselleştirilmesi mümkün olu</w:t>
      </w:r>
      <w:r>
        <w:rPr>
          <w:rFonts w:ascii="Verdana" w:hAnsi="Verdana" w:cs="Arial"/>
          <w:sz w:val="20"/>
          <w:szCs w:val="20"/>
        </w:rPr>
        <w:t>yor</w:t>
      </w:r>
      <w:r w:rsidRPr="00AC41E6">
        <w:rPr>
          <w:rFonts w:ascii="Verdana" w:hAnsi="Verdana" w:cs="Arial"/>
          <w:sz w:val="20"/>
          <w:szCs w:val="20"/>
        </w:rPr>
        <w:t>. Bu token</w:t>
      </w:r>
      <w:r>
        <w:rPr>
          <w:rFonts w:ascii="Verdana" w:hAnsi="Verdana" w:cs="Arial"/>
          <w:sz w:val="20"/>
          <w:szCs w:val="20"/>
        </w:rPr>
        <w:t>ler</w:t>
      </w:r>
      <w:r w:rsidRPr="00AC41E6">
        <w:rPr>
          <w:rFonts w:ascii="Verdana" w:hAnsi="Verdana" w:cs="Arial"/>
          <w:sz w:val="20"/>
          <w:szCs w:val="20"/>
        </w:rPr>
        <w:t xml:space="preserve">, geleneksel olarak likit olmayan varlıklarda doğrudan sahiplik haklarını ve gelecekteki ekonomik faydalara ilişkin hakları temsil </w:t>
      </w:r>
      <w:r>
        <w:rPr>
          <w:rFonts w:ascii="Verdana" w:hAnsi="Verdana" w:cs="Arial"/>
          <w:sz w:val="20"/>
          <w:szCs w:val="20"/>
        </w:rPr>
        <w:t>ediyor</w:t>
      </w:r>
      <w:r w:rsidRPr="00AC41E6">
        <w:rPr>
          <w:rFonts w:ascii="Verdana" w:hAnsi="Verdana" w:cs="Arial"/>
          <w:sz w:val="20"/>
          <w:szCs w:val="20"/>
        </w:rPr>
        <w:t>.</w:t>
      </w:r>
    </w:p>
    <w:p w14:paraId="606A6651" w14:textId="77777777" w:rsidR="00AC41E6" w:rsidRDefault="00AC41E6" w:rsidP="00827A92">
      <w:pPr>
        <w:spacing w:after="0" w:line="300" w:lineRule="auto"/>
        <w:contextualSpacing/>
        <w:jc w:val="both"/>
        <w:rPr>
          <w:rFonts w:ascii="Verdana" w:hAnsi="Verdana" w:cs="Arial"/>
          <w:sz w:val="20"/>
          <w:szCs w:val="20"/>
        </w:rPr>
      </w:pPr>
    </w:p>
    <w:p w14:paraId="18D7FEAF" w14:textId="4D818244" w:rsidR="00E76A34" w:rsidRDefault="0049367B" w:rsidP="00063287">
      <w:pPr>
        <w:spacing w:after="0" w:line="300" w:lineRule="auto"/>
        <w:contextualSpacing/>
        <w:jc w:val="both"/>
        <w:rPr>
          <w:rFonts w:ascii="Verdana" w:hAnsi="Verdana" w:cs="Arial"/>
          <w:sz w:val="20"/>
          <w:szCs w:val="20"/>
        </w:rPr>
      </w:pPr>
      <w:r>
        <w:rPr>
          <w:rFonts w:ascii="Verdana" w:hAnsi="Verdana" w:cs="Arial"/>
          <w:sz w:val="20"/>
          <w:szCs w:val="20"/>
        </w:rPr>
        <w:t xml:space="preserve">Yeni bir yatırım modeli olarak </w:t>
      </w:r>
      <w:r w:rsidR="00AC41E6">
        <w:rPr>
          <w:rFonts w:ascii="Verdana" w:hAnsi="Verdana" w:cs="Arial"/>
          <w:sz w:val="20"/>
          <w:szCs w:val="20"/>
        </w:rPr>
        <w:t>tokenler</w:t>
      </w:r>
      <w:r w:rsidR="00AC41E6" w:rsidRPr="00AC41E6">
        <w:rPr>
          <w:rFonts w:ascii="Verdana" w:hAnsi="Verdana" w:cs="Arial"/>
          <w:sz w:val="20"/>
          <w:szCs w:val="20"/>
        </w:rPr>
        <w:t xml:space="preserve">, geleneksel sahiplik belgelerine kıyasla </w:t>
      </w:r>
      <w:r w:rsidR="00AC41E6" w:rsidRPr="002C1C29">
        <w:rPr>
          <w:rFonts w:ascii="Verdana" w:hAnsi="Verdana"/>
          <w:b/>
          <w:sz w:val="20"/>
        </w:rPr>
        <w:t>bölünebilirlik</w:t>
      </w:r>
      <w:r w:rsidR="00AC41E6" w:rsidRPr="00AC41E6">
        <w:rPr>
          <w:rFonts w:ascii="Verdana" w:hAnsi="Verdana" w:cs="Arial"/>
          <w:sz w:val="20"/>
          <w:szCs w:val="20"/>
        </w:rPr>
        <w:t xml:space="preserve">, </w:t>
      </w:r>
      <w:r w:rsidR="00AC41E6" w:rsidRPr="002C1C29">
        <w:rPr>
          <w:rFonts w:ascii="Verdana" w:hAnsi="Verdana"/>
          <w:b/>
          <w:sz w:val="20"/>
        </w:rPr>
        <w:t>programlanabilirlik</w:t>
      </w:r>
      <w:r w:rsidR="00AC41E6" w:rsidRPr="00AC41E6">
        <w:rPr>
          <w:rFonts w:ascii="Verdana" w:hAnsi="Verdana" w:cs="Arial"/>
          <w:sz w:val="20"/>
          <w:szCs w:val="20"/>
        </w:rPr>
        <w:t xml:space="preserve">, </w:t>
      </w:r>
      <w:r w:rsidR="00AC41E6" w:rsidRPr="002C1C29">
        <w:rPr>
          <w:rFonts w:ascii="Verdana" w:hAnsi="Verdana"/>
          <w:b/>
          <w:sz w:val="20"/>
        </w:rPr>
        <w:t>birleştirilebilirlik</w:t>
      </w:r>
      <w:r w:rsidR="00AC41E6" w:rsidRPr="00AC41E6">
        <w:rPr>
          <w:rFonts w:ascii="Verdana" w:hAnsi="Verdana" w:cs="Arial"/>
          <w:sz w:val="20"/>
          <w:szCs w:val="20"/>
        </w:rPr>
        <w:t xml:space="preserve"> ve </w:t>
      </w:r>
      <w:r w:rsidR="00AC41E6" w:rsidRPr="002C1C29">
        <w:rPr>
          <w:rFonts w:ascii="Verdana" w:hAnsi="Verdana"/>
          <w:b/>
          <w:sz w:val="20"/>
        </w:rPr>
        <w:t>değiştirilemezlik</w:t>
      </w:r>
      <w:r w:rsidR="00AC41E6" w:rsidRPr="00AC41E6">
        <w:rPr>
          <w:rFonts w:ascii="Verdana" w:hAnsi="Verdana" w:cs="Arial"/>
          <w:sz w:val="20"/>
          <w:szCs w:val="20"/>
        </w:rPr>
        <w:t xml:space="preserve"> gibi özellikler</w:t>
      </w:r>
      <w:r>
        <w:rPr>
          <w:rFonts w:ascii="Verdana" w:hAnsi="Verdana" w:cs="Arial"/>
          <w:sz w:val="20"/>
          <w:szCs w:val="20"/>
        </w:rPr>
        <w:t xml:space="preserve">i nedeniyle, </w:t>
      </w:r>
      <w:r w:rsidR="00AC41E6" w:rsidRPr="00AC41E6">
        <w:rPr>
          <w:rFonts w:ascii="Verdana" w:hAnsi="Verdana" w:cs="Arial"/>
          <w:sz w:val="20"/>
          <w:szCs w:val="20"/>
        </w:rPr>
        <w:t>yatırım yöneticileri, yatırımcılar ve fon hizmet sağlayıcıları için çeşitli avantajlar sağlayabili</w:t>
      </w:r>
      <w:r w:rsidR="00AC41E6">
        <w:rPr>
          <w:rFonts w:ascii="Verdana" w:hAnsi="Verdana" w:cs="Arial"/>
          <w:sz w:val="20"/>
          <w:szCs w:val="20"/>
        </w:rPr>
        <w:t>yor</w:t>
      </w:r>
      <w:r w:rsidR="00AC41E6" w:rsidRPr="00AC41E6">
        <w:rPr>
          <w:rFonts w:ascii="Verdana" w:hAnsi="Verdana" w:cs="Arial"/>
          <w:sz w:val="20"/>
          <w:szCs w:val="20"/>
        </w:rPr>
        <w:t>.</w:t>
      </w:r>
    </w:p>
    <w:p w14:paraId="15AAE8AB" w14:textId="77777777" w:rsidR="00AC41E6" w:rsidRDefault="00AC41E6" w:rsidP="00063287">
      <w:pPr>
        <w:spacing w:after="0" w:line="300" w:lineRule="auto"/>
        <w:contextualSpacing/>
        <w:jc w:val="both"/>
        <w:rPr>
          <w:rFonts w:ascii="Verdana" w:hAnsi="Verdana" w:cs="Arial"/>
          <w:sz w:val="20"/>
          <w:szCs w:val="20"/>
        </w:rPr>
      </w:pPr>
    </w:p>
    <w:p w14:paraId="723B9E58" w14:textId="1FD4B3B9" w:rsidR="00AC41E6" w:rsidRPr="00AC41E6" w:rsidRDefault="00AC41E6" w:rsidP="00063287">
      <w:pPr>
        <w:spacing w:after="0" w:line="300" w:lineRule="auto"/>
        <w:contextualSpacing/>
        <w:jc w:val="both"/>
        <w:rPr>
          <w:rFonts w:ascii="Verdana" w:hAnsi="Verdana" w:cs="Arial"/>
          <w:b/>
          <w:bCs/>
          <w:sz w:val="20"/>
          <w:szCs w:val="20"/>
        </w:rPr>
      </w:pPr>
      <w:r w:rsidRPr="3B411B06">
        <w:rPr>
          <w:rFonts w:ascii="Verdana" w:hAnsi="Verdana" w:cs="Arial"/>
          <w:b/>
          <w:bCs/>
          <w:sz w:val="20"/>
          <w:szCs w:val="20"/>
        </w:rPr>
        <w:t>Şeffaflık</w:t>
      </w:r>
      <w:r w:rsidR="00D550BF" w:rsidRPr="3B411B06">
        <w:rPr>
          <w:rFonts w:ascii="Verdana" w:hAnsi="Verdana" w:cs="Arial"/>
          <w:b/>
          <w:bCs/>
          <w:sz w:val="20"/>
          <w:szCs w:val="20"/>
        </w:rPr>
        <w:t xml:space="preserve"> ve</w:t>
      </w:r>
      <w:r w:rsidRPr="3B411B06">
        <w:rPr>
          <w:rFonts w:ascii="Verdana" w:hAnsi="Verdana" w:cs="Arial"/>
          <w:b/>
          <w:bCs/>
          <w:sz w:val="20"/>
          <w:szCs w:val="20"/>
        </w:rPr>
        <w:t xml:space="preserve"> </w:t>
      </w:r>
      <w:r w:rsidR="002C1C29" w:rsidRPr="3B411B06">
        <w:rPr>
          <w:rFonts w:ascii="Verdana" w:hAnsi="Verdana" w:cs="Arial"/>
          <w:b/>
          <w:bCs/>
          <w:sz w:val="20"/>
          <w:szCs w:val="20"/>
        </w:rPr>
        <w:t>likidite</w:t>
      </w:r>
    </w:p>
    <w:p w14:paraId="27AF3C5D" w14:textId="030F023B" w:rsidR="00AC41E6" w:rsidRDefault="00AC41E6" w:rsidP="00063287">
      <w:pPr>
        <w:spacing w:after="0" w:line="300" w:lineRule="auto"/>
        <w:contextualSpacing/>
        <w:jc w:val="both"/>
        <w:rPr>
          <w:rFonts w:ascii="Verdana" w:hAnsi="Verdana" w:cs="Arial"/>
          <w:sz w:val="20"/>
          <w:szCs w:val="20"/>
        </w:rPr>
      </w:pPr>
      <w:r w:rsidRPr="00AC41E6">
        <w:rPr>
          <w:rFonts w:ascii="Verdana" w:hAnsi="Verdana" w:cs="Arial"/>
          <w:sz w:val="20"/>
          <w:szCs w:val="20"/>
        </w:rPr>
        <w:t>Rapor, blok</w:t>
      </w:r>
      <w:r>
        <w:rPr>
          <w:rFonts w:ascii="Verdana" w:hAnsi="Verdana" w:cs="Arial"/>
          <w:sz w:val="20"/>
          <w:szCs w:val="20"/>
        </w:rPr>
        <w:t xml:space="preserve"> </w:t>
      </w:r>
      <w:r w:rsidRPr="00AC41E6">
        <w:rPr>
          <w:rFonts w:ascii="Verdana" w:hAnsi="Verdana" w:cs="Arial"/>
          <w:sz w:val="20"/>
          <w:szCs w:val="20"/>
        </w:rPr>
        <w:t xml:space="preserve">zincirin sağladığı değiştirilemez kayıt yapısının yatırımcı güvenini artırdığını ve fiyat keşfini kolaylaştırdığını </w:t>
      </w:r>
      <w:r>
        <w:rPr>
          <w:rFonts w:ascii="Verdana" w:hAnsi="Verdana" w:cs="Arial"/>
          <w:sz w:val="20"/>
          <w:szCs w:val="20"/>
        </w:rPr>
        <w:t xml:space="preserve">da </w:t>
      </w:r>
      <w:r w:rsidRPr="00AC41E6">
        <w:rPr>
          <w:rFonts w:ascii="Verdana" w:hAnsi="Verdana" w:cs="Arial"/>
          <w:sz w:val="20"/>
          <w:szCs w:val="20"/>
        </w:rPr>
        <w:t>belirtiyor. Böylece, yatırımcılar portföy performanslarını gerçek zamanlı olarak izleyebiliyor.</w:t>
      </w:r>
      <w:r>
        <w:rPr>
          <w:rFonts w:ascii="Verdana" w:hAnsi="Verdana" w:cs="Arial"/>
          <w:sz w:val="20"/>
          <w:szCs w:val="20"/>
        </w:rPr>
        <w:t xml:space="preserve"> </w:t>
      </w:r>
      <w:r w:rsidR="00E27DD4" w:rsidRPr="00E27DD4">
        <w:rPr>
          <w:rFonts w:ascii="Verdana" w:hAnsi="Verdana" w:cs="Arial"/>
          <w:sz w:val="20"/>
          <w:szCs w:val="20"/>
        </w:rPr>
        <w:t>Geleneksel yöntemlerde, alternatif fonlar portföy varlıkları ve net varlık değeri (NAV) gibi bilgileri sadece mevcut yatırımcıları ve uygun görülen potansiyel yatırımcılarla özel olarak paylaşı</w:t>
      </w:r>
      <w:r w:rsidR="00E27DD4">
        <w:rPr>
          <w:rFonts w:ascii="Verdana" w:hAnsi="Verdana" w:cs="Arial"/>
          <w:sz w:val="20"/>
          <w:szCs w:val="20"/>
        </w:rPr>
        <w:t>yor</w:t>
      </w:r>
      <w:r w:rsidR="00E27DD4" w:rsidRPr="00E27DD4">
        <w:rPr>
          <w:rFonts w:ascii="Verdana" w:hAnsi="Verdana" w:cs="Arial"/>
          <w:sz w:val="20"/>
          <w:szCs w:val="20"/>
        </w:rPr>
        <w:t>. Ayrıca, raporlamalar genellikle sadece çeyrek ya da yıl sonu finansal tablolar tamamlandıktan sonra yapılı</w:t>
      </w:r>
      <w:r w:rsidR="00E27DD4">
        <w:rPr>
          <w:rFonts w:ascii="Verdana" w:hAnsi="Verdana" w:cs="Arial"/>
          <w:sz w:val="20"/>
          <w:szCs w:val="20"/>
        </w:rPr>
        <w:t>yor</w:t>
      </w:r>
      <w:r w:rsidR="00E27DD4" w:rsidRPr="00E27DD4">
        <w:rPr>
          <w:rFonts w:ascii="Verdana" w:hAnsi="Verdana" w:cs="Arial"/>
          <w:sz w:val="20"/>
          <w:szCs w:val="20"/>
        </w:rPr>
        <w:t>.</w:t>
      </w:r>
      <w:r w:rsidR="00E27DD4">
        <w:rPr>
          <w:rFonts w:ascii="Verdana" w:hAnsi="Verdana" w:cs="Arial"/>
          <w:sz w:val="20"/>
          <w:szCs w:val="20"/>
        </w:rPr>
        <w:t xml:space="preserve"> Buna karşın b</w:t>
      </w:r>
      <w:r w:rsidRPr="00AC41E6">
        <w:rPr>
          <w:rFonts w:ascii="Verdana" w:hAnsi="Verdana" w:cs="Arial"/>
          <w:sz w:val="20"/>
          <w:szCs w:val="20"/>
        </w:rPr>
        <w:t>lok</w:t>
      </w:r>
      <w:r>
        <w:rPr>
          <w:rFonts w:ascii="Verdana" w:hAnsi="Verdana" w:cs="Arial"/>
          <w:sz w:val="20"/>
          <w:szCs w:val="20"/>
        </w:rPr>
        <w:t xml:space="preserve"> </w:t>
      </w:r>
      <w:r w:rsidRPr="00AC41E6">
        <w:rPr>
          <w:rFonts w:ascii="Verdana" w:hAnsi="Verdana" w:cs="Arial"/>
          <w:sz w:val="20"/>
          <w:szCs w:val="20"/>
        </w:rPr>
        <w:t>zincir</w:t>
      </w:r>
      <w:r>
        <w:rPr>
          <w:rFonts w:ascii="Verdana" w:hAnsi="Verdana" w:cs="Arial"/>
          <w:sz w:val="20"/>
          <w:szCs w:val="20"/>
        </w:rPr>
        <w:t>i</w:t>
      </w:r>
      <w:r w:rsidRPr="00AC41E6">
        <w:rPr>
          <w:rFonts w:ascii="Verdana" w:hAnsi="Verdana" w:cs="Arial"/>
          <w:sz w:val="20"/>
          <w:szCs w:val="20"/>
        </w:rPr>
        <w:t xml:space="preserve"> teknolojisi, aracıların ya da ihraççıların raporlamasına gerek kalmadan, varlık sahipliği ve işlem geçmişinin paylaşılan ve değiştirilemez bir kaydını gerçek zamanlı olarak </w:t>
      </w:r>
      <w:r w:rsidR="00E27DD4">
        <w:rPr>
          <w:rFonts w:ascii="Verdana" w:hAnsi="Verdana" w:cs="Arial"/>
          <w:sz w:val="20"/>
          <w:szCs w:val="20"/>
        </w:rPr>
        <w:t>sunuyor</w:t>
      </w:r>
      <w:r w:rsidRPr="00AC41E6">
        <w:rPr>
          <w:rFonts w:ascii="Verdana" w:hAnsi="Verdana" w:cs="Arial"/>
          <w:sz w:val="20"/>
          <w:szCs w:val="20"/>
        </w:rPr>
        <w:t>.</w:t>
      </w:r>
      <w:r w:rsidR="00E27DD4">
        <w:rPr>
          <w:rFonts w:ascii="Verdana" w:hAnsi="Verdana" w:cs="Arial"/>
          <w:sz w:val="20"/>
          <w:szCs w:val="20"/>
        </w:rPr>
        <w:t xml:space="preserve"> </w:t>
      </w:r>
      <w:r w:rsidRPr="00AC41E6">
        <w:rPr>
          <w:rFonts w:ascii="Verdana" w:hAnsi="Verdana" w:cs="Arial"/>
          <w:sz w:val="20"/>
          <w:szCs w:val="20"/>
        </w:rPr>
        <w:t>Zincir üzerindeki verilerin erişilebilir olması, piyasalarda fiyat oluşumunu kolaylaştı</w:t>
      </w:r>
      <w:r w:rsidR="0049367B">
        <w:rPr>
          <w:rFonts w:ascii="Verdana" w:hAnsi="Verdana" w:cs="Arial"/>
          <w:sz w:val="20"/>
          <w:szCs w:val="20"/>
        </w:rPr>
        <w:t>rıyor</w:t>
      </w:r>
      <w:r w:rsidRPr="00AC41E6">
        <w:rPr>
          <w:rFonts w:ascii="Verdana" w:hAnsi="Verdana" w:cs="Arial"/>
          <w:sz w:val="20"/>
          <w:szCs w:val="20"/>
        </w:rPr>
        <w:t xml:space="preserve"> ve katılımcılar arasındaki bilgi </w:t>
      </w:r>
      <w:r w:rsidR="00E27DD4">
        <w:rPr>
          <w:rFonts w:ascii="Verdana" w:hAnsi="Verdana" w:cs="Arial"/>
          <w:sz w:val="20"/>
          <w:szCs w:val="20"/>
        </w:rPr>
        <w:t>eşitsizliğini azaltıyor</w:t>
      </w:r>
      <w:r w:rsidRPr="00AC41E6">
        <w:rPr>
          <w:rFonts w:ascii="Verdana" w:hAnsi="Verdana" w:cs="Arial"/>
          <w:sz w:val="20"/>
          <w:szCs w:val="20"/>
        </w:rPr>
        <w:t>.</w:t>
      </w:r>
    </w:p>
    <w:p w14:paraId="7E8FDAD6" w14:textId="77777777" w:rsidR="00E27DD4" w:rsidRDefault="00E27DD4" w:rsidP="00063287">
      <w:pPr>
        <w:spacing w:after="0" w:line="300" w:lineRule="auto"/>
        <w:contextualSpacing/>
        <w:jc w:val="both"/>
        <w:rPr>
          <w:rFonts w:ascii="Verdana" w:hAnsi="Verdana" w:cs="Arial"/>
          <w:sz w:val="20"/>
          <w:szCs w:val="20"/>
        </w:rPr>
      </w:pPr>
    </w:p>
    <w:p w14:paraId="6325B63B" w14:textId="6DDF8A82" w:rsidR="00E27DD4" w:rsidRDefault="00E27DD4" w:rsidP="00063287">
      <w:pPr>
        <w:spacing w:after="0" w:line="300" w:lineRule="auto"/>
        <w:contextualSpacing/>
        <w:jc w:val="both"/>
        <w:rPr>
          <w:rFonts w:ascii="Verdana" w:hAnsi="Verdana" w:cs="Arial"/>
          <w:sz w:val="20"/>
          <w:szCs w:val="20"/>
        </w:rPr>
      </w:pPr>
      <w:r w:rsidRPr="00E27DD4">
        <w:rPr>
          <w:rFonts w:ascii="Verdana" w:hAnsi="Verdana" w:cs="Arial"/>
          <w:sz w:val="20"/>
          <w:szCs w:val="20"/>
        </w:rPr>
        <w:t xml:space="preserve">Likidite açısından tokenizasyonun sunduğu avantajlar da </w:t>
      </w:r>
      <w:r>
        <w:rPr>
          <w:rFonts w:ascii="Verdana" w:hAnsi="Verdana" w:cs="Arial"/>
          <w:sz w:val="20"/>
          <w:szCs w:val="20"/>
        </w:rPr>
        <w:t xml:space="preserve">raporda </w:t>
      </w:r>
      <w:r w:rsidRPr="00E27DD4">
        <w:rPr>
          <w:rFonts w:ascii="Verdana" w:hAnsi="Verdana" w:cs="Arial"/>
          <w:sz w:val="20"/>
          <w:szCs w:val="20"/>
        </w:rPr>
        <w:t xml:space="preserve">dikkat </w:t>
      </w:r>
      <w:r>
        <w:rPr>
          <w:rFonts w:ascii="Verdana" w:hAnsi="Verdana" w:cs="Arial"/>
          <w:sz w:val="20"/>
          <w:szCs w:val="20"/>
        </w:rPr>
        <w:t>çekilen diğer bir konu</w:t>
      </w:r>
      <w:r w:rsidRPr="00E27DD4">
        <w:rPr>
          <w:rFonts w:ascii="Verdana" w:hAnsi="Verdana" w:cs="Arial"/>
          <w:sz w:val="20"/>
          <w:szCs w:val="20"/>
        </w:rPr>
        <w:t>. Likidite, hem çıkış yapmak isteyen yatırım yöneticileri</w:t>
      </w:r>
      <w:r w:rsidR="0049367B">
        <w:rPr>
          <w:rFonts w:ascii="Verdana" w:hAnsi="Verdana" w:cs="Arial"/>
          <w:sz w:val="20"/>
          <w:szCs w:val="20"/>
        </w:rPr>
        <w:t>,</w:t>
      </w:r>
      <w:r w:rsidRPr="00E27DD4">
        <w:rPr>
          <w:rFonts w:ascii="Verdana" w:hAnsi="Verdana" w:cs="Arial"/>
          <w:sz w:val="20"/>
          <w:szCs w:val="20"/>
        </w:rPr>
        <w:t xml:space="preserve"> hem de elindeki varlıkları ya da fon paylarını satmak isteyen yatırımcılar için uzun süredir önemli bir sorun. Bu durum, özellikle likit olmayan varlıklardan oluşan portföylerde daha da belirgin. Ancak, token</w:t>
      </w:r>
      <w:r>
        <w:rPr>
          <w:rFonts w:ascii="Verdana" w:hAnsi="Verdana" w:cs="Arial"/>
          <w:sz w:val="20"/>
          <w:szCs w:val="20"/>
        </w:rPr>
        <w:t xml:space="preserve">lerin </w:t>
      </w:r>
      <w:r w:rsidRPr="00E27DD4">
        <w:rPr>
          <w:rFonts w:ascii="Verdana" w:hAnsi="Verdana" w:cs="Arial"/>
          <w:sz w:val="20"/>
          <w:szCs w:val="20"/>
        </w:rPr>
        <w:t>sahip olduğu bazı özellikler</w:t>
      </w:r>
      <w:r>
        <w:rPr>
          <w:rFonts w:ascii="Verdana" w:hAnsi="Verdana" w:cs="Arial"/>
          <w:sz w:val="20"/>
          <w:szCs w:val="20"/>
        </w:rPr>
        <w:t>in</w:t>
      </w:r>
      <w:r w:rsidRPr="00E27DD4">
        <w:rPr>
          <w:rFonts w:ascii="Verdana" w:hAnsi="Verdana" w:cs="Arial"/>
          <w:sz w:val="20"/>
          <w:szCs w:val="20"/>
        </w:rPr>
        <w:t>, ileride bu varlık sınıfının likiditesini artırmaya yardımcı olabil</w:t>
      </w:r>
      <w:r>
        <w:rPr>
          <w:rFonts w:ascii="Verdana" w:hAnsi="Verdana" w:cs="Arial"/>
          <w:sz w:val="20"/>
          <w:szCs w:val="20"/>
        </w:rPr>
        <w:t>eceği değerlendiriliyor</w:t>
      </w:r>
      <w:r w:rsidRPr="00E27DD4">
        <w:rPr>
          <w:rFonts w:ascii="Verdana" w:hAnsi="Verdana" w:cs="Arial"/>
          <w:sz w:val="20"/>
          <w:szCs w:val="20"/>
        </w:rPr>
        <w:t>. Bu</w:t>
      </w:r>
      <w:r>
        <w:rPr>
          <w:rFonts w:ascii="Verdana" w:hAnsi="Verdana" w:cs="Arial"/>
          <w:sz w:val="20"/>
          <w:szCs w:val="20"/>
        </w:rPr>
        <w:t xml:space="preserve">nlar </w:t>
      </w:r>
      <w:r w:rsidRPr="00E27DD4">
        <w:rPr>
          <w:rFonts w:ascii="Verdana" w:hAnsi="Verdana" w:cs="Arial"/>
          <w:sz w:val="20"/>
          <w:szCs w:val="20"/>
        </w:rPr>
        <w:t xml:space="preserve">arasında </w:t>
      </w:r>
      <w:r>
        <w:rPr>
          <w:rFonts w:ascii="Verdana" w:hAnsi="Verdana" w:cs="Arial"/>
          <w:sz w:val="20"/>
          <w:szCs w:val="20"/>
        </w:rPr>
        <w:t>b</w:t>
      </w:r>
      <w:r w:rsidRPr="00E27DD4">
        <w:rPr>
          <w:rFonts w:ascii="Verdana" w:hAnsi="Verdana" w:cs="Arial"/>
          <w:sz w:val="20"/>
          <w:szCs w:val="20"/>
        </w:rPr>
        <w:t xml:space="preserve">ölünebilir mülkiyet, 7/24 erişim ve düşük işlem maliyetleri </w:t>
      </w:r>
      <w:r>
        <w:rPr>
          <w:rFonts w:ascii="Verdana" w:hAnsi="Verdana" w:cs="Arial"/>
          <w:sz w:val="20"/>
          <w:szCs w:val="20"/>
        </w:rPr>
        <w:t xml:space="preserve">gibi </w:t>
      </w:r>
      <w:r w:rsidRPr="00E27DD4">
        <w:rPr>
          <w:rFonts w:ascii="Verdana" w:hAnsi="Verdana" w:cs="Arial"/>
          <w:sz w:val="20"/>
          <w:szCs w:val="20"/>
        </w:rPr>
        <w:t>yatırımcılar</w:t>
      </w:r>
      <w:r>
        <w:rPr>
          <w:rFonts w:ascii="Verdana" w:hAnsi="Verdana" w:cs="Arial"/>
          <w:sz w:val="20"/>
          <w:szCs w:val="20"/>
        </w:rPr>
        <w:t>ın</w:t>
      </w:r>
      <w:r w:rsidRPr="00E27DD4">
        <w:rPr>
          <w:rFonts w:ascii="Verdana" w:hAnsi="Verdana" w:cs="Arial"/>
          <w:sz w:val="20"/>
          <w:szCs w:val="20"/>
        </w:rPr>
        <w:t xml:space="preserve"> portföylerini daha etkin şekilde yönet</w:t>
      </w:r>
      <w:r>
        <w:rPr>
          <w:rFonts w:ascii="Verdana" w:hAnsi="Verdana" w:cs="Arial"/>
          <w:sz w:val="20"/>
          <w:szCs w:val="20"/>
        </w:rPr>
        <w:t>mesini sağlayacak özellikler yer alıyor</w:t>
      </w:r>
      <w:r w:rsidRPr="00E27DD4">
        <w:rPr>
          <w:rFonts w:ascii="Verdana" w:hAnsi="Verdana" w:cs="Arial"/>
          <w:sz w:val="20"/>
          <w:szCs w:val="20"/>
        </w:rPr>
        <w:t>.</w:t>
      </w:r>
      <w:r>
        <w:rPr>
          <w:rFonts w:ascii="Verdana" w:hAnsi="Verdana" w:cs="Arial"/>
          <w:sz w:val="20"/>
          <w:szCs w:val="20"/>
        </w:rPr>
        <w:t xml:space="preserve"> </w:t>
      </w:r>
    </w:p>
    <w:p w14:paraId="4F41C1F1" w14:textId="77777777" w:rsidR="00E27DD4" w:rsidRDefault="00E27DD4" w:rsidP="00063287">
      <w:pPr>
        <w:spacing w:after="0" w:line="300" w:lineRule="auto"/>
        <w:contextualSpacing/>
        <w:jc w:val="both"/>
        <w:rPr>
          <w:rFonts w:ascii="Verdana" w:hAnsi="Verdana" w:cs="Arial"/>
          <w:sz w:val="20"/>
          <w:szCs w:val="20"/>
        </w:rPr>
      </w:pPr>
    </w:p>
    <w:p w14:paraId="20B46DF1" w14:textId="251E7A86" w:rsidR="00E27DD4" w:rsidRPr="00E27DD4" w:rsidRDefault="00E27DD4" w:rsidP="00E27DD4">
      <w:pPr>
        <w:spacing w:after="0" w:line="300" w:lineRule="auto"/>
        <w:contextualSpacing/>
        <w:jc w:val="both"/>
        <w:rPr>
          <w:rFonts w:ascii="Verdana" w:hAnsi="Verdana" w:cs="Arial"/>
          <w:b/>
          <w:bCs/>
          <w:sz w:val="20"/>
          <w:szCs w:val="20"/>
        </w:rPr>
      </w:pPr>
      <w:r w:rsidRPr="3B411B06">
        <w:rPr>
          <w:rFonts w:ascii="Verdana" w:hAnsi="Verdana" w:cs="Arial"/>
          <w:b/>
          <w:bCs/>
          <w:sz w:val="20"/>
          <w:szCs w:val="20"/>
        </w:rPr>
        <w:t xml:space="preserve">Regülasyon ve </w:t>
      </w:r>
      <w:r w:rsidR="002C1C29" w:rsidRPr="3B411B06">
        <w:rPr>
          <w:rFonts w:ascii="Verdana" w:hAnsi="Verdana" w:cs="Arial"/>
          <w:b/>
          <w:bCs/>
          <w:sz w:val="20"/>
          <w:szCs w:val="20"/>
        </w:rPr>
        <w:t>hukuki çerçeve</w:t>
      </w:r>
    </w:p>
    <w:p w14:paraId="05F7CEA4" w14:textId="2F95A794" w:rsidR="00E27DD4" w:rsidRDefault="00E27DD4" w:rsidP="00E27DD4">
      <w:pPr>
        <w:spacing w:after="0" w:line="300" w:lineRule="auto"/>
        <w:contextualSpacing/>
        <w:jc w:val="both"/>
        <w:rPr>
          <w:rFonts w:ascii="Verdana" w:hAnsi="Verdana" w:cs="Arial"/>
          <w:sz w:val="20"/>
          <w:szCs w:val="20"/>
        </w:rPr>
      </w:pPr>
      <w:r w:rsidRPr="3B411B06">
        <w:rPr>
          <w:rFonts w:ascii="Verdana" w:hAnsi="Verdana" w:cs="Arial"/>
          <w:sz w:val="20"/>
          <w:szCs w:val="20"/>
        </w:rPr>
        <w:t xml:space="preserve">Küresel düzenleyicilerin tokenizasyon konusundaki ilgisinin hızla arttığını da ortaya koyan rapora göre </w:t>
      </w:r>
      <w:r w:rsidR="00572405" w:rsidRPr="3B411B06">
        <w:rPr>
          <w:rFonts w:ascii="Verdana" w:hAnsi="Verdana" w:cs="Arial"/>
          <w:sz w:val="20"/>
          <w:szCs w:val="20"/>
        </w:rPr>
        <w:t xml:space="preserve">dünyanın </w:t>
      </w:r>
      <w:r w:rsidRPr="3B411B06">
        <w:rPr>
          <w:rFonts w:ascii="Verdana" w:hAnsi="Verdana" w:cs="Arial"/>
          <w:sz w:val="20"/>
          <w:szCs w:val="20"/>
        </w:rPr>
        <w:t xml:space="preserve">önde gelen </w:t>
      </w:r>
      <w:r w:rsidR="00572405" w:rsidRPr="3B411B06">
        <w:rPr>
          <w:rFonts w:ascii="Verdana" w:hAnsi="Verdana" w:cs="Arial"/>
          <w:sz w:val="20"/>
          <w:szCs w:val="20"/>
        </w:rPr>
        <w:t xml:space="preserve">düzenleyici </w:t>
      </w:r>
      <w:r w:rsidRPr="3B411B06">
        <w:rPr>
          <w:rFonts w:ascii="Verdana" w:hAnsi="Verdana" w:cs="Arial"/>
          <w:sz w:val="20"/>
          <w:szCs w:val="20"/>
        </w:rPr>
        <w:t>kurumlar</w:t>
      </w:r>
      <w:r w:rsidR="00572405" w:rsidRPr="3B411B06">
        <w:rPr>
          <w:rFonts w:ascii="Verdana" w:hAnsi="Verdana" w:cs="Arial"/>
          <w:sz w:val="20"/>
          <w:szCs w:val="20"/>
        </w:rPr>
        <w:t>ı</w:t>
      </w:r>
      <w:r w:rsidRPr="3B411B06">
        <w:rPr>
          <w:rFonts w:ascii="Verdana" w:hAnsi="Verdana" w:cs="Arial"/>
          <w:sz w:val="20"/>
          <w:szCs w:val="20"/>
        </w:rPr>
        <w:t>, finansal inovasyonu destekleyen ortak girişimlerde bir araya geliyor</w:t>
      </w:r>
      <w:r w:rsidR="00C92A5A" w:rsidRPr="3B411B06">
        <w:rPr>
          <w:rFonts w:ascii="Verdana" w:hAnsi="Verdana" w:cs="Arial"/>
          <w:sz w:val="20"/>
          <w:szCs w:val="20"/>
        </w:rPr>
        <w:t>lar</w:t>
      </w:r>
      <w:r w:rsidRPr="3B411B06">
        <w:rPr>
          <w:rFonts w:ascii="Verdana" w:hAnsi="Verdana" w:cs="Arial"/>
          <w:sz w:val="20"/>
          <w:szCs w:val="20"/>
        </w:rPr>
        <w:t>.</w:t>
      </w:r>
      <w:r w:rsidR="00572405" w:rsidRPr="3B411B06">
        <w:rPr>
          <w:rFonts w:ascii="Verdana" w:hAnsi="Verdana" w:cs="Arial"/>
          <w:sz w:val="20"/>
          <w:szCs w:val="20"/>
        </w:rPr>
        <w:t xml:space="preserve"> Bu kurumlar artık tokenleştirmenin getireceği faydaları kabul ediyorlar, fakat aynı zamanda </w:t>
      </w:r>
      <w:r w:rsidR="00C92A5A" w:rsidRPr="3B411B06">
        <w:rPr>
          <w:rFonts w:ascii="Verdana" w:hAnsi="Verdana" w:cs="Arial"/>
          <w:sz w:val="20"/>
          <w:szCs w:val="20"/>
        </w:rPr>
        <w:t xml:space="preserve">da </w:t>
      </w:r>
      <w:r w:rsidR="00572405" w:rsidRPr="3B411B06">
        <w:rPr>
          <w:rFonts w:ascii="Verdana" w:hAnsi="Verdana" w:cs="Arial"/>
          <w:sz w:val="20"/>
          <w:szCs w:val="20"/>
        </w:rPr>
        <w:t>bu yeniliklerin güçlü bir yasal ve uyum çerçevesi içinde uygulanmasının zorunlu olduğunu vurguluyorlar.</w:t>
      </w:r>
    </w:p>
    <w:p w14:paraId="49D8442E" w14:textId="77777777" w:rsidR="00572405" w:rsidRDefault="00572405" w:rsidP="00E27DD4">
      <w:pPr>
        <w:spacing w:after="0" w:line="300" w:lineRule="auto"/>
        <w:contextualSpacing/>
        <w:jc w:val="both"/>
        <w:rPr>
          <w:rFonts w:ascii="Verdana" w:hAnsi="Verdana" w:cs="Arial"/>
          <w:sz w:val="20"/>
          <w:szCs w:val="20"/>
        </w:rPr>
      </w:pPr>
    </w:p>
    <w:p w14:paraId="557E18D4" w14:textId="13D6173F" w:rsidR="00C92A5A" w:rsidRPr="00C92A5A" w:rsidRDefault="00C92A5A" w:rsidP="00E27DD4">
      <w:pPr>
        <w:spacing w:after="0" w:line="300" w:lineRule="auto"/>
        <w:contextualSpacing/>
        <w:jc w:val="both"/>
        <w:rPr>
          <w:rFonts w:ascii="Verdana" w:hAnsi="Verdana" w:cs="Arial"/>
          <w:b/>
          <w:bCs/>
          <w:sz w:val="20"/>
          <w:szCs w:val="20"/>
        </w:rPr>
      </w:pPr>
      <w:r w:rsidRPr="3B411B06">
        <w:rPr>
          <w:rFonts w:ascii="Verdana" w:hAnsi="Verdana" w:cs="Arial"/>
          <w:b/>
          <w:bCs/>
          <w:sz w:val="20"/>
          <w:szCs w:val="20"/>
        </w:rPr>
        <w:t xml:space="preserve">Varlık </w:t>
      </w:r>
      <w:r w:rsidR="002C1C29" w:rsidRPr="3B411B06">
        <w:rPr>
          <w:rFonts w:ascii="Verdana" w:hAnsi="Verdana" w:cs="Arial"/>
          <w:b/>
          <w:bCs/>
          <w:sz w:val="20"/>
          <w:szCs w:val="20"/>
        </w:rPr>
        <w:t xml:space="preserve">yönetiminin </w:t>
      </w:r>
      <w:r w:rsidR="0390C7A6" w:rsidRPr="3B411B06">
        <w:rPr>
          <w:rFonts w:ascii="Verdana" w:hAnsi="Verdana" w:cs="Arial"/>
          <w:b/>
          <w:bCs/>
          <w:sz w:val="20"/>
          <w:szCs w:val="20"/>
        </w:rPr>
        <w:t>g</w:t>
      </w:r>
      <w:r w:rsidR="002C1C29" w:rsidRPr="3B411B06">
        <w:rPr>
          <w:rFonts w:ascii="Verdana" w:hAnsi="Verdana" w:cs="Arial"/>
          <w:b/>
          <w:bCs/>
          <w:sz w:val="20"/>
          <w:szCs w:val="20"/>
        </w:rPr>
        <w:t>eleceği</w:t>
      </w:r>
    </w:p>
    <w:p w14:paraId="6E698770" w14:textId="571CC556" w:rsidR="00C92A5A" w:rsidRDefault="00572405" w:rsidP="00572405">
      <w:pPr>
        <w:spacing w:after="0" w:line="300" w:lineRule="auto"/>
        <w:contextualSpacing/>
        <w:jc w:val="both"/>
        <w:rPr>
          <w:rFonts w:ascii="Verdana" w:hAnsi="Verdana" w:cs="Arial"/>
          <w:sz w:val="20"/>
          <w:szCs w:val="20"/>
        </w:rPr>
      </w:pPr>
      <w:r w:rsidRPr="00572405">
        <w:rPr>
          <w:rFonts w:ascii="Verdana" w:hAnsi="Verdana" w:cs="Arial"/>
          <w:sz w:val="20"/>
          <w:szCs w:val="20"/>
        </w:rPr>
        <w:t>Raporun “</w:t>
      </w:r>
      <w:r>
        <w:rPr>
          <w:rFonts w:ascii="Verdana" w:hAnsi="Verdana" w:cs="Arial"/>
          <w:sz w:val="20"/>
          <w:szCs w:val="20"/>
        </w:rPr>
        <w:t>Varlık Yönetiminin Geleceği</w:t>
      </w:r>
      <w:r w:rsidRPr="00572405">
        <w:rPr>
          <w:rFonts w:ascii="Verdana" w:hAnsi="Verdana" w:cs="Arial"/>
          <w:sz w:val="20"/>
          <w:szCs w:val="20"/>
        </w:rPr>
        <w:t>” bölümü</w:t>
      </w:r>
      <w:r>
        <w:rPr>
          <w:rFonts w:ascii="Verdana" w:hAnsi="Verdana" w:cs="Arial"/>
          <w:sz w:val="20"/>
          <w:szCs w:val="20"/>
        </w:rPr>
        <w:t xml:space="preserve">nde ise </w:t>
      </w:r>
      <w:r w:rsidRPr="00572405">
        <w:rPr>
          <w:rFonts w:ascii="Verdana" w:hAnsi="Verdana" w:cs="Arial"/>
          <w:sz w:val="20"/>
          <w:szCs w:val="20"/>
        </w:rPr>
        <w:t xml:space="preserve">tokenizasyonun yatırım fonlarında tıpkı geçmişte ETF’lerin yaptığı gibi yapısal bir dönüşüm başlattığı </w:t>
      </w:r>
      <w:r>
        <w:rPr>
          <w:rFonts w:ascii="Verdana" w:hAnsi="Verdana" w:cs="Arial"/>
          <w:sz w:val="20"/>
          <w:szCs w:val="20"/>
        </w:rPr>
        <w:t>belirtiliyor</w:t>
      </w:r>
      <w:r w:rsidRPr="00572405">
        <w:rPr>
          <w:rFonts w:ascii="Verdana" w:hAnsi="Verdana" w:cs="Arial"/>
          <w:sz w:val="20"/>
          <w:szCs w:val="20"/>
        </w:rPr>
        <w:t xml:space="preserve">. Tokenize </w:t>
      </w:r>
      <w:r w:rsidRPr="00572405">
        <w:rPr>
          <w:rFonts w:ascii="Verdana" w:hAnsi="Verdana" w:cs="Arial"/>
          <w:sz w:val="20"/>
          <w:szCs w:val="20"/>
        </w:rPr>
        <w:lastRenderedPageBreak/>
        <w:t>fonlar, yalnızca fon paylarını dijitalleştirmekle kalmıyor, aynı zamanda varlıkların ihraç edilme, saklanma ve işlem görme biçimini de yeniden tanımlıyo</w:t>
      </w:r>
      <w:r>
        <w:rPr>
          <w:rFonts w:ascii="Verdana" w:hAnsi="Verdana" w:cs="Arial"/>
          <w:sz w:val="20"/>
          <w:szCs w:val="20"/>
        </w:rPr>
        <w:t>r.</w:t>
      </w:r>
      <w:r w:rsidRPr="00572405">
        <w:t xml:space="preserve"> </w:t>
      </w:r>
      <w:r w:rsidRPr="00572405">
        <w:rPr>
          <w:rFonts w:ascii="Verdana" w:hAnsi="Verdana" w:cs="Arial"/>
          <w:sz w:val="20"/>
          <w:szCs w:val="20"/>
        </w:rPr>
        <w:t>Yasal çerçevelerini dijital fon yapılarıyla uyumlu hale getiren ülkeler</w:t>
      </w:r>
      <w:r>
        <w:rPr>
          <w:rFonts w:ascii="Verdana" w:hAnsi="Verdana" w:cs="Arial"/>
          <w:sz w:val="20"/>
          <w:szCs w:val="20"/>
        </w:rPr>
        <w:t>in</w:t>
      </w:r>
      <w:r w:rsidRPr="00572405">
        <w:rPr>
          <w:rFonts w:ascii="Verdana" w:hAnsi="Verdana" w:cs="Arial"/>
          <w:sz w:val="20"/>
          <w:szCs w:val="20"/>
        </w:rPr>
        <w:t>, yeni nesil fon ihraçlarının merkezi olma</w:t>
      </w:r>
      <w:r w:rsidR="00C92A5A">
        <w:rPr>
          <w:rFonts w:ascii="Verdana" w:hAnsi="Verdana" w:cs="Arial"/>
          <w:sz w:val="20"/>
          <w:szCs w:val="20"/>
        </w:rPr>
        <w:t>k konusunda</w:t>
      </w:r>
      <w:r w:rsidRPr="00572405">
        <w:rPr>
          <w:rFonts w:ascii="Verdana" w:hAnsi="Verdana" w:cs="Arial"/>
          <w:sz w:val="20"/>
          <w:szCs w:val="20"/>
        </w:rPr>
        <w:t xml:space="preserve"> öne çıkaca</w:t>
      </w:r>
      <w:r>
        <w:rPr>
          <w:rFonts w:ascii="Verdana" w:hAnsi="Verdana" w:cs="Arial"/>
          <w:sz w:val="20"/>
          <w:szCs w:val="20"/>
        </w:rPr>
        <w:t>ğı tahmininde bulunuluyor</w:t>
      </w:r>
      <w:r w:rsidRPr="00572405">
        <w:rPr>
          <w:rFonts w:ascii="Verdana" w:hAnsi="Verdana" w:cs="Arial"/>
          <w:sz w:val="20"/>
          <w:szCs w:val="20"/>
        </w:rPr>
        <w:t xml:space="preserve">. </w:t>
      </w:r>
    </w:p>
    <w:p w14:paraId="305104F1" w14:textId="77777777" w:rsidR="00C92A5A" w:rsidRDefault="00C92A5A" w:rsidP="00572405">
      <w:pPr>
        <w:spacing w:after="0" w:line="300" w:lineRule="auto"/>
        <w:contextualSpacing/>
        <w:jc w:val="both"/>
        <w:rPr>
          <w:rFonts w:ascii="Verdana" w:hAnsi="Verdana" w:cs="Arial"/>
          <w:sz w:val="20"/>
          <w:szCs w:val="20"/>
        </w:rPr>
      </w:pPr>
    </w:p>
    <w:p w14:paraId="4269270A" w14:textId="74EAD6B8" w:rsidR="00572405" w:rsidRDefault="00572405" w:rsidP="00572405">
      <w:pPr>
        <w:spacing w:after="0" w:line="300" w:lineRule="auto"/>
        <w:contextualSpacing/>
        <w:jc w:val="both"/>
        <w:rPr>
          <w:rFonts w:ascii="Verdana" w:hAnsi="Verdana" w:cs="Arial"/>
          <w:sz w:val="20"/>
          <w:szCs w:val="20"/>
        </w:rPr>
      </w:pPr>
      <w:r w:rsidRPr="00572405">
        <w:rPr>
          <w:rFonts w:ascii="Verdana" w:hAnsi="Verdana" w:cs="Arial"/>
          <w:sz w:val="20"/>
          <w:szCs w:val="20"/>
        </w:rPr>
        <w:t>Lüksemburg, bu konuda açık bir örnek sunuyor. Dünyanın ikinci en büyük fon merkezi olan Lüksemburg, blok</w:t>
      </w:r>
      <w:r>
        <w:rPr>
          <w:rFonts w:ascii="Verdana" w:hAnsi="Verdana" w:cs="Arial"/>
          <w:sz w:val="20"/>
          <w:szCs w:val="20"/>
        </w:rPr>
        <w:t xml:space="preserve"> </w:t>
      </w:r>
      <w:r w:rsidRPr="00572405">
        <w:rPr>
          <w:rFonts w:ascii="Verdana" w:hAnsi="Verdana" w:cs="Arial"/>
          <w:sz w:val="20"/>
          <w:szCs w:val="20"/>
        </w:rPr>
        <w:t>zincir</w:t>
      </w:r>
      <w:r>
        <w:rPr>
          <w:rFonts w:ascii="Verdana" w:hAnsi="Verdana" w:cs="Arial"/>
          <w:sz w:val="20"/>
          <w:szCs w:val="20"/>
        </w:rPr>
        <w:t>i</w:t>
      </w:r>
      <w:r w:rsidRPr="00572405">
        <w:rPr>
          <w:rFonts w:ascii="Verdana" w:hAnsi="Verdana" w:cs="Arial"/>
          <w:sz w:val="20"/>
          <w:szCs w:val="20"/>
        </w:rPr>
        <w:t xml:space="preserve"> tabanlı yenilikleri desteklemek için yasal altyapısını güncelledi. Bu adımlar</w:t>
      </w:r>
      <w:r w:rsidR="00C92A5A">
        <w:rPr>
          <w:rFonts w:ascii="Verdana" w:hAnsi="Verdana" w:cs="Arial"/>
          <w:sz w:val="20"/>
          <w:szCs w:val="20"/>
        </w:rPr>
        <w:t xml:space="preserve"> </w:t>
      </w:r>
      <w:r w:rsidRPr="00572405">
        <w:rPr>
          <w:rFonts w:ascii="Verdana" w:hAnsi="Verdana" w:cs="Arial"/>
          <w:sz w:val="20"/>
          <w:szCs w:val="20"/>
        </w:rPr>
        <w:t>Lüksemburg’un tokenleştirilmiş varlık yönetiminde küresel bir merkez olma hedefine</w:t>
      </w:r>
      <w:r>
        <w:rPr>
          <w:rFonts w:ascii="Verdana" w:hAnsi="Verdana" w:cs="Arial"/>
          <w:sz w:val="20"/>
          <w:szCs w:val="20"/>
        </w:rPr>
        <w:t xml:space="preserve"> de</w:t>
      </w:r>
      <w:r w:rsidRPr="00572405">
        <w:rPr>
          <w:rFonts w:ascii="Verdana" w:hAnsi="Verdana" w:cs="Arial"/>
          <w:sz w:val="20"/>
          <w:szCs w:val="20"/>
        </w:rPr>
        <w:t xml:space="preserve"> güç katıyor. </w:t>
      </w:r>
    </w:p>
    <w:p w14:paraId="53828C0A" w14:textId="77777777" w:rsidR="00E27DD4" w:rsidRPr="00063287" w:rsidRDefault="00E27DD4" w:rsidP="00063287">
      <w:pPr>
        <w:spacing w:after="0" w:line="300" w:lineRule="auto"/>
        <w:contextualSpacing/>
        <w:jc w:val="both"/>
        <w:rPr>
          <w:rFonts w:ascii="Verdana" w:hAnsi="Verdana" w:cs="Arial"/>
          <w:sz w:val="20"/>
          <w:szCs w:val="20"/>
        </w:rPr>
      </w:pPr>
    </w:p>
    <w:p w14:paraId="47D1A7ED" w14:textId="1777FF3B" w:rsidR="0028718E" w:rsidRPr="00063287" w:rsidRDefault="0028718E" w:rsidP="00063287">
      <w:pPr>
        <w:spacing w:after="0" w:line="300" w:lineRule="auto"/>
        <w:contextualSpacing/>
        <w:jc w:val="both"/>
        <w:rPr>
          <w:rFonts w:ascii="Verdana" w:hAnsi="Verdana" w:cs="Arial"/>
          <w:sz w:val="20"/>
          <w:szCs w:val="20"/>
        </w:rPr>
      </w:pPr>
      <w:r w:rsidRPr="00F64FE2">
        <w:rPr>
          <w:rFonts w:ascii="Verdana" w:hAnsi="Verdana" w:cs="Arial"/>
          <w:sz w:val="20"/>
          <w:szCs w:val="20"/>
        </w:rPr>
        <w:t xml:space="preserve">Raporun tamamına </w:t>
      </w:r>
      <w:hyperlink r:id="rId13">
        <w:r w:rsidR="006257BE" w:rsidRPr="00F64FE2">
          <w:rPr>
            <w:rStyle w:val="Kpr"/>
            <w:rFonts w:ascii="Verdana" w:hAnsi="Verdana" w:cs="Arial"/>
            <w:sz w:val="20"/>
            <w:szCs w:val="20"/>
          </w:rPr>
          <w:t>buradan</w:t>
        </w:r>
      </w:hyperlink>
      <w:r w:rsidR="006257BE" w:rsidRPr="00F64FE2">
        <w:rPr>
          <w:rFonts w:ascii="Verdana" w:hAnsi="Verdana" w:cs="Arial"/>
          <w:sz w:val="20"/>
          <w:szCs w:val="20"/>
        </w:rPr>
        <w:t xml:space="preserve"> </w:t>
      </w:r>
      <w:r w:rsidRPr="00F64FE2">
        <w:rPr>
          <w:rFonts w:ascii="Verdana" w:hAnsi="Verdana" w:cs="Arial"/>
          <w:sz w:val="20"/>
          <w:szCs w:val="20"/>
        </w:rPr>
        <w:t>ulaşabilirsiniz.</w:t>
      </w:r>
    </w:p>
    <w:p w14:paraId="5D19A030" w14:textId="77777777" w:rsidR="00DB4AB8" w:rsidRPr="006257BE" w:rsidRDefault="00DB4AB8" w:rsidP="00DB4AB8">
      <w:pPr>
        <w:spacing w:after="0" w:line="300" w:lineRule="auto"/>
        <w:contextualSpacing/>
        <w:jc w:val="both"/>
        <w:rPr>
          <w:rFonts w:ascii="Arial" w:hAnsi="Arial" w:cs="Arial"/>
          <w:b/>
          <w:bCs/>
        </w:rPr>
      </w:pPr>
    </w:p>
    <w:p w14:paraId="2D7C6663" w14:textId="77777777" w:rsidR="00803743" w:rsidRPr="0018414C" w:rsidRDefault="00803743" w:rsidP="00803743">
      <w:pPr>
        <w:pStyle w:val="paragraph"/>
        <w:spacing w:before="0" w:beforeAutospacing="0" w:after="0" w:afterAutospacing="0"/>
        <w:jc w:val="both"/>
        <w:textAlignment w:val="baseline"/>
        <w:rPr>
          <w:rFonts w:asciiTheme="minorHAnsi" w:hAnsiTheme="minorHAnsi" w:cstheme="minorBidi"/>
          <w:sz w:val="18"/>
          <w:szCs w:val="18"/>
        </w:rPr>
      </w:pPr>
      <w:r w:rsidRPr="0018414C">
        <w:rPr>
          <w:rStyle w:val="normaltextrun"/>
          <w:rFonts w:asciiTheme="minorHAnsi" w:hAnsiTheme="minorHAnsi" w:cstheme="minorBidi"/>
          <w:b/>
          <w:bCs/>
          <w:sz w:val="18"/>
          <w:szCs w:val="18"/>
        </w:rPr>
        <w:t xml:space="preserve">Bilgi için: </w:t>
      </w:r>
      <w:r w:rsidRPr="0018414C">
        <w:tab/>
      </w:r>
      <w:r w:rsidRPr="0018414C">
        <w:rPr>
          <w:rStyle w:val="eop"/>
          <w:rFonts w:asciiTheme="minorHAnsi" w:hAnsiTheme="minorHAnsi" w:cstheme="minorBidi"/>
          <w:sz w:val="18"/>
          <w:szCs w:val="18"/>
        </w:rPr>
        <w:t> </w:t>
      </w:r>
    </w:p>
    <w:p w14:paraId="1870C1A1" w14:textId="77777777" w:rsidR="00803743" w:rsidRPr="0018414C" w:rsidRDefault="00803743" w:rsidP="00803743">
      <w:pPr>
        <w:pStyle w:val="paragraph"/>
        <w:spacing w:before="0" w:beforeAutospacing="0" w:after="0" w:afterAutospacing="0"/>
        <w:jc w:val="both"/>
        <w:textAlignment w:val="baseline"/>
        <w:rPr>
          <w:rFonts w:asciiTheme="minorHAnsi" w:hAnsiTheme="minorHAnsi" w:cstheme="minorBidi"/>
          <w:sz w:val="18"/>
          <w:szCs w:val="18"/>
        </w:rPr>
      </w:pPr>
      <w:r w:rsidRPr="0018414C">
        <w:rPr>
          <w:rStyle w:val="normaltextrun"/>
          <w:rFonts w:asciiTheme="minorHAnsi" w:hAnsiTheme="minorHAnsi"/>
          <w:color w:val="000000" w:themeColor="text1"/>
          <w:sz w:val="18"/>
        </w:rPr>
        <w:t>Ceren Moral Aru</w:t>
      </w:r>
      <w:r w:rsidRPr="0018414C">
        <w:rPr>
          <w:rStyle w:val="eop"/>
          <w:rFonts w:asciiTheme="minorHAnsi" w:hAnsiTheme="minorHAnsi"/>
          <w:color w:val="000000" w:themeColor="text1"/>
          <w:sz w:val="18"/>
        </w:rPr>
        <w:t> </w:t>
      </w:r>
    </w:p>
    <w:p w14:paraId="38C0F2EA" w14:textId="77777777" w:rsidR="00803743" w:rsidRPr="0018414C" w:rsidRDefault="00803743" w:rsidP="00803743">
      <w:pPr>
        <w:pStyle w:val="paragraph"/>
        <w:spacing w:before="0" w:beforeAutospacing="0" w:after="0" w:afterAutospacing="0"/>
        <w:jc w:val="both"/>
        <w:textAlignment w:val="baseline"/>
        <w:rPr>
          <w:rFonts w:asciiTheme="minorHAnsi" w:hAnsiTheme="minorHAnsi" w:cstheme="minorBidi"/>
          <w:sz w:val="18"/>
          <w:szCs w:val="18"/>
        </w:rPr>
      </w:pPr>
      <w:r w:rsidRPr="0018414C">
        <w:rPr>
          <w:rStyle w:val="normaltextrun"/>
          <w:rFonts w:asciiTheme="minorHAnsi" w:hAnsiTheme="minorHAnsi"/>
          <w:color w:val="000000" w:themeColor="text1"/>
          <w:sz w:val="18"/>
        </w:rPr>
        <w:t>0533 921 43 53</w:t>
      </w:r>
      <w:r w:rsidRPr="0018414C">
        <w:rPr>
          <w:rStyle w:val="eop"/>
          <w:rFonts w:asciiTheme="minorHAnsi" w:hAnsiTheme="minorHAnsi"/>
          <w:color w:val="000000" w:themeColor="text1"/>
          <w:sz w:val="18"/>
        </w:rPr>
        <w:t> </w:t>
      </w:r>
    </w:p>
    <w:p w14:paraId="5D33C20A" w14:textId="77777777" w:rsidR="00803743" w:rsidRPr="0018414C" w:rsidRDefault="00803743" w:rsidP="00803743">
      <w:pPr>
        <w:pStyle w:val="paragraph"/>
        <w:spacing w:before="0" w:beforeAutospacing="0" w:after="0" w:afterAutospacing="0"/>
        <w:jc w:val="both"/>
        <w:textAlignment w:val="baseline"/>
        <w:rPr>
          <w:rFonts w:asciiTheme="minorHAnsi" w:hAnsiTheme="minorHAnsi" w:cstheme="minorBidi"/>
          <w:sz w:val="18"/>
          <w:szCs w:val="18"/>
        </w:rPr>
      </w:pPr>
      <w:r w:rsidRPr="0018414C">
        <w:rPr>
          <w:rStyle w:val="normaltextrun"/>
          <w:rFonts w:asciiTheme="minorHAnsi" w:hAnsiTheme="minorHAnsi"/>
          <w:color w:val="000000" w:themeColor="text1"/>
          <w:sz w:val="18"/>
        </w:rPr>
        <w:t>cerenm@marjinal.com.tr</w:t>
      </w:r>
      <w:r w:rsidRPr="0018414C">
        <w:rPr>
          <w:rStyle w:val="eop"/>
          <w:rFonts w:asciiTheme="minorHAnsi" w:hAnsiTheme="minorHAnsi"/>
          <w:color w:val="000000" w:themeColor="text1"/>
          <w:sz w:val="18"/>
        </w:rPr>
        <w:t> </w:t>
      </w:r>
    </w:p>
    <w:p w14:paraId="25A7DAF7" w14:textId="77777777" w:rsidR="00803743" w:rsidRPr="0018414C" w:rsidRDefault="00803743" w:rsidP="00803743">
      <w:pPr>
        <w:pStyle w:val="paragraph"/>
        <w:spacing w:before="0" w:beforeAutospacing="0" w:after="0" w:afterAutospacing="0"/>
        <w:jc w:val="both"/>
        <w:textAlignment w:val="baseline"/>
        <w:rPr>
          <w:rFonts w:asciiTheme="minorHAnsi" w:hAnsiTheme="minorHAnsi" w:cstheme="minorBidi"/>
          <w:sz w:val="18"/>
          <w:szCs w:val="18"/>
        </w:rPr>
      </w:pPr>
      <w:r w:rsidRPr="0018414C">
        <w:rPr>
          <w:rStyle w:val="eop"/>
          <w:rFonts w:asciiTheme="minorHAnsi" w:hAnsiTheme="minorHAnsi" w:cstheme="minorBidi"/>
          <w:sz w:val="18"/>
          <w:szCs w:val="18"/>
        </w:rPr>
        <w:t> </w:t>
      </w:r>
    </w:p>
    <w:p w14:paraId="33880DB3" w14:textId="77777777" w:rsidR="00803743" w:rsidRPr="0018414C" w:rsidRDefault="00803743" w:rsidP="00803743">
      <w:pPr>
        <w:pStyle w:val="paragraph"/>
        <w:spacing w:before="0" w:beforeAutospacing="0" w:after="0" w:afterAutospacing="0"/>
        <w:contextualSpacing/>
        <w:jc w:val="both"/>
        <w:textAlignment w:val="baseline"/>
        <w:rPr>
          <w:rFonts w:asciiTheme="minorHAnsi" w:hAnsiTheme="minorHAnsi" w:cstheme="minorBidi"/>
          <w:sz w:val="16"/>
          <w:szCs w:val="16"/>
        </w:rPr>
      </w:pPr>
      <w:r w:rsidRPr="0018414C">
        <w:rPr>
          <w:rStyle w:val="normaltextrun"/>
          <w:rFonts w:asciiTheme="minorHAnsi" w:hAnsiTheme="minorHAnsi" w:cstheme="minorBidi"/>
          <w:b/>
          <w:bCs/>
          <w:sz w:val="16"/>
          <w:szCs w:val="16"/>
        </w:rPr>
        <w:t>KPMG Hakkında</w:t>
      </w:r>
      <w:r w:rsidRPr="0018414C">
        <w:rPr>
          <w:rStyle w:val="eop"/>
          <w:rFonts w:asciiTheme="minorHAnsi" w:hAnsiTheme="minorHAnsi" w:cstheme="minorBidi"/>
          <w:sz w:val="16"/>
          <w:szCs w:val="16"/>
        </w:rPr>
        <w:t> </w:t>
      </w:r>
    </w:p>
    <w:p w14:paraId="62516F6D" w14:textId="44B1F987" w:rsidR="00511A4F" w:rsidRDefault="00803743" w:rsidP="00803743">
      <w:pPr>
        <w:pStyle w:val="paragraph"/>
        <w:spacing w:before="0" w:beforeAutospacing="0" w:after="0" w:afterAutospacing="0"/>
        <w:contextualSpacing/>
        <w:jc w:val="both"/>
        <w:textAlignment w:val="baseline"/>
        <w:rPr>
          <w:rStyle w:val="normaltextrun"/>
          <w:rFonts w:asciiTheme="minorHAnsi" w:hAnsiTheme="minorHAnsi" w:cstheme="minorBidi"/>
          <w:color w:val="000000" w:themeColor="text1"/>
          <w:sz w:val="16"/>
          <w:szCs w:val="16"/>
        </w:rPr>
      </w:pPr>
      <w:r w:rsidRPr="0018414C">
        <w:rPr>
          <w:rStyle w:val="normaltextrun"/>
          <w:rFonts w:asciiTheme="minorHAnsi" w:hAnsiTheme="minorHAnsi" w:cstheme="minorBidi"/>
          <w:color w:val="000000" w:themeColor="text1"/>
          <w:sz w:val="16"/>
          <w:szCs w:val="16"/>
        </w:rPr>
        <w:t xml:space="preserve">KPMG, geçmişi 1867 yılına dayanan, üye firmalar ağı sistemiyle 143 ülkede 265 binin üzerinde çalışanıyla faaliyet gösteriyor. Finansal hizmetler, tüketici ürünleri, otomotiv; endüstriyel sektörlerden gıda, perakende, enerji, telekomünikasyon, kimya gibi pek çok sektöre danışmanlık hizmeti sağlıyor. KPMG Türkiye ise İstanbul merkez ofisinin yanı sıra Ankara, İzmir ve Bursa ofisleriyle, 1982 yılından beri yaklaşık 1.700 çalışanıyla her sektörden 4 binin üzerinde firmaya sektörler özelinde hizmet veriyor. 2020 yılında küresel ağın Lighthouse lisansını alarak yeni teknolojilerde dünyadaki mükemmeliyet merkezleri arasına giren KPMG Türkiye, müşterilerine değer yaratan çözümler sunuyor. Detaylı bilgi için </w:t>
      </w:r>
      <w:hyperlink r:id="rId14">
        <w:r w:rsidRPr="0018414C">
          <w:rPr>
            <w:rStyle w:val="Kpr"/>
            <w:rFonts w:asciiTheme="minorHAnsi" w:hAnsiTheme="minorHAnsi" w:cstheme="minorBidi"/>
            <w:sz w:val="16"/>
            <w:szCs w:val="16"/>
          </w:rPr>
          <w:t>www.kpmg.com.tr</w:t>
        </w:r>
      </w:hyperlink>
      <w:r w:rsidRPr="0018414C">
        <w:rPr>
          <w:rStyle w:val="normaltextrun"/>
          <w:rFonts w:asciiTheme="minorHAnsi" w:hAnsiTheme="minorHAnsi" w:cstheme="minorBidi"/>
          <w:color w:val="000000" w:themeColor="text1"/>
          <w:sz w:val="16"/>
          <w:szCs w:val="16"/>
        </w:rPr>
        <w:t xml:space="preserve"> adresine başvurabilirsiniz.</w:t>
      </w:r>
    </w:p>
    <w:p w14:paraId="501995BF" w14:textId="77777777" w:rsidR="00966664" w:rsidRDefault="00966664" w:rsidP="00803743">
      <w:pPr>
        <w:pStyle w:val="paragraph"/>
        <w:spacing w:before="0" w:beforeAutospacing="0" w:after="0" w:afterAutospacing="0"/>
        <w:contextualSpacing/>
        <w:jc w:val="both"/>
        <w:textAlignment w:val="baseline"/>
        <w:rPr>
          <w:rStyle w:val="normaltextrun"/>
          <w:rFonts w:asciiTheme="minorHAnsi" w:hAnsiTheme="minorHAnsi" w:cstheme="minorBidi"/>
          <w:color w:val="000000" w:themeColor="text1"/>
          <w:sz w:val="16"/>
          <w:szCs w:val="16"/>
        </w:rPr>
      </w:pPr>
    </w:p>
    <w:p w14:paraId="07446F10" w14:textId="77777777" w:rsidR="00614C8E" w:rsidRPr="00614C8E" w:rsidRDefault="00614C8E" w:rsidP="00966664">
      <w:pPr>
        <w:pStyle w:val="paragraph"/>
        <w:spacing w:after="0"/>
        <w:contextualSpacing/>
        <w:jc w:val="both"/>
        <w:textAlignment w:val="baseline"/>
        <w:rPr>
          <w:rFonts w:asciiTheme="minorHAnsi" w:hAnsiTheme="minorHAnsi"/>
          <w:b/>
          <w:bCs/>
          <w:sz w:val="16"/>
          <w:szCs w:val="16"/>
        </w:rPr>
      </w:pPr>
      <w:r w:rsidRPr="00614C8E">
        <w:rPr>
          <w:rFonts w:asciiTheme="minorHAnsi" w:hAnsiTheme="minorHAnsi"/>
          <w:b/>
          <w:bCs/>
          <w:sz w:val="16"/>
          <w:szCs w:val="16"/>
        </w:rPr>
        <w:t>AIMA Hakkında</w:t>
      </w:r>
    </w:p>
    <w:p w14:paraId="136CF229" w14:textId="7CE1D494" w:rsidR="00966664" w:rsidRPr="00803743" w:rsidRDefault="00614C8E" w:rsidP="00614C8E">
      <w:pPr>
        <w:pStyle w:val="paragraph"/>
        <w:spacing w:after="0"/>
        <w:contextualSpacing/>
        <w:jc w:val="both"/>
        <w:textAlignment w:val="baseline"/>
        <w:rPr>
          <w:rFonts w:asciiTheme="minorHAnsi" w:hAnsiTheme="minorHAnsi"/>
          <w:sz w:val="16"/>
          <w:szCs w:val="16"/>
        </w:rPr>
      </w:pPr>
      <w:r w:rsidRPr="00614C8E">
        <w:rPr>
          <w:rFonts w:asciiTheme="minorHAnsi" w:hAnsiTheme="minorHAnsi"/>
          <w:sz w:val="16"/>
          <w:szCs w:val="16"/>
        </w:rPr>
        <w:t xml:space="preserve">AIMA, alternatif yatırım yöneticileri için dünyanın en büyük üyelik derneğidir. Üyeleri, başka herhangi bir sektör kuruluşundan daha fazla firmayı ve daha fazla varlığı yönetmektedir ve dünyadaki 10 ofisi aracılığıyla, 60 farklı ülkede 2.000’den fazla üyeye hizmet </w:t>
      </w:r>
      <w:r>
        <w:rPr>
          <w:rFonts w:asciiTheme="minorHAnsi" w:hAnsiTheme="minorHAnsi"/>
          <w:sz w:val="16"/>
          <w:szCs w:val="16"/>
        </w:rPr>
        <w:t xml:space="preserve">vermektedir. </w:t>
      </w:r>
      <w:r w:rsidRPr="00614C8E">
        <w:rPr>
          <w:rFonts w:asciiTheme="minorHAnsi" w:hAnsiTheme="minorHAnsi"/>
          <w:sz w:val="16"/>
          <w:szCs w:val="16"/>
        </w:rPr>
        <w:t>AIMA’nın, özel kredi iştiraki Alternative Credit Council (ACC) ile birlikte, temel misyonu; hedge fonlar, özel piyasa fonları ve dijital varlık fonlarından oluşan sektörü</w:t>
      </w:r>
      <w:r>
        <w:rPr>
          <w:rFonts w:asciiTheme="minorHAnsi" w:hAnsiTheme="minorHAnsi"/>
          <w:sz w:val="16"/>
          <w:szCs w:val="16"/>
        </w:rPr>
        <w:t>n</w:t>
      </w:r>
      <w:r w:rsidRPr="00614C8E">
        <w:rPr>
          <w:rFonts w:asciiTheme="minorHAnsi" w:hAnsiTheme="minorHAnsi"/>
          <w:sz w:val="16"/>
          <w:szCs w:val="16"/>
        </w:rPr>
        <w:t xml:space="preserve"> başarıya en iyi şekilde hazırlanmasını sağlamaktır.</w:t>
      </w:r>
      <w:r>
        <w:rPr>
          <w:rFonts w:asciiTheme="minorHAnsi" w:hAnsiTheme="minorHAnsi"/>
          <w:sz w:val="16"/>
          <w:szCs w:val="16"/>
        </w:rPr>
        <w:t xml:space="preserve"> Daha fazla bilgi için: </w:t>
      </w:r>
      <w:hyperlink r:id="rId15" w:history="1">
        <w:r w:rsidRPr="00C93C78">
          <w:rPr>
            <w:rStyle w:val="Kpr"/>
            <w:rFonts w:asciiTheme="minorHAnsi" w:hAnsiTheme="minorHAnsi"/>
            <w:sz w:val="16"/>
            <w:szCs w:val="16"/>
          </w:rPr>
          <w:t>www.aima.org</w:t>
        </w:r>
      </w:hyperlink>
      <w:r>
        <w:rPr>
          <w:rFonts w:asciiTheme="minorHAnsi" w:hAnsiTheme="minorHAnsi"/>
          <w:sz w:val="16"/>
          <w:szCs w:val="16"/>
        </w:rPr>
        <w:t xml:space="preserve"> </w:t>
      </w:r>
    </w:p>
    <w:sectPr w:rsidR="00966664" w:rsidRPr="00803743" w:rsidSect="00D322B8">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A350" w14:textId="77777777" w:rsidR="00E42218" w:rsidRDefault="00E42218" w:rsidP="00D322B8">
      <w:pPr>
        <w:spacing w:after="0" w:line="240" w:lineRule="auto"/>
      </w:pPr>
      <w:r>
        <w:separator/>
      </w:r>
    </w:p>
  </w:endnote>
  <w:endnote w:type="continuationSeparator" w:id="0">
    <w:p w14:paraId="5BA1234D" w14:textId="77777777" w:rsidR="00E42218" w:rsidRDefault="00E42218" w:rsidP="00D322B8">
      <w:pPr>
        <w:spacing w:after="0" w:line="240" w:lineRule="auto"/>
      </w:pPr>
      <w:r>
        <w:continuationSeparator/>
      </w:r>
    </w:p>
  </w:endnote>
  <w:endnote w:type="continuationNotice" w:id="1">
    <w:p w14:paraId="1B70BD0F" w14:textId="77777777" w:rsidR="00E42218" w:rsidRDefault="00E42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15F1" w14:textId="77777777" w:rsidR="00F04D96" w:rsidRDefault="00F04D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6AE1" w14:textId="77777777" w:rsidR="00E42218" w:rsidRDefault="00E42218" w:rsidP="00D322B8">
      <w:pPr>
        <w:spacing w:after="0" w:line="240" w:lineRule="auto"/>
      </w:pPr>
      <w:r>
        <w:separator/>
      </w:r>
    </w:p>
  </w:footnote>
  <w:footnote w:type="continuationSeparator" w:id="0">
    <w:p w14:paraId="4B0AA0E4" w14:textId="77777777" w:rsidR="00E42218" w:rsidRDefault="00E42218" w:rsidP="00D322B8">
      <w:pPr>
        <w:spacing w:after="0" w:line="240" w:lineRule="auto"/>
      </w:pPr>
      <w:r>
        <w:continuationSeparator/>
      </w:r>
    </w:p>
  </w:footnote>
  <w:footnote w:type="continuationNotice" w:id="1">
    <w:p w14:paraId="1C69A1D8" w14:textId="77777777" w:rsidR="00E42218" w:rsidRDefault="00E422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BA12" w14:textId="4EEF8F9A" w:rsidR="00D322B8" w:rsidRDefault="00D322B8">
    <w:pPr>
      <w:pStyle w:val="stBilgi"/>
    </w:pPr>
    <w:r w:rsidRPr="009A4977">
      <w:rPr>
        <w:rFonts w:ascii="Tahoma" w:hAnsi="Tahoma" w:cs="Tahoma"/>
        <w:noProof/>
        <w:lang w:eastAsia="tr-TR"/>
      </w:rPr>
      <w:drawing>
        <wp:anchor distT="0" distB="0" distL="114300" distR="114300" simplePos="0" relativeHeight="251659264" behindDoc="0" locked="0" layoutInCell="1" hidden="0" allowOverlap="1" wp14:anchorId="5764EE0C" wp14:editId="7D305421">
          <wp:simplePos x="0" y="0"/>
          <wp:positionH relativeFrom="column">
            <wp:posOffset>-158750</wp:posOffset>
          </wp:positionH>
          <wp:positionV relativeFrom="paragraph">
            <wp:posOffset>-248285</wp:posOffset>
          </wp:positionV>
          <wp:extent cx="1057275" cy="4445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089" b="20467"/>
                  <a:stretch>
                    <a:fillRect/>
                  </a:stretch>
                </pic:blipFill>
                <pic:spPr>
                  <a:xfrm>
                    <a:off x="0" y="0"/>
                    <a:ext cx="1057275" cy="44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2588A"/>
    <w:multiLevelType w:val="hybridMultilevel"/>
    <w:tmpl w:val="3B441F80"/>
    <w:lvl w:ilvl="0" w:tplc="36444AA6">
      <w:start w:val="20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2FB52FD"/>
    <w:multiLevelType w:val="hybridMultilevel"/>
    <w:tmpl w:val="F5F09F5A"/>
    <w:lvl w:ilvl="0" w:tplc="F0F442EE">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7051CF"/>
    <w:multiLevelType w:val="hybridMultilevel"/>
    <w:tmpl w:val="8C04E2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5908422C"/>
    <w:multiLevelType w:val="hybridMultilevel"/>
    <w:tmpl w:val="42AC419E"/>
    <w:lvl w:ilvl="0" w:tplc="61846716">
      <w:start w:val="2022"/>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674BD1"/>
    <w:multiLevelType w:val="hybridMultilevel"/>
    <w:tmpl w:val="C1BA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31884">
    <w:abstractNumId w:val="0"/>
  </w:num>
  <w:num w:numId="2" w16cid:durableId="1781022798">
    <w:abstractNumId w:val="3"/>
  </w:num>
  <w:num w:numId="3" w16cid:durableId="661665381">
    <w:abstractNumId w:val="1"/>
  </w:num>
  <w:num w:numId="4" w16cid:durableId="759715511">
    <w:abstractNumId w:val="4"/>
  </w:num>
  <w:num w:numId="5" w16cid:durableId="1120801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9A"/>
    <w:rsid w:val="00000B59"/>
    <w:rsid w:val="00003A13"/>
    <w:rsid w:val="00005DCF"/>
    <w:rsid w:val="00010290"/>
    <w:rsid w:val="0002393F"/>
    <w:rsid w:val="00030E0C"/>
    <w:rsid w:val="00037DC0"/>
    <w:rsid w:val="00050F6E"/>
    <w:rsid w:val="00055607"/>
    <w:rsid w:val="00057F69"/>
    <w:rsid w:val="00063287"/>
    <w:rsid w:val="000859AF"/>
    <w:rsid w:val="00086CCC"/>
    <w:rsid w:val="00087103"/>
    <w:rsid w:val="0009515D"/>
    <w:rsid w:val="00095268"/>
    <w:rsid w:val="000A26CC"/>
    <w:rsid w:val="000C46F9"/>
    <w:rsid w:val="000C5AB6"/>
    <w:rsid w:val="000D38DD"/>
    <w:rsid w:val="000E3599"/>
    <w:rsid w:val="00101C38"/>
    <w:rsid w:val="00117579"/>
    <w:rsid w:val="00123062"/>
    <w:rsid w:val="001230AE"/>
    <w:rsid w:val="001379EB"/>
    <w:rsid w:val="0016287F"/>
    <w:rsid w:val="001670FF"/>
    <w:rsid w:val="00197D29"/>
    <w:rsid w:val="001A2426"/>
    <w:rsid w:val="001B0E50"/>
    <w:rsid w:val="001B5E66"/>
    <w:rsid w:val="001D763A"/>
    <w:rsid w:val="001E1645"/>
    <w:rsid w:val="001E5460"/>
    <w:rsid w:val="001F5F05"/>
    <w:rsid w:val="002054E4"/>
    <w:rsid w:val="00207324"/>
    <w:rsid w:val="002159B8"/>
    <w:rsid w:val="00215E8F"/>
    <w:rsid w:val="00226B77"/>
    <w:rsid w:val="002338E5"/>
    <w:rsid w:val="002401CF"/>
    <w:rsid w:val="00251E53"/>
    <w:rsid w:val="00255222"/>
    <w:rsid w:val="0026094B"/>
    <w:rsid w:val="00264BAF"/>
    <w:rsid w:val="00270661"/>
    <w:rsid w:val="002724D1"/>
    <w:rsid w:val="00275810"/>
    <w:rsid w:val="0028718E"/>
    <w:rsid w:val="002A52EE"/>
    <w:rsid w:val="002C1C29"/>
    <w:rsid w:val="002C69A1"/>
    <w:rsid w:val="002D3A9A"/>
    <w:rsid w:val="002E47F9"/>
    <w:rsid w:val="002E5B04"/>
    <w:rsid w:val="002F2603"/>
    <w:rsid w:val="002F6340"/>
    <w:rsid w:val="00320E15"/>
    <w:rsid w:val="0032289A"/>
    <w:rsid w:val="00336809"/>
    <w:rsid w:val="00344941"/>
    <w:rsid w:val="003468D7"/>
    <w:rsid w:val="003656F3"/>
    <w:rsid w:val="0036636B"/>
    <w:rsid w:val="00370DEB"/>
    <w:rsid w:val="00376CAF"/>
    <w:rsid w:val="0039406F"/>
    <w:rsid w:val="00395697"/>
    <w:rsid w:val="003A593A"/>
    <w:rsid w:val="003C0402"/>
    <w:rsid w:val="003C0FFB"/>
    <w:rsid w:val="003C439A"/>
    <w:rsid w:val="003D4F02"/>
    <w:rsid w:val="003D7B28"/>
    <w:rsid w:val="003E1C06"/>
    <w:rsid w:val="003E6D0B"/>
    <w:rsid w:val="003E7BAE"/>
    <w:rsid w:val="00411900"/>
    <w:rsid w:val="004136C3"/>
    <w:rsid w:val="004171E3"/>
    <w:rsid w:val="00422D00"/>
    <w:rsid w:val="00430650"/>
    <w:rsid w:val="00433B51"/>
    <w:rsid w:val="00445F3E"/>
    <w:rsid w:val="00461E4D"/>
    <w:rsid w:val="0046301F"/>
    <w:rsid w:val="00487ED9"/>
    <w:rsid w:val="0049367B"/>
    <w:rsid w:val="004A399D"/>
    <w:rsid w:val="004C00ED"/>
    <w:rsid w:val="004D1FE9"/>
    <w:rsid w:val="004D4792"/>
    <w:rsid w:val="004D5E3E"/>
    <w:rsid w:val="004E34FB"/>
    <w:rsid w:val="004F4625"/>
    <w:rsid w:val="004F4A67"/>
    <w:rsid w:val="00511A4F"/>
    <w:rsid w:val="005175DD"/>
    <w:rsid w:val="005604C1"/>
    <w:rsid w:val="0056796C"/>
    <w:rsid w:val="00572405"/>
    <w:rsid w:val="005A4CA5"/>
    <w:rsid w:val="005C442C"/>
    <w:rsid w:val="005C587C"/>
    <w:rsid w:val="005E4002"/>
    <w:rsid w:val="0060797F"/>
    <w:rsid w:val="00614C8E"/>
    <w:rsid w:val="00615B53"/>
    <w:rsid w:val="006257BE"/>
    <w:rsid w:val="00634BE6"/>
    <w:rsid w:val="00637C15"/>
    <w:rsid w:val="006448B6"/>
    <w:rsid w:val="0065131B"/>
    <w:rsid w:val="006524A0"/>
    <w:rsid w:val="0065331B"/>
    <w:rsid w:val="006620CF"/>
    <w:rsid w:val="006651C9"/>
    <w:rsid w:val="006844CE"/>
    <w:rsid w:val="006923D1"/>
    <w:rsid w:val="00693178"/>
    <w:rsid w:val="006A2985"/>
    <w:rsid w:val="006B51B8"/>
    <w:rsid w:val="006D40E2"/>
    <w:rsid w:val="006E2959"/>
    <w:rsid w:val="0071153E"/>
    <w:rsid w:val="00712EA5"/>
    <w:rsid w:val="0072012D"/>
    <w:rsid w:val="00745D55"/>
    <w:rsid w:val="007534ED"/>
    <w:rsid w:val="007579E4"/>
    <w:rsid w:val="007614EB"/>
    <w:rsid w:val="00761AD2"/>
    <w:rsid w:val="007711BF"/>
    <w:rsid w:val="007C3BF8"/>
    <w:rsid w:val="007C5EA6"/>
    <w:rsid w:val="007D3441"/>
    <w:rsid w:val="007D4B51"/>
    <w:rsid w:val="00803743"/>
    <w:rsid w:val="00804BEF"/>
    <w:rsid w:val="00812B22"/>
    <w:rsid w:val="00815963"/>
    <w:rsid w:val="00825A9C"/>
    <w:rsid w:val="00827A92"/>
    <w:rsid w:val="00834E2B"/>
    <w:rsid w:val="00857CC1"/>
    <w:rsid w:val="00860951"/>
    <w:rsid w:val="00876803"/>
    <w:rsid w:val="00881F1C"/>
    <w:rsid w:val="00882B30"/>
    <w:rsid w:val="0089272F"/>
    <w:rsid w:val="008A3556"/>
    <w:rsid w:val="008D091F"/>
    <w:rsid w:val="008F4797"/>
    <w:rsid w:val="009228B8"/>
    <w:rsid w:val="0093489B"/>
    <w:rsid w:val="00946277"/>
    <w:rsid w:val="00947C2C"/>
    <w:rsid w:val="00954474"/>
    <w:rsid w:val="00963425"/>
    <w:rsid w:val="00966664"/>
    <w:rsid w:val="0097123D"/>
    <w:rsid w:val="009746EB"/>
    <w:rsid w:val="0097526A"/>
    <w:rsid w:val="009965A1"/>
    <w:rsid w:val="00997F8E"/>
    <w:rsid w:val="009A1D3C"/>
    <w:rsid w:val="009A4076"/>
    <w:rsid w:val="009C145B"/>
    <w:rsid w:val="009C40DD"/>
    <w:rsid w:val="009C5F99"/>
    <w:rsid w:val="009D20C9"/>
    <w:rsid w:val="009D389D"/>
    <w:rsid w:val="009F352B"/>
    <w:rsid w:val="009F4C03"/>
    <w:rsid w:val="00A00A19"/>
    <w:rsid w:val="00A05523"/>
    <w:rsid w:val="00A12FA8"/>
    <w:rsid w:val="00A16BD1"/>
    <w:rsid w:val="00A236E4"/>
    <w:rsid w:val="00A33A58"/>
    <w:rsid w:val="00A401F5"/>
    <w:rsid w:val="00A542E4"/>
    <w:rsid w:val="00A82827"/>
    <w:rsid w:val="00A842EF"/>
    <w:rsid w:val="00A97A31"/>
    <w:rsid w:val="00AC41E6"/>
    <w:rsid w:val="00AC557A"/>
    <w:rsid w:val="00AD1559"/>
    <w:rsid w:val="00AD337D"/>
    <w:rsid w:val="00AD54D6"/>
    <w:rsid w:val="00AD7908"/>
    <w:rsid w:val="00AE0852"/>
    <w:rsid w:val="00AE0C5E"/>
    <w:rsid w:val="00AE1AB4"/>
    <w:rsid w:val="00B05134"/>
    <w:rsid w:val="00B05272"/>
    <w:rsid w:val="00B07BDF"/>
    <w:rsid w:val="00B25A8C"/>
    <w:rsid w:val="00B25D38"/>
    <w:rsid w:val="00B30FAC"/>
    <w:rsid w:val="00B3745B"/>
    <w:rsid w:val="00B54B2C"/>
    <w:rsid w:val="00B61E8C"/>
    <w:rsid w:val="00B674CB"/>
    <w:rsid w:val="00B678AF"/>
    <w:rsid w:val="00B80700"/>
    <w:rsid w:val="00B9392C"/>
    <w:rsid w:val="00B94AD6"/>
    <w:rsid w:val="00BA1F99"/>
    <w:rsid w:val="00BA6ED9"/>
    <w:rsid w:val="00BA71FE"/>
    <w:rsid w:val="00BB0308"/>
    <w:rsid w:val="00BB5CB3"/>
    <w:rsid w:val="00BB608E"/>
    <w:rsid w:val="00BD52EB"/>
    <w:rsid w:val="00BF0F13"/>
    <w:rsid w:val="00BF16D4"/>
    <w:rsid w:val="00C33EC5"/>
    <w:rsid w:val="00C36A84"/>
    <w:rsid w:val="00C6020F"/>
    <w:rsid w:val="00C6078E"/>
    <w:rsid w:val="00C61C73"/>
    <w:rsid w:val="00C6506C"/>
    <w:rsid w:val="00C67B88"/>
    <w:rsid w:val="00C7374D"/>
    <w:rsid w:val="00C76ED8"/>
    <w:rsid w:val="00C7784A"/>
    <w:rsid w:val="00C80CFE"/>
    <w:rsid w:val="00C857A2"/>
    <w:rsid w:val="00C92A5A"/>
    <w:rsid w:val="00C97C6C"/>
    <w:rsid w:val="00CA0069"/>
    <w:rsid w:val="00CB1087"/>
    <w:rsid w:val="00CB3047"/>
    <w:rsid w:val="00CB7D6F"/>
    <w:rsid w:val="00CD7F12"/>
    <w:rsid w:val="00CF0BF6"/>
    <w:rsid w:val="00D05BA9"/>
    <w:rsid w:val="00D3166B"/>
    <w:rsid w:val="00D322B8"/>
    <w:rsid w:val="00D36E76"/>
    <w:rsid w:val="00D547B4"/>
    <w:rsid w:val="00D550BF"/>
    <w:rsid w:val="00D64BF4"/>
    <w:rsid w:val="00D7239D"/>
    <w:rsid w:val="00D74C34"/>
    <w:rsid w:val="00D74CEA"/>
    <w:rsid w:val="00D7503B"/>
    <w:rsid w:val="00D761F3"/>
    <w:rsid w:val="00D97160"/>
    <w:rsid w:val="00DA1638"/>
    <w:rsid w:val="00DA6E98"/>
    <w:rsid w:val="00DB45B5"/>
    <w:rsid w:val="00DB4AB8"/>
    <w:rsid w:val="00DB595B"/>
    <w:rsid w:val="00DB6158"/>
    <w:rsid w:val="00DC33C8"/>
    <w:rsid w:val="00DC407B"/>
    <w:rsid w:val="00DD1909"/>
    <w:rsid w:val="00DE578B"/>
    <w:rsid w:val="00DF28CD"/>
    <w:rsid w:val="00E0077A"/>
    <w:rsid w:val="00E05755"/>
    <w:rsid w:val="00E11327"/>
    <w:rsid w:val="00E139F9"/>
    <w:rsid w:val="00E1434C"/>
    <w:rsid w:val="00E172C7"/>
    <w:rsid w:val="00E1732B"/>
    <w:rsid w:val="00E27DD4"/>
    <w:rsid w:val="00E42218"/>
    <w:rsid w:val="00E6627F"/>
    <w:rsid w:val="00E76A34"/>
    <w:rsid w:val="00E85F70"/>
    <w:rsid w:val="00EA2E22"/>
    <w:rsid w:val="00EB3B3E"/>
    <w:rsid w:val="00EB6C5E"/>
    <w:rsid w:val="00EC33D2"/>
    <w:rsid w:val="00ED755C"/>
    <w:rsid w:val="00F02DC7"/>
    <w:rsid w:val="00F04D96"/>
    <w:rsid w:val="00F130A7"/>
    <w:rsid w:val="00F1344C"/>
    <w:rsid w:val="00F21D3D"/>
    <w:rsid w:val="00F24DC1"/>
    <w:rsid w:val="00F3167F"/>
    <w:rsid w:val="00F40D4D"/>
    <w:rsid w:val="00F43113"/>
    <w:rsid w:val="00F46842"/>
    <w:rsid w:val="00F55ADF"/>
    <w:rsid w:val="00F64FE2"/>
    <w:rsid w:val="00F7400D"/>
    <w:rsid w:val="00F91DD6"/>
    <w:rsid w:val="00F940A3"/>
    <w:rsid w:val="00FA2082"/>
    <w:rsid w:val="00FA250A"/>
    <w:rsid w:val="00FA7B23"/>
    <w:rsid w:val="00FB099A"/>
    <w:rsid w:val="00FB3F96"/>
    <w:rsid w:val="00FC343F"/>
    <w:rsid w:val="00FF08FD"/>
    <w:rsid w:val="00FF3807"/>
    <w:rsid w:val="00FF60B2"/>
    <w:rsid w:val="02256553"/>
    <w:rsid w:val="0390C7A6"/>
    <w:rsid w:val="37DE4A66"/>
    <w:rsid w:val="3B411B06"/>
    <w:rsid w:val="3CB61997"/>
    <w:rsid w:val="46CB285A"/>
    <w:rsid w:val="5DD45067"/>
    <w:rsid w:val="6FF2EF10"/>
    <w:rsid w:val="7A461D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AE21"/>
  <w15:chartTrackingRefBased/>
  <w15:docId w15:val="{E76F4AA9-5752-416A-BAA5-E4D660B4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45D5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5D55"/>
    <w:rPr>
      <w:rFonts w:ascii="Segoe UI" w:hAnsi="Segoe UI" w:cs="Segoe UI"/>
      <w:sz w:val="18"/>
      <w:szCs w:val="18"/>
    </w:rPr>
  </w:style>
  <w:style w:type="paragraph" w:styleId="ListeParagraf">
    <w:name w:val="List Paragraph"/>
    <w:basedOn w:val="Normal"/>
    <w:uiPriority w:val="34"/>
    <w:qFormat/>
    <w:rsid w:val="00A97A31"/>
    <w:pPr>
      <w:ind w:left="720"/>
      <w:contextualSpacing/>
    </w:pPr>
  </w:style>
  <w:style w:type="paragraph" w:customStyle="1" w:styleId="chrome">
    <w:name w:val="chrome"/>
    <w:basedOn w:val="Normal"/>
    <w:rsid w:val="00A97A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526A"/>
    <w:rPr>
      <w:b/>
      <w:bCs/>
    </w:rPr>
  </w:style>
  <w:style w:type="paragraph" w:styleId="stBilgi">
    <w:name w:val="header"/>
    <w:basedOn w:val="Normal"/>
    <w:link w:val="stBilgiChar"/>
    <w:uiPriority w:val="99"/>
    <w:unhideWhenUsed/>
    <w:rsid w:val="00D322B8"/>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D322B8"/>
  </w:style>
  <w:style w:type="paragraph" w:styleId="AltBilgi">
    <w:name w:val="footer"/>
    <w:basedOn w:val="Normal"/>
    <w:link w:val="AltBilgiChar"/>
    <w:uiPriority w:val="99"/>
    <w:unhideWhenUsed/>
    <w:rsid w:val="00D322B8"/>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D322B8"/>
  </w:style>
  <w:style w:type="paragraph" w:styleId="Dzeltme">
    <w:name w:val="Revision"/>
    <w:hidden/>
    <w:uiPriority w:val="99"/>
    <w:semiHidden/>
    <w:rsid w:val="00D322B8"/>
    <w:pPr>
      <w:spacing w:after="0" w:line="240" w:lineRule="auto"/>
    </w:pPr>
  </w:style>
  <w:style w:type="character" w:styleId="Kpr">
    <w:name w:val="Hyperlink"/>
    <w:basedOn w:val="VarsaylanParagrafYazTipi"/>
    <w:uiPriority w:val="99"/>
    <w:unhideWhenUsed/>
    <w:rsid w:val="00D322B8"/>
    <w:rPr>
      <w:color w:val="0563C1" w:themeColor="hyperlink"/>
      <w:u w:val="single"/>
    </w:rPr>
  </w:style>
  <w:style w:type="character" w:customStyle="1" w:styleId="apple-converted-space">
    <w:name w:val="apple-converted-space"/>
    <w:basedOn w:val="VarsaylanParagrafYazTipi"/>
    <w:rsid w:val="00D322B8"/>
  </w:style>
  <w:style w:type="character" w:styleId="AklamaBavurusu">
    <w:name w:val="annotation reference"/>
    <w:basedOn w:val="VarsaylanParagrafYazTipi"/>
    <w:uiPriority w:val="99"/>
    <w:semiHidden/>
    <w:unhideWhenUsed/>
    <w:rsid w:val="00812B22"/>
    <w:rPr>
      <w:sz w:val="16"/>
      <w:szCs w:val="16"/>
    </w:rPr>
  </w:style>
  <w:style w:type="paragraph" w:styleId="AklamaMetni">
    <w:name w:val="annotation text"/>
    <w:basedOn w:val="Normal"/>
    <w:link w:val="AklamaMetniChar"/>
    <w:uiPriority w:val="99"/>
    <w:unhideWhenUsed/>
    <w:rsid w:val="00812B22"/>
    <w:pPr>
      <w:spacing w:line="240" w:lineRule="auto"/>
    </w:pPr>
    <w:rPr>
      <w:sz w:val="20"/>
      <w:szCs w:val="20"/>
    </w:rPr>
  </w:style>
  <w:style w:type="character" w:customStyle="1" w:styleId="AklamaMetniChar">
    <w:name w:val="Açıklama Metni Char"/>
    <w:basedOn w:val="VarsaylanParagrafYazTipi"/>
    <w:link w:val="AklamaMetni"/>
    <w:uiPriority w:val="99"/>
    <w:rsid w:val="00812B22"/>
    <w:rPr>
      <w:sz w:val="20"/>
      <w:szCs w:val="20"/>
    </w:rPr>
  </w:style>
  <w:style w:type="paragraph" w:styleId="AklamaKonusu">
    <w:name w:val="annotation subject"/>
    <w:basedOn w:val="AklamaMetni"/>
    <w:next w:val="AklamaMetni"/>
    <w:link w:val="AklamaKonusuChar"/>
    <w:uiPriority w:val="99"/>
    <w:semiHidden/>
    <w:unhideWhenUsed/>
    <w:rsid w:val="00812B22"/>
    <w:rPr>
      <w:b/>
      <w:bCs/>
    </w:rPr>
  </w:style>
  <w:style w:type="character" w:customStyle="1" w:styleId="AklamaKonusuChar">
    <w:name w:val="Açıklama Konusu Char"/>
    <w:basedOn w:val="AklamaMetniChar"/>
    <w:link w:val="AklamaKonusu"/>
    <w:uiPriority w:val="99"/>
    <w:semiHidden/>
    <w:rsid w:val="00812B22"/>
    <w:rPr>
      <w:b/>
      <w:bCs/>
      <w:sz w:val="20"/>
      <w:szCs w:val="20"/>
    </w:rPr>
  </w:style>
  <w:style w:type="character" w:styleId="zmlenmeyenBahsetme">
    <w:name w:val="Unresolved Mention"/>
    <w:basedOn w:val="VarsaylanParagrafYazTipi"/>
    <w:uiPriority w:val="99"/>
    <w:semiHidden/>
    <w:unhideWhenUsed/>
    <w:rsid w:val="00BA1F99"/>
    <w:rPr>
      <w:color w:val="605E5C"/>
      <w:shd w:val="clear" w:color="auto" w:fill="E1DFDD"/>
    </w:rPr>
  </w:style>
  <w:style w:type="paragraph" w:customStyle="1" w:styleId="paragraph">
    <w:name w:val="paragraph"/>
    <w:basedOn w:val="Normal"/>
    <w:rsid w:val="00487E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487ED9"/>
  </w:style>
  <w:style w:type="character" w:customStyle="1" w:styleId="tabchar">
    <w:name w:val="tabchar"/>
    <w:basedOn w:val="VarsaylanParagrafYazTipi"/>
    <w:rsid w:val="00487ED9"/>
  </w:style>
  <w:style w:type="character" w:customStyle="1" w:styleId="eop">
    <w:name w:val="eop"/>
    <w:basedOn w:val="VarsaylanParagrafYazTipi"/>
    <w:rsid w:val="0048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84274">
      <w:bodyDiv w:val="1"/>
      <w:marLeft w:val="0"/>
      <w:marRight w:val="0"/>
      <w:marTop w:val="0"/>
      <w:marBottom w:val="0"/>
      <w:divBdr>
        <w:top w:val="none" w:sz="0" w:space="0" w:color="auto"/>
        <w:left w:val="none" w:sz="0" w:space="0" w:color="auto"/>
        <w:bottom w:val="none" w:sz="0" w:space="0" w:color="auto"/>
        <w:right w:val="none" w:sz="0" w:space="0" w:color="auto"/>
      </w:divBdr>
    </w:div>
    <w:div w:id="335958060">
      <w:bodyDiv w:val="1"/>
      <w:marLeft w:val="0"/>
      <w:marRight w:val="0"/>
      <w:marTop w:val="0"/>
      <w:marBottom w:val="0"/>
      <w:divBdr>
        <w:top w:val="none" w:sz="0" w:space="0" w:color="auto"/>
        <w:left w:val="none" w:sz="0" w:space="0" w:color="auto"/>
        <w:bottom w:val="none" w:sz="0" w:space="0" w:color="auto"/>
        <w:right w:val="none" w:sz="0" w:space="0" w:color="auto"/>
      </w:divBdr>
    </w:div>
    <w:div w:id="467279409">
      <w:bodyDiv w:val="1"/>
      <w:marLeft w:val="0"/>
      <w:marRight w:val="0"/>
      <w:marTop w:val="0"/>
      <w:marBottom w:val="0"/>
      <w:divBdr>
        <w:top w:val="none" w:sz="0" w:space="0" w:color="auto"/>
        <w:left w:val="none" w:sz="0" w:space="0" w:color="auto"/>
        <w:bottom w:val="none" w:sz="0" w:space="0" w:color="auto"/>
        <w:right w:val="none" w:sz="0" w:space="0" w:color="auto"/>
      </w:divBdr>
    </w:div>
    <w:div w:id="745105014">
      <w:bodyDiv w:val="1"/>
      <w:marLeft w:val="0"/>
      <w:marRight w:val="0"/>
      <w:marTop w:val="0"/>
      <w:marBottom w:val="0"/>
      <w:divBdr>
        <w:top w:val="none" w:sz="0" w:space="0" w:color="auto"/>
        <w:left w:val="none" w:sz="0" w:space="0" w:color="auto"/>
        <w:bottom w:val="none" w:sz="0" w:space="0" w:color="auto"/>
        <w:right w:val="none" w:sz="0" w:space="0" w:color="auto"/>
      </w:divBdr>
    </w:div>
    <w:div w:id="752897020">
      <w:bodyDiv w:val="1"/>
      <w:marLeft w:val="0"/>
      <w:marRight w:val="0"/>
      <w:marTop w:val="0"/>
      <w:marBottom w:val="0"/>
      <w:divBdr>
        <w:top w:val="none" w:sz="0" w:space="0" w:color="auto"/>
        <w:left w:val="none" w:sz="0" w:space="0" w:color="auto"/>
        <w:bottom w:val="none" w:sz="0" w:space="0" w:color="auto"/>
        <w:right w:val="none" w:sz="0" w:space="0" w:color="auto"/>
      </w:divBdr>
    </w:div>
    <w:div w:id="1120875611">
      <w:bodyDiv w:val="1"/>
      <w:marLeft w:val="0"/>
      <w:marRight w:val="0"/>
      <w:marTop w:val="0"/>
      <w:marBottom w:val="0"/>
      <w:divBdr>
        <w:top w:val="none" w:sz="0" w:space="0" w:color="auto"/>
        <w:left w:val="none" w:sz="0" w:space="0" w:color="auto"/>
        <w:bottom w:val="none" w:sz="0" w:space="0" w:color="auto"/>
        <w:right w:val="none" w:sz="0" w:space="0" w:color="auto"/>
      </w:divBdr>
    </w:div>
    <w:div w:id="1215122337">
      <w:bodyDiv w:val="1"/>
      <w:marLeft w:val="0"/>
      <w:marRight w:val="0"/>
      <w:marTop w:val="0"/>
      <w:marBottom w:val="0"/>
      <w:divBdr>
        <w:top w:val="none" w:sz="0" w:space="0" w:color="auto"/>
        <w:left w:val="none" w:sz="0" w:space="0" w:color="auto"/>
        <w:bottom w:val="none" w:sz="0" w:space="0" w:color="auto"/>
        <w:right w:val="none" w:sz="0" w:space="0" w:color="auto"/>
      </w:divBdr>
    </w:div>
    <w:div w:id="1218005910">
      <w:bodyDiv w:val="1"/>
      <w:marLeft w:val="0"/>
      <w:marRight w:val="0"/>
      <w:marTop w:val="0"/>
      <w:marBottom w:val="0"/>
      <w:divBdr>
        <w:top w:val="none" w:sz="0" w:space="0" w:color="auto"/>
        <w:left w:val="none" w:sz="0" w:space="0" w:color="auto"/>
        <w:bottom w:val="none" w:sz="0" w:space="0" w:color="auto"/>
        <w:right w:val="none" w:sz="0" w:space="0" w:color="auto"/>
      </w:divBdr>
    </w:div>
    <w:div w:id="1326200746">
      <w:bodyDiv w:val="1"/>
      <w:marLeft w:val="0"/>
      <w:marRight w:val="0"/>
      <w:marTop w:val="0"/>
      <w:marBottom w:val="0"/>
      <w:divBdr>
        <w:top w:val="none" w:sz="0" w:space="0" w:color="auto"/>
        <w:left w:val="none" w:sz="0" w:space="0" w:color="auto"/>
        <w:bottom w:val="none" w:sz="0" w:space="0" w:color="auto"/>
        <w:right w:val="none" w:sz="0" w:space="0" w:color="auto"/>
      </w:divBdr>
      <w:divsChild>
        <w:div w:id="1037437247">
          <w:marLeft w:val="0"/>
          <w:marRight w:val="0"/>
          <w:marTop w:val="0"/>
          <w:marBottom w:val="0"/>
          <w:divBdr>
            <w:top w:val="none" w:sz="0" w:space="0" w:color="auto"/>
            <w:left w:val="none" w:sz="0" w:space="0" w:color="auto"/>
            <w:bottom w:val="none" w:sz="0" w:space="0" w:color="auto"/>
            <w:right w:val="none" w:sz="0" w:space="0" w:color="auto"/>
          </w:divBdr>
        </w:div>
      </w:divsChild>
    </w:div>
    <w:div w:id="1660503089">
      <w:bodyDiv w:val="1"/>
      <w:marLeft w:val="0"/>
      <w:marRight w:val="0"/>
      <w:marTop w:val="0"/>
      <w:marBottom w:val="0"/>
      <w:divBdr>
        <w:top w:val="none" w:sz="0" w:space="0" w:color="auto"/>
        <w:left w:val="none" w:sz="0" w:space="0" w:color="auto"/>
        <w:bottom w:val="none" w:sz="0" w:space="0" w:color="auto"/>
        <w:right w:val="none" w:sz="0" w:space="0" w:color="auto"/>
      </w:divBdr>
    </w:div>
    <w:div w:id="204309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kpmg.com/tr/tr/home/insights/2025/10/alternatiflerin-tokenizasyonu-raporu.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ima.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kpmg.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1" ma:contentTypeDescription="Yeni belge oluşturun." ma:contentTypeScope="" ma:versionID="da1361ae875d1e6c58d683a4dd8db3f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a962a357b857a6f7e46d94d7db8dd7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B94DB-A2A0-4B14-9DA2-B8FC6163E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69146-C407-48FA-ADD0-3118DFCF2831}">
  <ds:schemaRefs>
    <ds:schemaRef ds:uri="http://schemas.openxmlformats.org/officeDocument/2006/bibliography"/>
  </ds:schemaRefs>
</ds:datastoreItem>
</file>

<file path=customXml/itemProps3.xml><?xml version="1.0" encoding="utf-8"?>
<ds:datastoreItem xmlns:ds="http://schemas.openxmlformats.org/officeDocument/2006/customXml" ds:itemID="{218236E0-FE64-43B5-A2C3-CCB39D316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4740DE-2664-485B-B45B-62F406D5B39C}">
  <ds:schemaRefs>
    <ds:schemaRef ds:uri="http://schemas.microsoft.com/sharepoint/v3/contenttype/forms"/>
  </ds:schemaRefs>
</ds:datastoreItem>
</file>

<file path=customXml/itemProps5.xml><?xml version="1.0" encoding="utf-8"?>
<ds:datastoreItem xmlns:ds="http://schemas.openxmlformats.org/officeDocument/2006/customXml" ds:itemID="{96224102-6347-4E14-AE3E-A328867965D4}">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6.xml><?xml version="1.0" encoding="utf-8"?>
<ds:datastoreItem xmlns:ds="http://schemas.openxmlformats.org/officeDocument/2006/customXml" ds:itemID="{B93E842C-D926-441B-9C4A-757F043C9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d8881d-4062-46d6-b0ca-1cc939420954}"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1203</Words>
  <Characters>6861</Characters>
  <Application>Microsoft Office Word</Application>
  <DocSecurity>0</DocSecurity>
  <Lines>57</Lines>
  <Paragraphs>16</Paragraphs>
  <ScaleCrop>false</ScaleCrop>
  <Company>KPMG</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Balci, Berra;ekanat@Kpmg.Com</dc:creator>
  <cp:keywords/>
  <dc:description/>
  <cp:lastModifiedBy>Ceren Moral</cp:lastModifiedBy>
  <cp:revision>3</cp:revision>
  <dcterms:created xsi:type="dcterms:W3CDTF">2025-10-17T06:55:00Z</dcterms:created>
  <dcterms:modified xsi:type="dcterms:W3CDTF">2025-10-17T08:01:00Z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