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C0DC" w14:textId="7B2CC168" w:rsidR="00FA30C8" w:rsidRPr="00AD44A7" w:rsidRDefault="007D59E2" w:rsidP="00AD44A7">
      <w:pPr>
        <w:spacing w:after="0" w:line="360" w:lineRule="auto"/>
        <w:contextualSpacing/>
        <w:rPr>
          <w:b/>
          <w:bCs/>
          <w:sz w:val="28"/>
          <w:szCs w:val="28"/>
          <w:u w:val="single"/>
        </w:rPr>
      </w:pPr>
      <w:r w:rsidRPr="00AD44A7">
        <w:rPr>
          <w:b/>
          <w:bCs/>
          <w:sz w:val="28"/>
          <w:szCs w:val="28"/>
          <w:u w:val="single"/>
        </w:rPr>
        <w:t xml:space="preserve">BASIN BÜLTENİ </w:t>
      </w:r>
    </w:p>
    <w:p w14:paraId="71C0A5D0" w14:textId="571760F5" w:rsidR="007D59E2" w:rsidRPr="00AD44A7" w:rsidRDefault="007D59E2" w:rsidP="00AD44A7">
      <w:pPr>
        <w:spacing w:after="0" w:line="360" w:lineRule="auto"/>
        <w:contextualSpacing/>
        <w:jc w:val="center"/>
        <w:rPr>
          <w:b/>
          <w:bCs/>
          <w:sz w:val="28"/>
          <w:szCs w:val="28"/>
        </w:rPr>
      </w:pPr>
      <w:r w:rsidRPr="00AD44A7">
        <w:rPr>
          <w:b/>
          <w:bCs/>
          <w:sz w:val="28"/>
          <w:szCs w:val="28"/>
        </w:rPr>
        <w:t>Çocuk Adalet Sistemine Girmeden Önlemek Mümkün</w:t>
      </w:r>
    </w:p>
    <w:p w14:paraId="402517C5" w14:textId="36EF84A0" w:rsidR="007D59E2" w:rsidRPr="00AD44A7" w:rsidRDefault="00AD44A7" w:rsidP="00AD44A7">
      <w:pPr>
        <w:spacing w:after="0" w:line="360" w:lineRule="auto"/>
        <w:contextualSpacing/>
        <w:jc w:val="center"/>
        <w:rPr>
          <w:b/>
          <w:bCs/>
          <w:sz w:val="28"/>
          <w:szCs w:val="28"/>
        </w:rPr>
      </w:pPr>
      <w:r w:rsidRPr="00AD44A7">
        <w:rPr>
          <w:b/>
          <w:bCs/>
          <w:sz w:val="28"/>
          <w:szCs w:val="28"/>
        </w:rPr>
        <w:t xml:space="preserve">Türkiye Çocuklara Yeniden Özgürlük Vakfı </w:t>
      </w:r>
      <w:r w:rsidR="007D59E2" w:rsidRPr="00AD44A7">
        <w:rPr>
          <w:b/>
          <w:bCs/>
          <w:sz w:val="28"/>
          <w:szCs w:val="28"/>
        </w:rPr>
        <w:t>Gençlik Merkezi Programı 2024-2025 Raporu</w:t>
      </w:r>
      <w:r w:rsidRPr="00AD44A7">
        <w:rPr>
          <w:b/>
          <w:bCs/>
          <w:sz w:val="28"/>
          <w:szCs w:val="28"/>
        </w:rPr>
        <w:t>nu Tanıttı</w:t>
      </w:r>
    </w:p>
    <w:p w14:paraId="278A8E20" w14:textId="5238B45E" w:rsidR="007D59E2" w:rsidRDefault="007D59E2" w:rsidP="00AD44A7">
      <w:pPr>
        <w:spacing w:after="0" w:line="360" w:lineRule="auto"/>
        <w:contextualSpacing/>
      </w:pPr>
    </w:p>
    <w:p w14:paraId="2A240AFD" w14:textId="1DBFBE00" w:rsidR="007D59E2" w:rsidRPr="00AD44A7" w:rsidRDefault="007D59E2" w:rsidP="00AD44A7">
      <w:pPr>
        <w:spacing w:after="0" w:line="360" w:lineRule="auto"/>
        <w:contextualSpacing/>
        <w:jc w:val="center"/>
        <w:rPr>
          <w:b/>
          <w:bCs/>
          <w:sz w:val="24"/>
          <w:szCs w:val="24"/>
        </w:rPr>
      </w:pPr>
      <w:r w:rsidRPr="00AD44A7">
        <w:rPr>
          <w:b/>
          <w:bCs/>
          <w:sz w:val="24"/>
          <w:szCs w:val="24"/>
        </w:rPr>
        <w:t>Türkiye Çocuklara Yeniden Özgürlük Vakfı tarafından yürütülen Gençlik Merkezi Programı’nın 2024-2025 dönemine ait izleme ve değerlendirme raporu, İstanbul’da düzenlenen bir etkinlikle kamuoyuna tanıtıldı. Raporda, programa katılan çocukların hiçbirinin çocuk adalet sistemine dahil olmaması başta olmak üzere, önleyici ve koruyucu çalışmaların etkisini ortaya koyan çarpıcı bulgular paylaşıldı.</w:t>
      </w:r>
    </w:p>
    <w:p w14:paraId="57250D7E" w14:textId="281FDA0D" w:rsidR="007D59E2" w:rsidRDefault="007D59E2" w:rsidP="00AD44A7">
      <w:pPr>
        <w:spacing w:after="0" w:line="360" w:lineRule="auto"/>
        <w:contextualSpacing/>
      </w:pPr>
    </w:p>
    <w:p w14:paraId="48242102" w14:textId="7D20AB7A" w:rsidR="007D59E2" w:rsidRDefault="007D59E2" w:rsidP="00AD44A7">
      <w:pPr>
        <w:spacing w:after="0" w:line="360" w:lineRule="auto"/>
        <w:contextualSpacing/>
        <w:jc w:val="both"/>
        <w:rPr>
          <w:sz w:val="21"/>
          <w:szCs w:val="21"/>
        </w:rPr>
      </w:pPr>
      <w:r w:rsidRPr="00AD44A7">
        <w:rPr>
          <w:sz w:val="21"/>
          <w:szCs w:val="21"/>
        </w:rPr>
        <w:t>Türkiye Çocuklara Yeniden Özgürlük</w:t>
      </w:r>
      <w:r w:rsidR="00AD44A7">
        <w:rPr>
          <w:sz w:val="21"/>
          <w:szCs w:val="21"/>
        </w:rPr>
        <w:t xml:space="preserve"> </w:t>
      </w:r>
      <w:r w:rsidRPr="00AD44A7">
        <w:rPr>
          <w:sz w:val="21"/>
          <w:szCs w:val="21"/>
        </w:rPr>
        <w:t xml:space="preserve">Vakfı’nın çocuk adalet sistemine yönelik önleyici çalışmalarını ele alan “Gençlik Merkezi Programı 2024-2025 İzleme ve Değerlendirme Raporu”, 9 Ocak 2026 tarihinde İstanbul Kadıköy’deki vakıf merkezinde düzenlenen bir lansmanla tanıtıldı. </w:t>
      </w:r>
    </w:p>
    <w:p w14:paraId="241F0584" w14:textId="77777777" w:rsidR="00AD44A7" w:rsidRPr="00AD44A7" w:rsidRDefault="00AD44A7" w:rsidP="00AD44A7">
      <w:pPr>
        <w:spacing w:after="0" w:line="360" w:lineRule="auto"/>
        <w:contextualSpacing/>
        <w:jc w:val="both"/>
        <w:rPr>
          <w:sz w:val="21"/>
          <w:szCs w:val="21"/>
        </w:rPr>
      </w:pPr>
    </w:p>
    <w:p w14:paraId="0E629681" w14:textId="4DB274AB" w:rsidR="007D59E2" w:rsidRDefault="007D59E2" w:rsidP="00AD44A7">
      <w:pPr>
        <w:spacing w:after="0" w:line="360" w:lineRule="auto"/>
        <w:contextualSpacing/>
        <w:jc w:val="both"/>
        <w:rPr>
          <w:sz w:val="21"/>
          <w:szCs w:val="21"/>
        </w:rPr>
      </w:pPr>
      <w:r w:rsidRPr="00AD44A7">
        <w:rPr>
          <w:sz w:val="21"/>
          <w:szCs w:val="21"/>
        </w:rPr>
        <w:t xml:space="preserve">Etkinlikte, Vakfın 1997 yılından bu yana risk altındaki çocuklarla yürüttüğü çalışmalar kapsamında geliştirilen Gençlik Merkezi Programı’nın, çocukların adalet sistemiyle temas etmeden desteklenmesinde etkili ve sürdürülebilir bir model sunduğu vurgulandı. </w:t>
      </w:r>
    </w:p>
    <w:p w14:paraId="46AAE476" w14:textId="77777777" w:rsidR="00AD44A7" w:rsidRPr="00AD44A7" w:rsidRDefault="00AD44A7" w:rsidP="00AD44A7">
      <w:pPr>
        <w:spacing w:after="0" w:line="360" w:lineRule="auto"/>
        <w:contextualSpacing/>
        <w:jc w:val="both"/>
        <w:rPr>
          <w:sz w:val="21"/>
          <w:szCs w:val="21"/>
        </w:rPr>
      </w:pPr>
    </w:p>
    <w:p w14:paraId="7B755171" w14:textId="1C4A14A9" w:rsidR="007D59E2" w:rsidRDefault="007D59E2" w:rsidP="00AD44A7">
      <w:pPr>
        <w:spacing w:after="0" w:line="360" w:lineRule="auto"/>
        <w:contextualSpacing/>
        <w:jc w:val="both"/>
        <w:rPr>
          <w:sz w:val="21"/>
          <w:szCs w:val="21"/>
        </w:rPr>
      </w:pPr>
      <w:r w:rsidRPr="00AD44A7">
        <w:rPr>
          <w:sz w:val="21"/>
          <w:szCs w:val="21"/>
        </w:rPr>
        <w:t xml:space="preserve">Rapora göre, </w:t>
      </w:r>
      <w:r w:rsidRPr="00AD44A7">
        <w:rPr>
          <w:b/>
          <w:bCs/>
          <w:sz w:val="21"/>
          <w:szCs w:val="21"/>
        </w:rPr>
        <w:t>programa katılan çocukların hiçbirinin izleme dönemi boyunca çocuk adalet sistemine dâhil olmaması,</w:t>
      </w:r>
      <w:r w:rsidRPr="00AD44A7">
        <w:rPr>
          <w:sz w:val="21"/>
          <w:szCs w:val="21"/>
        </w:rPr>
        <w:t xml:space="preserve"> çalışmanın en dikkat çekici sonuçları arasında yer aldı. Bunun yanı sıra çocukların risk alma davranışlarında belirgin bir azalma gözlemlenirken, psikolojik dayanıklılık, stresle baş etme becerileri ve sosyal destek algısında anlamlı artışlar tespit edildi. </w:t>
      </w:r>
    </w:p>
    <w:p w14:paraId="3E2A31DC" w14:textId="77777777" w:rsidR="00AD44A7" w:rsidRPr="00AD44A7" w:rsidRDefault="00AD44A7" w:rsidP="00AD44A7">
      <w:pPr>
        <w:spacing w:after="0" w:line="360" w:lineRule="auto"/>
        <w:contextualSpacing/>
        <w:jc w:val="both"/>
        <w:rPr>
          <w:sz w:val="21"/>
          <w:szCs w:val="21"/>
        </w:rPr>
      </w:pPr>
    </w:p>
    <w:p w14:paraId="6FCD3ECF" w14:textId="75D38AAB" w:rsidR="007D59E2" w:rsidRDefault="007D59E2" w:rsidP="00AD44A7">
      <w:pPr>
        <w:spacing w:after="0" w:line="360" w:lineRule="auto"/>
        <w:contextualSpacing/>
        <w:jc w:val="both"/>
        <w:rPr>
          <w:sz w:val="21"/>
          <w:szCs w:val="21"/>
        </w:rPr>
      </w:pPr>
      <w:r w:rsidRPr="00AD44A7">
        <w:rPr>
          <w:sz w:val="21"/>
          <w:szCs w:val="21"/>
        </w:rPr>
        <w:t xml:space="preserve">Tanıtımda ayrıca Gençlik Merkezi Programı’nın yalnızca çocuklara yönelik bireysel desteklerle sınırlı kalmadığı; aileler, gönüllüler, üniversiteler ve ilgili kurumlarla kurulan çok paydaşlı bir yapı üzerinden ilerlediği aktarıldı. Bu yaklaşımın, çocuğun çevresiyle birlikte </w:t>
      </w:r>
      <w:r w:rsidR="00AD44A7" w:rsidRPr="00AD44A7">
        <w:rPr>
          <w:sz w:val="21"/>
          <w:szCs w:val="21"/>
        </w:rPr>
        <w:t xml:space="preserve">güçlenmesini hedefleyen bütüncül bir önleme modeli sunduğunun altı çizildi. </w:t>
      </w:r>
    </w:p>
    <w:p w14:paraId="4BE8F319" w14:textId="77777777" w:rsidR="00AD44A7" w:rsidRPr="00AD44A7" w:rsidRDefault="00AD44A7" w:rsidP="00AD44A7">
      <w:pPr>
        <w:spacing w:after="0" w:line="360" w:lineRule="auto"/>
        <w:contextualSpacing/>
        <w:jc w:val="both"/>
        <w:rPr>
          <w:sz w:val="21"/>
          <w:szCs w:val="21"/>
        </w:rPr>
      </w:pPr>
    </w:p>
    <w:p w14:paraId="56964175" w14:textId="29A170BF" w:rsidR="00AD44A7" w:rsidRPr="00AD44A7" w:rsidRDefault="00AD44A7" w:rsidP="00AD44A7">
      <w:pPr>
        <w:spacing w:after="0" w:line="360" w:lineRule="auto"/>
        <w:contextualSpacing/>
        <w:jc w:val="both"/>
        <w:rPr>
          <w:b/>
          <w:bCs/>
          <w:sz w:val="21"/>
          <w:szCs w:val="21"/>
        </w:rPr>
      </w:pPr>
      <w:r w:rsidRPr="00AD44A7">
        <w:rPr>
          <w:b/>
          <w:bCs/>
          <w:sz w:val="21"/>
          <w:szCs w:val="21"/>
        </w:rPr>
        <w:t xml:space="preserve">Merkez geçici olarak fiziki hizmete ara verecek </w:t>
      </w:r>
    </w:p>
    <w:p w14:paraId="1098E73A" w14:textId="1B4E3D4A" w:rsidR="00AD44A7" w:rsidRPr="00AD44A7" w:rsidRDefault="00AD44A7" w:rsidP="00AD44A7">
      <w:pPr>
        <w:spacing w:after="0" w:line="360" w:lineRule="auto"/>
        <w:contextualSpacing/>
        <w:jc w:val="both"/>
        <w:rPr>
          <w:sz w:val="21"/>
          <w:szCs w:val="21"/>
        </w:rPr>
      </w:pPr>
      <w:r w:rsidRPr="00AD44A7">
        <w:rPr>
          <w:sz w:val="21"/>
          <w:szCs w:val="21"/>
        </w:rPr>
        <w:t xml:space="preserve">Etkinlik kapsamında paylaşılan bilgiler arasında Gençlik Merkezi’nin fiziki koşullarını iyileştirmeye yönelik planlanan tadilat süreci de yer aldı. Bu doğrultuda merkezin kısa bir süre fiziki olarak kapalı olacağı, ancak bu süreçte vaka takibi, ailelerle yürütülen çalışmalar, savunuculuk faaliyetleri ve hazırlık süreçlerinin arka planda kesintisiz şekilde devam edeceği belirtildi. </w:t>
      </w:r>
    </w:p>
    <w:p w14:paraId="33BB84DE" w14:textId="3210D231" w:rsidR="00AD44A7" w:rsidRDefault="00AD44A7" w:rsidP="00AD44A7">
      <w:pPr>
        <w:spacing w:after="0" w:line="360" w:lineRule="auto"/>
        <w:contextualSpacing/>
        <w:jc w:val="both"/>
        <w:rPr>
          <w:sz w:val="21"/>
          <w:szCs w:val="21"/>
        </w:rPr>
      </w:pPr>
      <w:r w:rsidRPr="00AD44A7">
        <w:rPr>
          <w:sz w:val="21"/>
          <w:szCs w:val="21"/>
        </w:rPr>
        <w:lastRenderedPageBreak/>
        <w:t xml:space="preserve">Yetkililer, tadilat sürecinin ardından Mart ayı itibarıyla Gençlik Merkezi’nin çocuklar ve gençler için daha sağlıklı, güvenli ve ihtiyaçlara uygun bir mekân olarak yeniden faaliyete geçeceğini ifade etti. </w:t>
      </w:r>
    </w:p>
    <w:p w14:paraId="49E42918" w14:textId="77777777" w:rsidR="00AD44A7" w:rsidRPr="00AD44A7" w:rsidRDefault="00AD44A7" w:rsidP="00AD44A7">
      <w:pPr>
        <w:spacing w:after="0" w:line="360" w:lineRule="auto"/>
        <w:contextualSpacing/>
        <w:jc w:val="both"/>
        <w:rPr>
          <w:sz w:val="21"/>
          <w:szCs w:val="21"/>
        </w:rPr>
      </w:pPr>
    </w:p>
    <w:p w14:paraId="5795E48B" w14:textId="48BE1A75" w:rsidR="00AD44A7" w:rsidRDefault="00AD44A7" w:rsidP="00AD44A7">
      <w:pPr>
        <w:spacing w:after="0" w:line="360" w:lineRule="auto"/>
        <w:contextualSpacing/>
        <w:jc w:val="both"/>
        <w:rPr>
          <w:sz w:val="21"/>
          <w:szCs w:val="21"/>
        </w:rPr>
      </w:pPr>
      <w:r w:rsidRPr="00AD44A7">
        <w:rPr>
          <w:sz w:val="21"/>
          <w:szCs w:val="21"/>
        </w:rPr>
        <w:t xml:space="preserve">Etkinlik, rapor sunumunun ardından gerçekleştirilen soru-cevap ve sohbet bölümüyle sona erdi. </w:t>
      </w:r>
    </w:p>
    <w:p w14:paraId="436163D4" w14:textId="521F83CC" w:rsidR="00AD44A7" w:rsidRDefault="00AD44A7" w:rsidP="00AD44A7">
      <w:pPr>
        <w:spacing w:after="0" w:line="360" w:lineRule="auto"/>
        <w:contextualSpacing/>
        <w:jc w:val="both"/>
        <w:rPr>
          <w:sz w:val="21"/>
          <w:szCs w:val="21"/>
        </w:rPr>
      </w:pPr>
      <w:r>
        <w:rPr>
          <w:sz w:val="21"/>
          <w:szCs w:val="21"/>
        </w:rPr>
        <w:t xml:space="preserve">Rapora ulaşmak için tıklayın: </w:t>
      </w:r>
      <w:hyperlink r:id="rId4" w:history="1">
        <w:proofErr w:type="spellStart"/>
        <w:r w:rsidR="0019479A" w:rsidRPr="00557129">
          <w:rPr>
            <w:rStyle w:val="Hyperlink"/>
            <w:sz w:val="21"/>
            <w:szCs w:val="21"/>
          </w:rPr>
          <w:t>https</w:t>
        </w:r>
        <w:proofErr w:type="spellEnd"/>
        <w:r w:rsidR="0019479A" w:rsidRPr="00557129">
          <w:rPr>
            <w:rStyle w:val="Hyperlink"/>
            <w:sz w:val="21"/>
            <w:szCs w:val="21"/>
          </w:rPr>
          <w:t>://</w:t>
        </w:r>
        <w:proofErr w:type="spellStart"/>
        <w:r w:rsidR="0019479A" w:rsidRPr="00557129">
          <w:rPr>
            <w:rStyle w:val="Hyperlink"/>
            <w:sz w:val="21"/>
            <w:szCs w:val="21"/>
          </w:rPr>
          <w:t>www.tcyov.org</w:t>
        </w:r>
        <w:proofErr w:type="spellEnd"/>
        <w:r w:rsidR="0019479A" w:rsidRPr="00557129">
          <w:rPr>
            <w:rStyle w:val="Hyperlink"/>
            <w:sz w:val="21"/>
            <w:szCs w:val="21"/>
          </w:rPr>
          <w:t>/izleme-</w:t>
        </w:r>
        <w:proofErr w:type="spellStart"/>
        <w:r w:rsidR="0019479A" w:rsidRPr="00557129">
          <w:rPr>
            <w:rStyle w:val="Hyperlink"/>
            <w:sz w:val="21"/>
            <w:szCs w:val="21"/>
          </w:rPr>
          <w:t>degerlendirme</w:t>
        </w:r>
        <w:proofErr w:type="spellEnd"/>
        <w:r w:rsidR="0019479A" w:rsidRPr="00557129">
          <w:rPr>
            <w:rStyle w:val="Hyperlink"/>
            <w:sz w:val="21"/>
            <w:szCs w:val="21"/>
          </w:rPr>
          <w:t>-</w:t>
        </w:r>
        <w:proofErr w:type="spellStart"/>
        <w:r w:rsidR="0019479A" w:rsidRPr="00557129">
          <w:rPr>
            <w:rStyle w:val="Hyperlink"/>
            <w:sz w:val="21"/>
            <w:szCs w:val="21"/>
          </w:rPr>
          <w:t>raporlari</w:t>
        </w:r>
        <w:proofErr w:type="spellEnd"/>
        <w:r w:rsidR="0019479A" w:rsidRPr="00557129">
          <w:rPr>
            <w:rStyle w:val="Hyperlink"/>
            <w:sz w:val="21"/>
            <w:szCs w:val="21"/>
          </w:rPr>
          <w:t>/</w:t>
        </w:r>
      </w:hyperlink>
      <w:r w:rsidR="0019479A">
        <w:rPr>
          <w:sz w:val="21"/>
          <w:szCs w:val="21"/>
        </w:rPr>
        <w:t xml:space="preserve"> </w:t>
      </w:r>
    </w:p>
    <w:p w14:paraId="0CE807DC" w14:textId="77777777" w:rsidR="00AD44A7" w:rsidRDefault="00AD44A7" w:rsidP="00AD44A7">
      <w:pPr>
        <w:spacing w:after="0" w:line="360" w:lineRule="auto"/>
        <w:contextualSpacing/>
        <w:jc w:val="both"/>
        <w:rPr>
          <w:sz w:val="21"/>
          <w:szCs w:val="21"/>
        </w:rPr>
      </w:pPr>
    </w:p>
    <w:p w14:paraId="73B687FA" w14:textId="77777777" w:rsidR="00AD44A7" w:rsidRPr="00AD44A7" w:rsidRDefault="00AD44A7" w:rsidP="00AD44A7">
      <w:pPr>
        <w:spacing w:after="0" w:line="360" w:lineRule="auto"/>
        <w:contextualSpacing/>
        <w:jc w:val="both"/>
        <w:rPr>
          <w:color w:val="808080" w:themeColor="background1" w:themeShade="80"/>
          <w:sz w:val="18"/>
          <w:szCs w:val="18"/>
        </w:rPr>
      </w:pPr>
      <w:r w:rsidRPr="00AD44A7">
        <w:rPr>
          <w:b/>
          <w:bCs/>
          <w:color w:val="808080" w:themeColor="background1" w:themeShade="80"/>
          <w:sz w:val="18"/>
          <w:szCs w:val="18"/>
        </w:rPr>
        <w:t>İlgili Kişiler:</w:t>
      </w:r>
      <w:r w:rsidRPr="00AD44A7">
        <w:rPr>
          <w:color w:val="808080" w:themeColor="background1" w:themeShade="80"/>
          <w:sz w:val="18"/>
          <w:szCs w:val="18"/>
        </w:rPr>
        <w:t> </w:t>
      </w:r>
    </w:p>
    <w:p w14:paraId="74D1A887" w14:textId="1E8F449E" w:rsidR="00AD44A7" w:rsidRPr="00AD44A7" w:rsidRDefault="00AD44A7" w:rsidP="00AD44A7">
      <w:pPr>
        <w:spacing w:after="0" w:line="360" w:lineRule="auto"/>
        <w:contextualSpacing/>
        <w:jc w:val="both"/>
        <w:rPr>
          <w:color w:val="808080" w:themeColor="background1" w:themeShade="80"/>
          <w:sz w:val="18"/>
          <w:szCs w:val="18"/>
        </w:rPr>
      </w:pPr>
      <w:r w:rsidRPr="00AD44A7">
        <w:rPr>
          <w:color w:val="808080" w:themeColor="background1" w:themeShade="80"/>
          <w:sz w:val="18"/>
          <w:szCs w:val="18"/>
        </w:rPr>
        <w:t>Beril Tuncay </w:t>
      </w:r>
    </w:p>
    <w:p w14:paraId="2A3B341D" w14:textId="77777777" w:rsidR="00AD44A7" w:rsidRPr="00AD44A7" w:rsidRDefault="00AD44A7" w:rsidP="00AD44A7">
      <w:pPr>
        <w:spacing w:after="0" w:line="360" w:lineRule="auto"/>
        <w:contextualSpacing/>
        <w:jc w:val="both"/>
        <w:rPr>
          <w:color w:val="808080" w:themeColor="background1" w:themeShade="80"/>
          <w:sz w:val="18"/>
          <w:szCs w:val="18"/>
        </w:rPr>
      </w:pPr>
      <w:r w:rsidRPr="00AD44A7">
        <w:rPr>
          <w:color w:val="808080" w:themeColor="background1" w:themeShade="80"/>
          <w:sz w:val="18"/>
          <w:szCs w:val="18"/>
        </w:rPr>
        <w:t>Marjinal Porter </w:t>
      </w:r>
      <w:proofErr w:type="spellStart"/>
      <w:r w:rsidRPr="00AD44A7">
        <w:rPr>
          <w:color w:val="808080" w:themeColor="background1" w:themeShade="80"/>
          <w:sz w:val="18"/>
          <w:szCs w:val="18"/>
        </w:rPr>
        <w:t>Novelli</w:t>
      </w:r>
      <w:proofErr w:type="spellEnd"/>
      <w:r w:rsidRPr="00AD44A7">
        <w:rPr>
          <w:color w:val="808080" w:themeColor="background1" w:themeShade="80"/>
          <w:sz w:val="18"/>
          <w:szCs w:val="18"/>
        </w:rPr>
        <w:t> </w:t>
      </w:r>
    </w:p>
    <w:p w14:paraId="3C4AF3C2" w14:textId="77777777" w:rsidR="00AD44A7" w:rsidRPr="00AD44A7" w:rsidRDefault="00AD44A7" w:rsidP="00AD44A7">
      <w:pPr>
        <w:spacing w:after="0" w:line="360" w:lineRule="auto"/>
        <w:contextualSpacing/>
        <w:jc w:val="both"/>
        <w:rPr>
          <w:color w:val="808080" w:themeColor="background1" w:themeShade="80"/>
          <w:sz w:val="18"/>
          <w:szCs w:val="18"/>
        </w:rPr>
      </w:pPr>
      <w:r w:rsidRPr="00AD44A7">
        <w:rPr>
          <w:color w:val="808080" w:themeColor="background1" w:themeShade="80"/>
          <w:sz w:val="18"/>
          <w:szCs w:val="18"/>
        </w:rPr>
        <w:t>berilt@marjinal.com.tr </w:t>
      </w:r>
      <w:r w:rsidRPr="00AD44A7">
        <w:rPr>
          <w:color w:val="808080" w:themeColor="background1" w:themeShade="80"/>
          <w:sz w:val="18"/>
          <w:szCs w:val="18"/>
        </w:rPr>
        <w:br/>
        <w:t>0532 054 5538 </w:t>
      </w:r>
    </w:p>
    <w:p w14:paraId="22762E4C" w14:textId="437E1837" w:rsidR="00AD44A7" w:rsidRPr="00AD44A7" w:rsidRDefault="00AD44A7" w:rsidP="00AD44A7">
      <w:pPr>
        <w:spacing w:after="0" w:line="360" w:lineRule="auto"/>
        <w:contextualSpacing/>
        <w:jc w:val="both"/>
        <w:rPr>
          <w:color w:val="808080" w:themeColor="background1" w:themeShade="80"/>
          <w:sz w:val="18"/>
          <w:szCs w:val="18"/>
        </w:rPr>
      </w:pPr>
      <w:r w:rsidRPr="00AD44A7">
        <w:rPr>
          <w:color w:val="808080" w:themeColor="background1" w:themeShade="80"/>
          <w:sz w:val="18"/>
          <w:szCs w:val="18"/>
        </w:rPr>
        <w:t>  </w:t>
      </w:r>
      <w:r w:rsidRPr="00AD44A7">
        <w:rPr>
          <w:color w:val="808080" w:themeColor="background1" w:themeShade="80"/>
          <w:sz w:val="18"/>
          <w:szCs w:val="18"/>
        </w:rPr>
        <w:br/>
      </w:r>
      <w:r>
        <w:rPr>
          <w:b/>
          <w:bCs/>
          <w:color w:val="808080" w:themeColor="background1" w:themeShade="80"/>
          <w:sz w:val="18"/>
          <w:szCs w:val="18"/>
        </w:rPr>
        <w:t>Türkiye Çocuklara Yeniden Özgürlük Vakfı</w:t>
      </w:r>
      <w:r w:rsidRPr="00AD44A7">
        <w:rPr>
          <w:b/>
          <w:bCs/>
          <w:color w:val="808080" w:themeColor="background1" w:themeShade="80"/>
          <w:sz w:val="18"/>
          <w:szCs w:val="18"/>
        </w:rPr>
        <w:t xml:space="preserve"> Hakkında</w:t>
      </w:r>
      <w:r w:rsidRPr="00AD44A7">
        <w:rPr>
          <w:color w:val="808080" w:themeColor="background1" w:themeShade="80"/>
          <w:sz w:val="18"/>
          <w:szCs w:val="18"/>
        </w:rPr>
        <w:t> </w:t>
      </w:r>
    </w:p>
    <w:p w14:paraId="47162AD2" w14:textId="520EF88D" w:rsidR="00AD44A7" w:rsidRPr="00AD44A7" w:rsidRDefault="00AD44A7" w:rsidP="00AD44A7">
      <w:pPr>
        <w:spacing w:after="0" w:line="360" w:lineRule="auto"/>
        <w:contextualSpacing/>
        <w:jc w:val="both"/>
        <w:rPr>
          <w:color w:val="808080" w:themeColor="background1" w:themeShade="80"/>
          <w:sz w:val="18"/>
          <w:szCs w:val="18"/>
        </w:rPr>
      </w:pPr>
      <w:r w:rsidRPr="00AD44A7">
        <w:rPr>
          <w:color w:val="808080" w:themeColor="background1" w:themeShade="80"/>
          <w:sz w:val="18"/>
          <w:szCs w:val="18"/>
        </w:rPr>
        <w:t>Türkiye Çocuklara Yeniden Özgürlük Vakfı</w:t>
      </w:r>
      <w:r>
        <w:rPr>
          <w:color w:val="808080" w:themeColor="background1" w:themeShade="80"/>
          <w:sz w:val="18"/>
          <w:szCs w:val="18"/>
        </w:rPr>
        <w:t>,</w:t>
      </w:r>
      <w:r w:rsidRPr="00AD44A7">
        <w:rPr>
          <w:color w:val="808080" w:themeColor="background1" w:themeShade="80"/>
          <w:sz w:val="18"/>
          <w:szCs w:val="18"/>
        </w:rPr>
        <w:t xml:space="preserve"> çocuk adalet sistemindeki ve risk altındaki çocukların yüksek yararını koruyarak, hiçbir çocuğun özgürlüğünden yoksun bırakılmadığı bir topluma erişmek için çalışmalar yürüt</w:t>
      </w:r>
      <w:r>
        <w:rPr>
          <w:color w:val="808080" w:themeColor="background1" w:themeShade="80"/>
          <w:sz w:val="18"/>
          <w:szCs w:val="18"/>
        </w:rPr>
        <w:t>mektedir</w:t>
      </w:r>
      <w:r w:rsidRPr="00AD44A7">
        <w:rPr>
          <w:color w:val="808080" w:themeColor="background1" w:themeShade="80"/>
          <w:sz w:val="18"/>
          <w:szCs w:val="18"/>
        </w:rPr>
        <w:t>. Bu doğrultuda, çocuklara yönelik önleyici ve koruyucu modeller geliştir</w:t>
      </w:r>
      <w:r>
        <w:rPr>
          <w:color w:val="808080" w:themeColor="background1" w:themeShade="80"/>
          <w:sz w:val="18"/>
          <w:szCs w:val="18"/>
        </w:rPr>
        <w:t>mekte</w:t>
      </w:r>
      <w:r w:rsidRPr="00AD44A7">
        <w:rPr>
          <w:color w:val="808080" w:themeColor="background1" w:themeShade="80"/>
          <w:sz w:val="18"/>
          <w:szCs w:val="18"/>
        </w:rPr>
        <w:t>; ilgili kurumların çocuklar lehine güçlenmesine katkı sun</w:t>
      </w:r>
      <w:r>
        <w:rPr>
          <w:color w:val="808080" w:themeColor="background1" w:themeShade="80"/>
          <w:sz w:val="18"/>
          <w:szCs w:val="18"/>
        </w:rPr>
        <w:t>makta</w:t>
      </w:r>
      <w:r w:rsidRPr="00AD44A7">
        <w:rPr>
          <w:color w:val="808080" w:themeColor="background1" w:themeShade="80"/>
          <w:sz w:val="18"/>
          <w:szCs w:val="18"/>
        </w:rPr>
        <w:t xml:space="preserve"> ve savunuculuk yoluyla Türkiye’de çocuk adalet sisteminin gelişen uluslararası çocuk hakları standartlarına ulaşmasına destek ol</w:t>
      </w:r>
      <w:r>
        <w:rPr>
          <w:color w:val="808080" w:themeColor="background1" w:themeShade="80"/>
          <w:sz w:val="18"/>
          <w:szCs w:val="18"/>
        </w:rPr>
        <w:t xml:space="preserve">maktadır. </w:t>
      </w:r>
      <w:hyperlink r:id="rId5" w:history="1">
        <w:r w:rsidRPr="00AD44A7">
          <w:rPr>
            <w:rStyle w:val="Hyperlink"/>
            <w:color w:val="808080" w:themeColor="background1" w:themeShade="80"/>
            <w:sz w:val="18"/>
            <w:szCs w:val="18"/>
          </w:rPr>
          <w:t>www.tcyov.org</w:t>
        </w:r>
      </w:hyperlink>
      <w:r w:rsidRPr="00AD44A7">
        <w:rPr>
          <w:color w:val="808080" w:themeColor="background1" w:themeShade="80"/>
          <w:sz w:val="18"/>
          <w:szCs w:val="18"/>
        </w:rPr>
        <w:t xml:space="preserve"> </w:t>
      </w:r>
    </w:p>
    <w:p w14:paraId="6BB28A1C" w14:textId="77777777" w:rsidR="00AD44A7" w:rsidRPr="00AD44A7" w:rsidRDefault="00AD44A7" w:rsidP="00AD44A7">
      <w:pPr>
        <w:spacing w:after="0" w:line="360" w:lineRule="auto"/>
        <w:contextualSpacing/>
        <w:jc w:val="both"/>
        <w:rPr>
          <w:sz w:val="21"/>
          <w:szCs w:val="21"/>
        </w:rPr>
      </w:pPr>
    </w:p>
    <w:sectPr w:rsidR="00AD44A7" w:rsidRPr="00AD44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E2"/>
    <w:rsid w:val="0019479A"/>
    <w:rsid w:val="007D59E2"/>
    <w:rsid w:val="009E1DB9"/>
    <w:rsid w:val="00AD44A7"/>
    <w:rsid w:val="00B31906"/>
    <w:rsid w:val="00FA30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2463"/>
  <w15:chartTrackingRefBased/>
  <w15:docId w15:val="{67429CFB-1A01-4F93-8E9F-DB3EAB58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9E2"/>
    <w:rPr>
      <w:rFonts w:eastAsiaTheme="majorEastAsia" w:cstheme="majorBidi"/>
      <w:color w:val="272727" w:themeColor="text1" w:themeTint="D8"/>
    </w:rPr>
  </w:style>
  <w:style w:type="paragraph" w:styleId="Title">
    <w:name w:val="Title"/>
    <w:basedOn w:val="Normal"/>
    <w:next w:val="Normal"/>
    <w:link w:val="TitleChar"/>
    <w:uiPriority w:val="10"/>
    <w:qFormat/>
    <w:rsid w:val="007D5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9E2"/>
    <w:pPr>
      <w:spacing w:before="160"/>
      <w:jc w:val="center"/>
    </w:pPr>
    <w:rPr>
      <w:i/>
      <w:iCs/>
      <w:color w:val="404040" w:themeColor="text1" w:themeTint="BF"/>
    </w:rPr>
  </w:style>
  <w:style w:type="character" w:customStyle="1" w:styleId="QuoteChar">
    <w:name w:val="Quote Char"/>
    <w:basedOn w:val="DefaultParagraphFont"/>
    <w:link w:val="Quote"/>
    <w:uiPriority w:val="29"/>
    <w:rsid w:val="007D59E2"/>
    <w:rPr>
      <w:i/>
      <w:iCs/>
      <w:color w:val="404040" w:themeColor="text1" w:themeTint="BF"/>
    </w:rPr>
  </w:style>
  <w:style w:type="paragraph" w:styleId="ListParagraph">
    <w:name w:val="List Paragraph"/>
    <w:basedOn w:val="Normal"/>
    <w:uiPriority w:val="34"/>
    <w:qFormat/>
    <w:rsid w:val="007D59E2"/>
    <w:pPr>
      <w:ind w:left="720"/>
      <w:contextualSpacing/>
    </w:pPr>
  </w:style>
  <w:style w:type="character" w:styleId="IntenseEmphasis">
    <w:name w:val="Intense Emphasis"/>
    <w:basedOn w:val="DefaultParagraphFont"/>
    <w:uiPriority w:val="21"/>
    <w:qFormat/>
    <w:rsid w:val="007D59E2"/>
    <w:rPr>
      <w:i/>
      <w:iCs/>
      <w:color w:val="0F4761" w:themeColor="accent1" w:themeShade="BF"/>
    </w:rPr>
  </w:style>
  <w:style w:type="paragraph" w:styleId="IntenseQuote">
    <w:name w:val="Intense Quote"/>
    <w:basedOn w:val="Normal"/>
    <w:next w:val="Normal"/>
    <w:link w:val="IntenseQuoteChar"/>
    <w:uiPriority w:val="30"/>
    <w:qFormat/>
    <w:rsid w:val="007D5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9E2"/>
    <w:rPr>
      <w:i/>
      <w:iCs/>
      <w:color w:val="0F4761" w:themeColor="accent1" w:themeShade="BF"/>
    </w:rPr>
  </w:style>
  <w:style w:type="character" w:styleId="IntenseReference">
    <w:name w:val="Intense Reference"/>
    <w:basedOn w:val="DefaultParagraphFont"/>
    <w:uiPriority w:val="32"/>
    <w:qFormat/>
    <w:rsid w:val="007D59E2"/>
    <w:rPr>
      <w:b/>
      <w:bCs/>
      <w:smallCaps/>
      <w:color w:val="0F4761" w:themeColor="accent1" w:themeShade="BF"/>
      <w:spacing w:val="5"/>
    </w:rPr>
  </w:style>
  <w:style w:type="character" w:styleId="Hyperlink">
    <w:name w:val="Hyperlink"/>
    <w:basedOn w:val="DefaultParagraphFont"/>
    <w:uiPriority w:val="99"/>
    <w:unhideWhenUsed/>
    <w:rsid w:val="00AD44A7"/>
    <w:rPr>
      <w:color w:val="467886" w:themeColor="hyperlink"/>
      <w:u w:val="single"/>
    </w:rPr>
  </w:style>
  <w:style w:type="character" w:styleId="UnresolvedMention">
    <w:name w:val="Unresolved Mention"/>
    <w:basedOn w:val="DefaultParagraphFont"/>
    <w:uiPriority w:val="99"/>
    <w:semiHidden/>
    <w:unhideWhenUsed/>
    <w:rsid w:val="00AD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cyov.org" TargetMode="External"/><Relationship Id="rId10" Type="http://schemas.openxmlformats.org/officeDocument/2006/relationships/customXml" Target="../customXml/item3.xml"/><Relationship Id="rId4" Type="http://schemas.openxmlformats.org/officeDocument/2006/relationships/hyperlink" Target="https://www.tcyov.org/izleme-degerlendirme-raporlari/" TargetMode="Externa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6DE19192-9687-4B8C-9123-7F74C584D689}"/>
</file>

<file path=customXml/itemProps2.xml><?xml version="1.0" encoding="utf-8"?>
<ds:datastoreItem xmlns:ds="http://schemas.openxmlformats.org/officeDocument/2006/customXml" ds:itemID="{2AE16B8E-49BE-4590-B9DE-2D990BE2A4F4}"/>
</file>

<file path=customXml/itemProps3.xml><?xml version="1.0" encoding="utf-8"?>
<ds:datastoreItem xmlns:ds="http://schemas.openxmlformats.org/officeDocument/2006/customXml" ds:itemID="{926F32FD-9DC4-4199-B29D-2FF2515B331C}"/>
</file>

<file path=docProps/app.xml><?xml version="1.0" encoding="utf-8"?>
<Properties xmlns="http://schemas.openxmlformats.org/officeDocument/2006/extended-properties" xmlns:vt="http://schemas.openxmlformats.org/officeDocument/2006/docPropsVTypes">
  <Template>Normal</Template>
  <TotalTime>20</TotalTime>
  <Pages>2</Pages>
  <Words>508</Words>
  <Characters>2899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Kolbay Hülya</dc:creator>
  <cp:keywords/>
  <dc:description/>
  <cp:lastModifiedBy>merve merdane</cp:lastModifiedBy>
  <cp:revision>2</cp:revision>
  <dcterms:created xsi:type="dcterms:W3CDTF">2026-01-06T06:59:00Z</dcterms:created>
  <dcterms:modified xsi:type="dcterms:W3CDTF">2026-01-07T06:51:00Z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