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1323" w14:textId="49EB217C" w:rsidR="000221D8" w:rsidRPr="004F57B6" w:rsidRDefault="00C748B4" w:rsidP="00BA3103">
      <w:pPr>
        <w:shd w:val="clear" w:color="auto" w:fill="FFFFFF" w:themeFill="background1"/>
        <w:spacing w:after="0" w:line="276" w:lineRule="auto"/>
        <w:contextualSpacing/>
        <w:jc w:val="center"/>
        <w:rPr>
          <w:rFonts w:ascii="Verdana" w:eastAsia="Calibri" w:hAnsi="Verdana" w:cs="Calibri"/>
          <w:b/>
          <w:bCs/>
          <w:sz w:val="28"/>
          <w:szCs w:val="28"/>
          <w:lang w:val="tr-TR"/>
        </w:rPr>
      </w:pPr>
      <w:r w:rsidRPr="004F57B6">
        <w:rPr>
          <w:rFonts w:ascii="Verdana" w:eastAsia="Calibri" w:hAnsi="Verdana" w:cs="Calibri"/>
          <w:b/>
          <w:bCs/>
          <w:sz w:val="28"/>
          <w:szCs w:val="28"/>
          <w:lang w:val="tr-TR"/>
        </w:rPr>
        <w:t>Yapay zekâ pazarı 25 kat büyüyerek 5 trilyon dolara yaklaşacak</w:t>
      </w:r>
    </w:p>
    <w:p w14:paraId="60F88607" w14:textId="77777777" w:rsidR="00050921" w:rsidRPr="004F57B6" w:rsidRDefault="00050921" w:rsidP="00F1438B">
      <w:pPr>
        <w:shd w:val="clear" w:color="auto" w:fill="FFFFFF" w:themeFill="background1"/>
        <w:spacing w:after="0" w:line="276" w:lineRule="auto"/>
        <w:contextualSpacing/>
        <w:jc w:val="center"/>
        <w:rPr>
          <w:rFonts w:ascii="Verdana" w:eastAsia="Calibri" w:hAnsi="Verdana" w:cs="Calibri"/>
          <w:b/>
          <w:bCs/>
          <w:sz w:val="28"/>
          <w:szCs w:val="28"/>
          <w:lang w:val="tr-TR"/>
        </w:rPr>
      </w:pPr>
    </w:p>
    <w:p w14:paraId="6D68AA9F" w14:textId="20249E22" w:rsidR="00991C4E" w:rsidRPr="004F57B6" w:rsidRDefault="00991C4E" w:rsidP="00326A14">
      <w:pPr>
        <w:shd w:val="clear" w:color="auto" w:fill="FFFFFF" w:themeFill="background1"/>
        <w:spacing w:after="0" w:line="276" w:lineRule="auto"/>
        <w:contextualSpacing/>
        <w:jc w:val="center"/>
        <w:rPr>
          <w:rFonts w:ascii="Verdana" w:eastAsia="Calibri" w:hAnsi="Verdana" w:cs="Calibri"/>
          <w:b/>
          <w:bCs/>
          <w:color w:val="000000" w:themeColor="text1"/>
          <w:sz w:val="22"/>
          <w:szCs w:val="22"/>
          <w:lang w:val="tr-TR"/>
        </w:rPr>
      </w:pPr>
      <w:r w:rsidRPr="004F57B6">
        <w:rPr>
          <w:rFonts w:ascii="Verdana" w:eastAsia="Calibri" w:hAnsi="Verdana" w:cs="Calibri"/>
          <w:b/>
          <w:bCs/>
          <w:color w:val="000000" w:themeColor="text1"/>
          <w:sz w:val="22"/>
          <w:szCs w:val="22"/>
          <w:lang w:val="tr-TR"/>
        </w:rPr>
        <w:t xml:space="preserve">2023 yılında 189 milyar dolar büyüklükte olan küresel yapay zekâ pazarının 2033’te 4,8 trilyon dolara çıkması beklenirken TD </w:t>
      </w:r>
      <w:proofErr w:type="spellStart"/>
      <w:r w:rsidRPr="004F57B6">
        <w:rPr>
          <w:rFonts w:ascii="Verdana" w:eastAsia="Calibri" w:hAnsi="Verdana" w:cs="Calibri"/>
          <w:b/>
          <w:bCs/>
          <w:color w:val="000000" w:themeColor="text1"/>
          <w:sz w:val="22"/>
          <w:szCs w:val="22"/>
          <w:lang w:val="tr-TR"/>
        </w:rPr>
        <w:t>SYNNEX’in</w:t>
      </w:r>
      <w:proofErr w:type="spellEnd"/>
      <w:r w:rsidRPr="004F57B6">
        <w:rPr>
          <w:rFonts w:ascii="Verdana" w:eastAsia="Calibri" w:hAnsi="Verdana" w:cs="Calibri"/>
          <w:b/>
          <w:bCs/>
          <w:color w:val="000000" w:themeColor="text1"/>
          <w:sz w:val="22"/>
          <w:szCs w:val="22"/>
          <w:lang w:val="tr-TR"/>
        </w:rPr>
        <w:t xml:space="preserve"> 2025 “Teknolojinin Yönü” raporu da iş ortaklarının yüzde 75’inin yapay zekâyı gelecekleri için vazgeçilmez gördüğünü ortaya koyuyor. Bu trende karşın şirketler nereden ve nasıl başlayacaklarını bilmedikleri için bu yapay zekâ dönüşümünde çekimser kalabiliyor. Bu ihtiyaca yanıt olarak geliştirilen </w:t>
      </w:r>
      <w:proofErr w:type="spellStart"/>
      <w:r w:rsidRPr="004F57B6">
        <w:rPr>
          <w:rFonts w:ascii="Verdana" w:eastAsia="Calibri" w:hAnsi="Verdana" w:cs="Calibri"/>
          <w:b/>
          <w:bCs/>
          <w:color w:val="000000" w:themeColor="text1"/>
          <w:sz w:val="22"/>
          <w:szCs w:val="22"/>
          <w:lang w:val="tr-TR"/>
        </w:rPr>
        <w:t>Destination</w:t>
      </w:r>
      <w:proofErr w:type="spellEnd"/>
      <w:r w:rsidRPr="004F57B6">
        <w:rPr>
          <w:rFonts w:ascii="Verdana" w:eastAsia="Calibri" w:hAnsi="Verdana" w:cs="Calibri"/>
          <w:b/>
          <w:bCs/>
          <w:color w:val="000000" w:themeColor="text1"/>
          <w:sz w:val="22"/>
          <w:szCs w:val="22"/>
          <w:lang w:val="tr-TR"/>
        </w:rPr>
        <w:t xml:space="preserve"> AI programı; farkındalık, yetkinlik kazandırma, satış desteği ve satış sonrası destek olmak üzere dört adımda şirketlerin yapay zekâ uygulamalarını hayata geçirmelerini sağlamasıyla dikkat çekiyor. </w:t>
      </w:r>
    </w:p>
    <w:p w14:paraId="5972C577" w14:textId="7C83A09D" w:rsidR="00DC7D6F" w:rsidRPr="004F57B6" w:rsidRDefault="58FD468E" w:rsidP="00BA3103">
      <w:pPr>
        <w:shd w:val="clear" w:color="auto" w:fill="FFFFFF" w:themeFill="background1"/>
        <w:spacing w:after="0" w:line="300" w:lineRule="auto"/>
        <w:contextualSpacing/>
        <w:jc w:val="both"/>
        <w:rPr>
          <w:rFonts w:ascii="Verdana" w:eastAsia="Calibri" w:hAnsi="Verdana" w:cs="Calibri"/>
          <w:color w:val="262626" w:themeColor="text1" w:themeTint="D9"/>
          <w:lang w:val="tr-TR"/>
        </w:rPr>
      </w:pPr>
      <w:r w:rsidRPr="004F57B6">
        <w:rPr>
          <w:rFonts w:ascii="Verdana" w:eastAsia="Calibri" w:hAnsi="Verdana" w:cs="Calibri"/>
          <w:color w:val="262626" w:themeColor="text1" w:themeTint="D9"/>
          <w:lang w:val="tr-TR"/>
        </w:rPr>
        <w:t xml:space="preserve"> </w:t>
      </w:r>
    </w:p>
    <w:p w14:paraId="64DD0A3E" w14:textId="7470DD47" w:rsidR="00015543" w:rsidRPr="004F57B6" w:rsidRDefault="00015543" w:rsidP="000D502F">
      <w:pPr>
        <w:spacing w:after="0" w:line="300" w:lineRule="auto"/>
        <w:contextualSpacing/>
        <w:jc w:val="both"/>
        <w:rPr>
          <w:rFonts w:ascii="Verdana" w:eastAsia="Calibri" w:hAnsi="Verdana" w:cs="Calibri"/>
          <w:color w:val="000000" w:themeColor="text1"/>
          <w:sz w:val="20"/>
          <w:szCs w:val="20"/>
          <w:lang w:val="tr-TR"/>
        </w:rPr>
      </w:pPr>
      <w:r w:rsidRPr="004F57B6">
        <w:rPr>
          <w:rFonts w:ascii="Verdana" w:eastAsia="Calibri" w:hAnsi="Verdana" w:cs="Calibri"/>
          <w:color w:val="000000" w:themeColor="text1"/>
          <w:sz w:val="20"/>
          <w:szCs w:val="20"/>
          <w:lang w:val="tr-TR"/>
        </w:rPr>
        <w:t>Yapay zekâ, hızla çağımızın en belirleyici teknolojisi haline geliyor. Birleşmiş Milletler Ticaret ve Kalkınma Konferansı (UNCTAD) tarafından hazırlanan yeni bir rapora göre, küresel yapay zekâ pazarı 2023’te 189 milyar dolarken, 2033’te 4,8 trilyon dolara ulaşacak, yani sadece on yılda 25 kat büyüyecek.</w:t>
      </w:r>
      <w:r w:rsidRPr="004F57B6">
        <w:rPr>
          <w:rStyle w:val="DipnotBavurusu"/>
          <w:rFonts w:ascii="Verdana" w:eastAsia="Calibri" w:hAnsi="Verdana" w:cs="Calibri"/>
          <w:color w:val="000000" w:themeColor="text1"/>
          <w:sz w:val="20"/>
          <w:szCs w:val="20"/>
          <w:lang w:val="tr-TR"/>
        </w:rPr>
        <w:footnoteReference w:id="1"/>
      </w:r>
      <w:r w:rsidR="000D502F" w:rsidRPr="004F57B6">
        <w:rPr>
          <w:rFonts w:ascii="Verdana" w:eastAsia="Calibri" w:hAnsi="Verdana" w:cs="Calibri"/>
          <w:color w:val="000000" w:themeColor="text1"/>
          <w:sz w:val="20"/>
          <w:szCs w:val="20"/>
          <w:lang w:val="tr-TR"/>
        </w:rPr>
        <w:t xml:space="preserve"> BT ekosistemi için lider bir küresel distribütör ve çözüm toplayıcısı olan TD </w:t>
      </w:r>
      <w:proofErr w:type="spellStart"/>
      <w:r w:rsidR="000D502F" w:rsidRPr="004F57B6">
        <w:rPr>
          <w:rFonts w:ascii="Verdana" w:eastAsia="Calibri" w:hAnsi="Verdana" w:cs="Calibri"/>
          <w:color w:val="000000" w:themeColor="text1"/>
          <w:sz w:val="20"/>
          <w:szCs w:val="20"/>
          <w:lang w:val="tr-TR"/>
        </w:rPr>
        <w:t>SYNNEX’in</w:t>
      </w:r>
      <w:proofErr w:type="spellEnd"/>
      <w:r w:rsidR="000D502F" w:rsidRPr="004F57B6">
        <w:rPr>
          <w:rFonts w:ascii="Verdana" w:eastAsia="Calibri" w:hAnsi="Verdana" w:cs="Calibri"/>
          <w:color w:val="000000" w:themeColor="text1"/>
          <w:sz w:val="20"/>
          <w:szCs w:val="20"/>
          <w:lang w:val="tr-TR"/>
        </w:rPr>
        <w:t xml:space="preserve"> </w:t>
      </w:r>
      <w:r w:rsidRPr="004F57B6">
        <w:rPr>
          <w:rFonts w:ascii="Verdana" w:eastAsia="Calibri" w:hAnsi="Verdana" w:cs="Calibri"/>
          <w:color w:val="000000" w:themeColor="text1"/>
          <w:sz w:val="20"/>
          <w:szCs w:val="20"/>
          <w:lang w:val="tr-TR"/>
        </w:rPr>
        <w:t>202</w:t>
      </w:r>
      <w:r w:rsidR="000D502F" w:rsidRPr="004F57B6">
        <w:rPr>
          <w:rFonts w:ascii="Verdana" w:eastAsia="Calibri" w:hAnsi="Verdana" w:cs="Calibri"/>
          <w:color w:val="000000" w:themeColor="text1"/>
          <w:sz w:val="20"/>
          <w:szCs w:val="20"/>
          <w:lang w:val="tr-TR"/>
        </w:rPr>
        <w:t>5</w:t>
      </w:r>
      <w:r w:rsidRPr="004F57B6">
        <w:rPr>
          <w:rFonts w:ascii="Verdana" w:eastAsia="Calibri" w:hAnsi="Verdana" w:cs="Calibri"/>
          <w:color w:val="000000" w:themeColor="text1"/>
          <w:sz w:val="20"/>
          <w:szCs w:val="20"/>
          <w:lang w:val="tr-TR"/>
        </w:rPr>
        <w:t xml:space="preserve"> </w:t>
      </w:r>
      <w:r w:rsidR="000D502F" w:rsidRPr="004F57B6">
        <w:rPr>
          <w:rFonts w:ascii="Verdana" w:eastAsia="Calibri" w:hAnsi="Verdana" w:cs="Calibri"/>
          <w:color w:val="000000" w:themeColor="text1"/>
          <w:sz w:val="20"/>
          <w:szCs w:val="20"/>
          <w:lang w:val="tr-TR"/>
        </w:rPr>
        <w:t>yılına ilişkin yayımladığı yeni “</w:t>
      </w:r>
      <w:r w:rsidRPr="004F57B6">
        <w:rPr>
          <w:rFonts w:ascii="Verdana" w:eastAsia="Calibri" w:hAnsi="Verdana" w:cs="Calibri"/>
          <w:color w:val="000000" w:themeColor="text1"/>
          <w:sz w:val="20"/>
          <w:szCs w:val="20"/>
          <w:lang w:val="tr-TR"/>
        </w:rPr>
        <w:t>Teknolojinin Yönü</w:t>
      </w:r>
      <w:r w:rsidR="000D502F" w:rsidRPr="004F57B6">
        <w:rPr>
          <w:rFonts w:ascii="Verdana" w:eastAsia="Calibri" w:hAnsi="Verdana" w:cs="Calibri"/>
          <w:color w:val="000000" w:themeColor="text1"/>
          <w:sz w:val="20"/>
          <w:szCs w:val="20"/>
          <w:lang w:val="tr-TR"/>
        </w:rPr>
        <w:t>”</w:t>
      </w:r>
      <w:r w:rsidRPr="004F57B6">
        <w:rPr>
          <w:rFonts w:ascii="Verdana" w:eastAsia="Calibri" w:hAnsi="Verdana" w:cs="Calibri"/>
          <w:color w:val="000000" w:themeColor="text1"/>
          <w:sz w:val="20"/>
          <w:szCs w:val="20"/>
          <w:lang w:val="tr-TR"/>
        </w:rPr>
        <w:t xml:space="preserve"> </w:t>
      </w:r>
      <w:r w:rsidR="000D502F" w:rsidRPr="004F57B6">
        <w:rPr>
          <w:rFonts w:ascii="Verdana" w:eastAsia="Calibri" w:hAnsi="Verdana" w:cs="Calibri"/>
          <w:color w:val="000000" w:themeColor="text1"/>
          <w:sz w:val="20"/>
          <w:szCs w:val="20"/>
          <w:lang w:val="tr-TR"/>
        </w:rPr>
        <w:t xml:space="preserve">raporunda da şirketin iş ortaklarının yaklaşık yüzde 75 yapay zekânın kendi gelecekleri için vazgeçilmez olduğunu söylüyor. Ayrıca yapay zekânın kullanımı yaygınlaşırken iş ortaklarının, yapay zekâ destekli siber güvenlik (yüzde 58,4) veya yapay zekâ ile otomasyon (yüzde 54,3) gibi daha gelişmiş ve etkili kullanım senaryoları sunarak kendilerini farklılaştırmaları gerektiklerine de dikkat çekiliyor.  </w:t>
      </w:r>
    </w:p>
    <w:p w14:paraId="5AD66943" w14:textId="77777777" w:rsidR="00C748B4" w:rsidRPr="004F57B6" w:rsidRDefault="00C748B4" w:rsidP="00015543">
      <w:pPr>
        <w:spacing w:after="0" w:line="300" w:lineRule="auto"/>
        <w:contextualSpacing/>
        <w:jc w:val="both"/>
        <w:rPr>
          <w:rFonts w:ascii="Verdana" w:eastAsia="Calibri" w:hAnsi="Verdana" w:cs="Calibri"/>
          <w:color w:val="000000" w:themeColor="text1"/>
          <w:sz w:val="20"/>
          <w:szCs w:val="20"/>
          <w:lang w:val="tr-TR"/>
        </w:rPr>
      </w:pPr>
    </w:p>
    <w:p w14:paraId="377AC1D6" w14:textId="40C322C8" w:rsidR="00C748B4" w:rsidRPr="004F57B6" w:rsidRDefault="00C748B4" w:rsidP="00C748B4">
      <w:pPr>
        <w:spacing w:after="0" w:line="300" w:lineRule="auto"/>
        <w:contextualSpacing/>
        <w:jc w:val="both"/>
        <w:rPr>
          <w:rFonts w:ascii="Verdana" w:eastAsia="Calibri" w:hAnsi="Verdana" w:cs="Calibri"/>
          <w:color w:val="000000" w:themeColor="text1"/>
          <w:sz w:val="20"/>
          <w:szCs w:val="20"/>
          <w:lang w:val="tr-TR"/>
        </w:rPr>
      </w:pPr>
      <w:r w:rsidRPr="004F57B6">
        <w:rPr>
          <w:rFonts w:ascii="Verdana" w:eastAsia="Calibri" w:hAnsi="Verdana" w:cs="Calibri"/>
          <w:color w:val="000000" w:themeColor="text1"/>
          <w:sz w:val="20"/>
          <w:szCs w:val="20"/>
          <w:lang w:val="tr-TR"/>
        </w:rPr>
        <w:t xml:space="preserve">Yapay zekâya dair heyecan oldukça yüksek olsa da şirketler, bu dönüşümü nasıl yapacakları konusunda yeterli bilgi birikimine sahip değil. “Nereden başlamalıyım?” en büyük soru işareti olarak akıllarda yanıt arıyor. Birçok şirket için yapay zekâ yeni ve karmaşık bir alan olduğundan yanlış bir adım atıp müşterilerinin ya da son kullanıcının güvenini zedelemekten çekiniyorlar. Bundan ötürü şirketlerin sadece bu teknolojiye değil, aynı zamanda güvene ve gönül rahatlığı ile ilerleyebilecekleri açık bir yol haritasına ihtiyaçları var. </w:t>
      </w:r>
    </w:p>
    <w:p w14:paraId="7B6B0103" w14:textId="77777777" w:rsidR="00C748B4" w:rsidRPr="004F57B6" w:rsidRDefault="00C748B4" w:rsidP="00C748B4">
      <w:pPr>
        <w:spacing w:after="0" w:line="300" w:lineRule="auto"/>
        <w:contextualSpacing/>
        <w:jc w:val="both"/>
        <w:rPr>
          <w:rFonts w:ascii="Verdana" w:eastAsia="Calibri" w:hAnsi="Verdana" w:cs="Calibri"/>
          <w:color w:val="000000" w:themeColor="text1"/>
          <w:sz w:val="20"/>
          <w:szCs w:val="20"/>
          <w:lang w:val="tr-TR"/>
        </w:rPr>
      </w:pPr>
    </w:p>
    <w:p w14:paraId="4640DB49" w14:textId="20A796BF" w:rsidR="00C748B4" w:rsidRPr="004F57B6" w:rsidRDefault="00C748B4" w:rsidP="00E84640">
      <w:pPr>
        <w:spacing w:after="0" w:line="300" w:lineRule="auto"/>
        <w:contextualSpacing/>
        <w:jc w:val="both"/>
        <w:rPr>
          <w:rFonts w:ascii="Verdana" w:eastAsia="Calibri" w:hAnsi="Verdana" w:cs="Calibri"/>
          <w:color w:val="000000" w:themeColor="text1"/>
          <w:sz w:val="20"/>
          <w:szCs w:val="20"/>
          <w:lang w:val="tr-TR"/>
        </w:rPr>
      </w:pPr>
      <w:r w:rsidRPr="004F57B6">
        <w:rPr>
          <w:rFonts w:ascii="Verdana" w:eastAsia="Calibri" w:hAnsi="Verdana" w:cs="Calibri"/>
          <w:color w:val="000000" w:themeColor="text1"/>
          <w:sz w:val="20"/>
          <w:szCs w:val="20"/>
          <w:lang w:val="tr-TR"/>
        </w:rPr>
        <w:t>Tam bu noktada bilgi birimleri ve teknolojileri ile bu yapay zekâ gelişime yön veren küresel markaların destekleri büyük önem kazanıyor. 100'den fazla ülkede 150 binden fazla müşteriye katma değerli distribütörlük hizmeti veren TD SYNNEX</w:t>
      </w:r>
      <w:r w:rsidR="617AC673" w:rsidRPr="004F57B6">
        <w:rPr>
          <w:rFonts w:ascii="Verdana" w:eastAsia="Calibri" w:hAnsi="Verdana" w:cs="Calibri"/>
          <w:color w:val="000000" w:themeColor="text1"/>
          <w:sz w:val="20"/>
          <w:szCs w:val="20"/>
          <w:lang w:val="tr-TR"/>
        </w:rPr>
        <w:t>,</w:t>
      </w:r>
      <w:r w:rsidR="00E84640" w:rsidRPr="004F57B6">
        <w:rPr>
          <w:rFonts w:ascii="Verdana" w:eastAsia="Calibri" w:hAnsi="Verdana" w:cs="Calibri"/>
          <w:color w:val="000000" w:themeColor="text1"/>
          <w:sz w:val="20"/>
          <w:szCs w:val="20"/>
          <w:lang w:val="tr-TR"/>
        </w:rPr>
        <w:t xml:space="preserve"> “</w:t>
      </w:r>
      <w:proofErr w:type="spellStart"/>
      <w:r w:rsidR="00E84640" w:rsidRPr="004F57B6">
        <w:rPr>
          <w:rFonts w:ascii="Verdana" w:eastAsia="Calibri" w:hAnsi="Verdana" w:cs="Calibri"/>
          <w:color w:val="000000" w:themeColor="text1"/>
          <w:sz w:val="20"/>
          <w:szCs w:val="20"/>
          <w:lang w:val="tr-TR"/>
        </w:rPr>
        <w:t>Destination</w:t>
      </w:r>
      <w:proofErr w:type="spellEnd"/>
      <w:r w:rsidR="00E84640" w:rsidRPr="004F57B6">
        <w:rPr>
          <w:rFonts w:ascii="Verdana" w:eastAsia="Calibri" w:hAnsi="Verdana" w:cs="Calibri"/>
          <w:color w:val="000000" w:themeColor="text1"/>
          <w:sz w:val="20"/>
          <w:szCs w:val="20"/>
          <w:lang w:val="tr-TR"/>
        </w:rPr>
        <w:t xml:space="preserve"> AI” programı ile tüm dünyada olduğu gibi Türkiye’deki iş ortaklarının ve müşterilerinin de yapay zekâ yolculuklarına destek veriyor. </w:t>
      </w:r>
    </w:p>
    <w:p w14:paraId="6ADA2A24" w14:textId="77777777" w:rsidR="00C748B4" w:rsidRPr="004F57B6" w:rsidRDefault="00C748B4" w:rsidP="00C748B4">
      <w:pPr>
        <w:spacing w:after="0" w:line="300" w:lineRule="auto"/>
        <w:contextualSpacing/>
        <w:jc w:val="both"/>
        <w:rPr>
          <w:rFonts w:ascii="Verdana" w:eastAsia="Calibri" w:hAnsi="Verdana" w:cs="Calibri"/>
          <w:color w:val="000000" w:themeColor="text1"/>
          <w:sz w:val="20"/>
          <w:szCs w:val="20"/>
          <w:lang w:val="tr-TR"/>
        </w:rPr>
      </w:pPr>
    </w:p>
    <w:p w14:paraId="0EE62FE3" w14:textId="58F736C2" w:rsidR="00B13624" w:rsidRPr="004F57B6" w:rsidRDefault="00B13624" w:rsidP="00C748B4">
      <w:pPr>
        <w:spacing w:after="0" w:line="300" w:lineRule="auto"/>
        <w:contextualSpacing/>
        <w:jc w:val="both"/>
        <w:rPr>
          <w:rFonts w:ascii="Verdana" w:eastAsia="Calibri" w:hAnsi="Verdana" w:cs="Calibri"/>
          <w:b/>
          <w:bCs/>
          <w:color w:val="000000" w:themeColor="text1"/>
          <w:sz w:val="20"/>
          <w:szCs w:val="20"/>
          <w:lang w:val="tr-TR"/>
        </w:rPr>
      </w:pPr>
      <w:r w:rsidRPr="004F57B6">
        <w:rPr>
          <w:rFonts w:ascii="Verdana" w:eastAsia="Calibri" w:hAnsi="Verdana" w:cs="Calibri"/>
          <w:b/>
          <w:bCs/>
          <w:color w:val="000000" w:themeColor="text1"/>
          <w:sz w:val="20"/>
          <w:szCs w:val="20"/>
          <w:lang w:val="tr-TR"/>
        </w:rPr>
        <w:lastRenderedPageBreak/>
        <w:t>“Dağa tırmanırken sadece iyi ekipman yetmez; doğru rotayı da bilmek gerekir.”</w:t>
      </w:r>
    </w:p>
    <w:p w14:paraId="3F396748" w14:textId="4DD78021" w:rsidR="00B13624" w:rsidRPr="004F57B6" w:rsidRDefault="00B13624" w:rsidP="00B13624">
      <w:pPr>
        <w:spacing w:after="0" w:line="300" w:lineRule="auto"/>
        <w:contextualSpacing/>
        <w:jc w:val="both"/>
        <w:rPr>
          <w:rFonts w:ascii="Verdana" w:eastAsia="Calibri" w:hAnsi="Verdana" w:cs="Calibri"/>
          <w:sz w:val="20"/>
          <w:szCs w:val="20"/>
          <w:lang w:val="tr-TR"/>
        </w:rPr>
      </w:pPr>
      <w:r w:rsidRPr="004F57B6">
        <w:rPr>
          <w:rFonts w:ascii="Verdana" w:eastAsia="Calibri" w:hAnsi="Verdana" w:cs="Calibri"/>
          <w:sz w:val="20"/>
          <w:szCs w:val="20"/>
          <w:lang w:val="tr-TR"/>
        </w:rPr>
        <w:t xml:space="preserve">Yapay zekâya olan ilgi oldukça yüksek olsa da iş ortaklarından sadece teknik açıdan değil strateji, yatırım ve risk gibi işin geleceğine yönelik sorular aldıklarını söyleyen TD SYNNEX Türkiye Başkanı Behçet </w:t>
      </w:r>
      <w:proofErr w:type="spellStart"/>
      <w:r w:rsidRPr="004F57B6">
        <w:rPr>
          <w:rFonts w:ascii="Verdana" w:eastAsia="Calibri" w:hAnsi="Verdana" w:cs="Calibri"/>
          <w:sz w:val="20"/>
          <w:szCs w:val="20"/>
          <w:lang w:val="tr-TR"/>
        </w:rPr>
        <w:t>Yumrukçallı</w:t>
      </w:r>
      <w:proofErr w:type="spellEnd"/>
      <w:r w:rsidRPr="004F57B6">
        <w:rPr>
          <w:rFonts w:ascii="Verdana" w:eastAsia="Calibri" w:hAnsi="Verdana" w:cs="Calibri"/>
          <w:sz w:val="20"/>
          <w:szCs w:val="20"/>
          <w:lang w:val="tr-TR"/>
        </w:rPr>
        <w:t xml:space="preserve">, “Bize en çok yöneltilen soruların başında ‘Nasıl başlamalıyım?’ geliyor. Birçok iş ortağımız için yapay zekâ yeni, karmaşık ve zorlayıcı bir alan; yanlış bir adım atıp müşterilerinin ya da nihai kullanıcının güvenini zedelemekten çekiniyorlar. Gerçek şu ki, iş ortaklarımız teknolojiyi kullanırken aynı zamanda güven, açıklık ve ilerleyebilecekleri net bir yol haritasına ihtiyacı var. Bayilerimiz fırsatların bol olduğunu, fakat karşılarındaki engellerin bazen yapay zekâya geçişi dağa tırmanmaya benzettiğini söylüyorlar. Tıpkı dağa tırmanırken olduğu gibi, sadece iyi ekipman yetmez; doğru rotayı da bilmek gerekir.” </w:t>
      </w:r>
    </w:p>
    <w:p w14:paraId="183C0E40" w14:textId="77777777" w:rsidR="00B13624" w:rsidRPr="004F57B6" w:rsidRDefault="00B13624" w:rsidP="00B13624">
      <w:pPr>
        <w:spacing w:after="0" w:line="300" w:lineRule="auto"/>
        <w:contextualSpacing/>
        <w:jc w:val="both"/>
        <w:rPr>
          <w:rFonts w:ascii="Verdana" w:eastAsia="Calibri" w:hAnsi="Verdana" w:cs="Calibri"/>
          <w:sz w:val="20"/>
          <w:szCs w:val="20"/>
          <w:lang w:val="tr-TR"/>
        </w:rPr>
      </w:pPr>
    </w:p>
    <w:p w14:paraId="2EF55E8E" w14:textId="66B1B128" w:rsidR="00DA28E3" w:rsidRPr="004F57B6" w:rsidRDefault="00DA28E3" w:rsidP="00B13624">
      <w:pPr>
        <w:spacing w:after="0" w:line="300" w:lineRule="auto"/>
        <w:contextualSpacing/>
        <w:jc w:val="both"/>
        <w:rPr>
          <w:rFonts w:ascii="Verdana" w:eastAsia="Calibri" w:hAnsi="Verdana" w:cs="Calibri"/>
          <w:b/>
          <w:bCs/>
          <w:sz w:val="20"/>
          <w:szCs w:val="20"/>
          <w:lang w:val="tr-TR"/>
        </w:rPr>
      </w:pPr>
      <w:r w:rsidRPr="004F57B6">
        <w:rPr>
          <w:rFonts w:ascii="Verdana" w:eastAsia="Calibri" w:hAnsi="Verdana" w:cs="Calibri"/>
          <w:b/>
          <w:bCs/>
          <w:color w:val="000000" w:themeColor="text1"/>
          <w:sz w:val="20"/>
          <w:szCs w:val="20"/>
          <w:lang w:val="tr-TR"/>
        </w:rPr>
        <w:t xml:space="preserve">Yapay zekânın somut şekilde kullanılabilmesi için oluşturulmuş bir program </w:t>
      </w:r>
    </w:p>
    <w:p w14:paraId="1FA1779C" w14:textId="3DB3B459" w:rsidR="002C4B47" w:rsidRPr="004F57B6" w:rsidRDefault="00B13624" w:rsidP="00B13624">
      <w:pPr>
        <w:spacing w:after="0" w:line="300" w:lineRule="auto"/>
        <w:contextualSpacing/>
        <w:jc w:val="both"/>
        <w:rPr>
          <w:rFonts w:ascii="Verdana" w:eastAsia="Calibri" w:hAnsi="Verdana" w:cs="Calibri"/>
          <w:color w:val="000000" w:themeColor="text1"/>
          <w:sz w:val="20"/>
          <w:szCs w:val="20"/>
          <w:lang w:val="tr-TR"/>
        </w:rPr>
      </w:pPr>
      <w:r w:rsidRPr="004F57B6">
        <w:rPr>
          <w:rFonts w:ascii="Verdana" w:eastAsia="Calibri" w:hAnsi="Verdana" w:cs="Calibri"/>
          <w:sz w:val="20"/>
          <w:szCs w:val="20"/>
          <w:lang w:val="tr-TR"/>
        </w:rPr>
        <w:t xml:space="preserve">İşte TD </w:t>
      </w:r>
      <w:proofErr w:type="spellStart"/>
      <w:r w:rsidRPr="004F57B6">
        <w:rPr>
          <w:rFonts w:ascii="Verdana" w:eastAsia="Calibri" w:hAnsi="Verdana" w:cs="Calibri"/>
          <w:sz w:val="20"/>
          <w:szCs w:val="20"/>
          <w:lang w:val="tr-TR"/>
        </w:rPr>
        <w:t>SYNNEX’in</w:t>
      </w:r>
      <w:proofErr w:type="spellEnd"/>
      <w:r w:rsidRPr="004F57B6">
        <w:rPr>
          <w:rFonts w:ascii="Verdana" w:eastAsia="Calibri" w:hAnsi="Verdana" w:cs="Calibri"/>
          <w:sz w:val="20"/>
          <w:szCs w:val="20"/>
          <w:lang w:val="tr-TR"/>
        </w:rPr>
        <w:t xml:space="preserve"> </w:t>
      </w:r>
      <w:proofErr w:type="spellStart"/>
      <w:r w:rsidRPr="004F57B6">
        <w:rPr>
          <w:rFonts w:ascii="Verdana" w:eastAsia="Calibri" w:hAnsi="Verdana" w:cs="Calibri"/>
          <w:sz w:val="20"/>
          <w:szCs w:val="20"/>
          <w:lang w:val="tr-TR"/>
        </w:rPr>
        <w:t>Destination</w:t>
      </w:r>
      <w:proofErr w:type="spellEnd"/>
      <w:r w:rsidRPr="004F57B6">
        <w:rPr>
          <w:rFonts w:ascii="Verdana" w:eastAsia="Calibri" w:hAnsi="Verdana" w:cs="Calibri"/>
          <w:sz w:val="20"/>
          <w:szCs w:val="20"/>
          <w:lang w:val="tr-TR"/>
        </w:rPr>
        <w:t xml:space="preserve"> AI programı tam da bu noktada devreye giriyor. Tüm bu soruları ve zorlukları çözüme kavuşturup süreci basitleştiriyor. TD SYNNEX, bu program ile iş ortaklarının yapay zekâ dönüşümü sürecinde her adımda yanlarında olmayı, yapay zekânın kullanımı önündeki engelleri kaldırmayı ve böylece iş dünyasının bu fırsatlardan en iyi şekilde yararlanmasını hedefliyor.</w:t>
      </w:r>
    </w:p>
    <w:p w14:paraId="455622D5" w14:textId="77777777" w:rsidR="00E84640" w:rsidRPr="004F57B6" w:rsidRDefault="00E84640" w:rsidP="002C4B47">
      <w:pPr>
        <w:spacing w:after="0" w:line="300" w:lineRule="auto"/>
        <w:contextualSpacing/>
        <w:jc w:val="both"/>
        <w:rPr>
          <w:rFonts w:ascii="Verdana" w:eastAsia="Calibri" w:hAnsi="Verdana" w:cs="Calibri"/>
          <w:color w:val="000000" w:themeColor="text1"/>
          <w:sz w:val="20"/>
          <w:szCs w:val="20"/>
          <w:lang w:val="tr-TR"/>
        </w:rPr>
      </w:pPr>
    </w:p>
    <w:p w14:paraId="5D218A07" w14:textId="1F831E4B" w:rsidR="00DA28E3" w:rsidRPr="004F57B6" w:rsidRDefault="00DA28E3" w:rsidP="00DA28E3">
      <w:pPr>
        <w:spacing w:after="0" w:line="300" w:lineRule="auto"/>
        <w:contextualSpacing/>
        <w:jc w:val="both"/>
        <w:rPr>
          <w:rFonts w:ascii="Verdana" w:eastAsia="Calibri" w:hAnsi="Verdana" w:cs="Calibri"/>
          <w:color w:val="000000" w:themeColor="text1"/>
          <w:sz w:val="20"/>
          <w:szCs w:val="20"/>
          <w:lang w:val="tr-TR"/>
        </w:rPr>
      </w:pPr>
      <w:proofErr w:type="spellStart"/>
      <w:r w:rsidRPr="004F57B6">
        <w:rPr>
          <w:rFonts w:ascii="Verdana" w:eastAsia="Calibri" w:hAnsi="Verdana" w:cs="Calibri"/>
          <w:color w:val="000000" w:themeColor="text1"/>
          <w:sz w:val="20"/>
          <w:szCs w:val="20"/>
          <w:lang w:val="tr-TR"/>
        </w:rPr>
        <w:t>Destination</w:t>
      </w:r>
      <w:proofErr w:type="spellEnd"/>
      <w:r w:rsidRPr="004F57B6">
        <w:rPr>
          <w:rFonts w:ascii="Verdana" w:eastAsia="Calibri" w:hAnsi="Verdana" w:cs="Calibri"/>
          <w:color w:val="000000" w:themeColor="text1"/>
          <w:sz w:val="20"/>
          <w:szCs w:val="20"/>
          <w:lang w:val="tr-TR"/>
        </w:rPr>
        <w:t xml:space="preserve"> AI, TD </w:t>
      </w:r>
      <w:proofErr w:type="spellStart"/>
      <w:r w:rsidRPr="004F57B6">
        <w:rPr>
          <w:rFonts w:ascii="Verdana" w:eastAsia="Calibri" w:hAnsi="Verdana" w:cs="Calibri"/>
          <w:color w:val="000000" w:themeColor="text1"/>
          <w:sz w:val="20"/>
          <w:szCs w:val="20"/>
          <w:lang w:val="tr-TR"/>
        </w:rPr>
        <w:t>SYNNEX’in</w:t>
      </w:r>
      <w:proofErr w:type="spellEnd"/>
      <w:r w:rsidRPr="004F57B6">
        <w:rPr>
          <w:rFonts w:ascii="Verdana" w:eastAsia="Calibri" w:hAnsi="Verdana" w:cs="Calibri"/>
          <w:color w:val="000000" w:themeColor="text1"/>
          <w:sz w:val="20"/>
          <w:szCs w:val="20"/>
          <w:lang w:val="tr-TR"/>
        </w:rPr>
        <w:t xml:space="preserve"> iş birliği yaptığı her bayi ve üreticinin yapay zekâyı işlerinde somut şekilde hayata geçirebilmesi için oluşturulmuş bir program olup iş ortakların yapay zekâ çözümlerini sadece teoride bırakmayıp, doğrudan iş hedeflerine, müşteri beklentilerine ve pazar fırsatlarına göre kullanabilmeleri için tasarlandı. </w:t>
      </w:r>
      <w:proofErr w:type="spellStart"/>
      <w:r w:rsidRPr="004F57B6">
        <w:rPr>
          <w:rFonts w:ascii="Verdana" w:eastAsia="Calibri" w:hAnsi="Verdana" w:cs="Calibri"/>
          <w:color w:val="000000" w:themeColor="text1"/>
          <w:sz w:val="20"/>
          <w:szCs w:val="20"/>
          <w:lang w:val="tr-TR"/>
        </w:rPr>
        <w:t>Destination</w:t>
      </w:r>
      <w:proofErr w:type="spellEnd"/>
      <w:r w:rsidRPr="004F57B6">
        <w:rPr>
          <w:rFonts w:ascii="Verdana" w:eastAsia="Calibri" w:hAnsi="Verdana" w:cs="Calibri"/>
          <w:color w:val="000000" w:themeColor="text1"/>
          <w:sz w:val="20"/>
          <w:szCs w:val="20"/>
          <w:lang w:val="tr-TR"/>
        </w:rPr>
        <w:t xml:space="preserve"> AI; güvenlik, ağ, depolama, bulut gibi diğer yeni teknolojilerle birlikte çalışarak, dijital dönüşümde daha bağlantılı ve uçtan uca bir yaklaşımı destekliyor. </w:t>
      </w:r>
    </w:p>
    <w:p w14:paraId="46091D2C" w14:textId="77777777" w:rsidR="004569B2" w:rsidRPr="004F57B6" w:rsidRDefault="004569B2" w:rsidP="00DA28E3">
      <w:pPr>
        <w:spacing w:after="0" w:line="300" w:lineRule="auto"/>
        <w:contextualSpacing/>
        <w:jc w:val="both"/>
        <w:rPr>
          <w:rFonts w:ascii="Verdana" w:eastAsia="Calibri" w:hAnsi="Verdana" w:cs="Calibri"/>
          <w:color w:val="000000" w:themeColor="text1"/>
          <w:sz w:val="20"/>
          <w:szCs w:val="20"/>
          <w:lang w:val="tr-TR"/>
        </w:rPr>
      </w:pPr>
    </w:p>
    <w:p w14:paraId="45047E44" w14:textId="7F3D15E7" w:rsidR="00DA28E3" w:rsidRPr="004F57B6" w:rsidRDefault="003D1F14" w:rsidP="002C4B47">
      <w:pPr>
        <w:spacing w:after="0" w:line="300" w:lineRule="auto"/>
        <w:contextualSpacing/>
        <w:jc w:val="both"/>
        <w:rPr>
          <w:rFonts w:ascii="Verdana" w:eastAsia="Calibri" w:hAnsi="Verdana" w:cs="Calibri"/>
          <w:b/>
          <w:bCs/>
          <w:color w:val="000000" w:themeColor="text1"/>
          <w:sz w:val="20"/>
          <w:szCs w:val="20"/>
          <w:lang w:val="tr-TR"/>
        </w:rPr>
      </w:pPr>
      <w:r w:rsidRPr="004F57B6">
        <w:rPr>
          <w:rFonts w:ascii="Verdana" w:eastAsia="Calibri" w:hAnsi="Verdana" w:cs="Calibri"/>
          <w:b/>
          <w:bCs/>
          <w:color w:val="000000" w:themeColor="text1"/>
          <w:sz w:val="20"/>
          <w:szCs w:val="20"/>
          <w:lang w:val="tr-TR"/>
        </w:rPr>
        <w:t>Dört adımda hedefe u</w:t>
      </w:r>
      <w:r w:rsidR="226E0022" w:rsidRPr="004F57B6">
        <w:rPr>
          <w:rFonts w:ascii="Verdana" w:eastAsia="Calibri" w:hAnsi="Verdana" w:cs="Calibri"/>
          <w:b/>
          <w:bCs/>
          <w:color w:val="000000" w:themeColor="text1"/>
          <w:sz w:val="20"/>
          <w:szCs w:val="20"/>
          <w:lang w:val="tr-TR"/>
        </w:rPr>
        <w:t xml:space="preserve">laştıran </w:t>
      </w:r>
      <w:r w:rsidRPr="004F57B6">
        <w:rPr>
          <w:rFonts w:ascii="Verdana" w:eastAsia="Calibri" w:hAnsi="Verdana" w:cs="Calibri"/>
          <w:b/>
          <w:bCs/>
          <w:color w:val="000000" w:themeColor="text1"/>
          <w:sz w:val="20"/>
          <w:szCs w:val="20"/>
          <w:lang w:val="tr-TR"/>
        </w:rPr>
        <w:t>yapay zekâ yolculuğu</w:t>
      </w:r>
    </w:p>
    <w:p w14:paraId="678747A3" w14:textId="780C284B" w:rsidR="00DA28E3" w:rsidRPr="004F57B6" w:rsidRDefault="00DA28E3" w:rsidP="002C4B47">
      <w:pPr>
        <w:spacing w:after="0" w:line="300" w:lineRule="auto"/>
        <w:contextualSpacing/>
        <w:jc w:val="both"/>
        <w:rPr>
          <w:rFonts w:ascii="Verdana" w:eastAsia="Calibri" w:hAnsi="Verdana" w:cs="Calibri"/>
          <w:color w:val="000000" w:themeColor="text1"/>
          <w:sz w:val="20"/>
          <w:szCs w:val="20"/>
          <w:lang w:val="tr-TR"/>
        </w:rPr>
      </w:pPr>
      <w:proofErr w:type="spellStart"/>
      <w:r w:rsidRPr="004F57B6">
        <w:rPr>
          <w:rFonts w:ascii="Verdana" w:eastAsia="Calibri" w:hAnsi="Verdana" w:cs="Calibri"/>
          <w:color w:val="000000" w:themeColor="text1"/>
          <w:sz w:val="20"/>
          <w:szCs w:val="20"/>
          <w:lang w:val="tr-TR"/>
        </w:rPr>
        <w:t>Destination</w:t>
      </w:r>
      <w:proofErr w:type="spellEnd"/>
      <w:r w:rsidRPr="004F57B6">
        <w:rPr>
          <w:rFonts w:ascii="Verdana" w:eastAsia="Calibri" w:hAnsi="Verdana" w:cs="Calibri"/>
          <w:color w:val="000000" w:themeColor="text1"/>
          <w:sz w:val="20"/>
          <w:szCs w:val="20"/>
          <w:lang w:val="tr-TR"/>
        </w:rPr>
        <w:t xml:space="preserve"> AI programı, iş dünyasının yapay zekâ alanındaki yolculuğunu dört ana başlıkta hızlandırıyor:</w:t>
      </w:r>
    </w:p>
    <w:p w14:paraId="1AFDB152" w14:textId="2172247C" w:rsidR="00DA28E3" w:rsidRPr="004F57B6" w:rsidRDefault="003D1F14" w:rsidP="003D1F14">
      <w:pPr>
        <w:pStyle w:val="ListeParagraf"/>
        <w:numPr>
          <w:ilvl w:val="0"/>
          <w:numId w:val="7"/>
        </w:numPr>
        <w:spacing w:after="0" w:line="300" w:lineRule="auto"/>
        <w:jc w:val="both"/>
        <w:rPr>
          <w:rFonts w:ascii="Verdana" w:eastAsia="Calibri" w:hAnsi="Verdana" w:cs="Calibri"/>
          <w:color w:val="000000" w:themeColor="text1"/>
          <w:sz w:val="20"/>
          <w:szCs w:val="20"/>
          <w:lang w:val="tr-TR"/>
        </w:rPr>
      </w:pPr>
      <w:r w:rsidRPr="004F57B6">
        <w:rPr>
          <w:rFonts w:ascii="Verdana" w:eastAsia="Calibri" w:hAnsi="Verdana" w:cs="Calibri"/>
          <w:b/>
          <w:bCs/>
          <w:color w:val="000000" w:themeColor="text1"/>
          <w:sz w:val="20"/>
          <w:szCs w:val="20"/>
          <w:lang w:val="tr-TR"/>
        </w:rPr>
        <w:t>İlk adım farkındalık</w:t>
      </w:r>
      <w:r w:rsidRPr="004F57B6">
        <w:rPr>
          <w:rFonts w:ascii="Verdana" w:eastAsia="Calibri" w:hAnsi="Verdana" w:cs="Calibri"/>
          <w:color w:val="000000" w:themeColor="text1"/>
          <w:sz w:val="20"/>
          <w:szCs w:val="20"/>
          <w:lang w:val="tr-TR"/>
        </w:rPr>
        <w:t>: Bu adımda dönüşümün temelleri atlıyor, iş ortakları yapay zekâdaki en son gelişmeler, sektör trendleri ve değer önerileri konusunda bilgilendiriliyor. Solution Grid gibi araçlar ve iş ortağı AI profilleme çözümleri sayesinde, ortakların yapay zekâ yolculuklarında hangi aşamada oldukları belirleniyor ve hedeflerine en uygun çözümleri keşfetmelerine yardım ediliyor.</w:t>
      </w:r>
    </w:p>
    <w:p w14:paraId="1322227C" w14:textId="725643AA" w:rsidR="00DA28E3" w:rsidRPr="004F57B6" w:rsidRDefault="003D1F14" w:rsidP="003D1F14">
      <w:pPr>
        <w:pStyle w:val="ListeParagraf"/>
        <w:numPr>
          <w:ilvl w:val="0"/>
          <w:numId w:val="7"/>
        </w:numPr>
        <w:spacing w:after="0" w:line="300" w:lineRule="auto"/>
        <w:jc w:val="both"/>
        <w:rPr>
          <w:rFonts w:ascii="Verdana" w:eastAsia="Calibri" w:hAnsi="Verdana" w:cs="Calibri"/>
          <w:color w:val="000000" w:themeColor="text1"/>
          <w:sz w:val="20"/>
          <w:szCs w:val="20"/>
          <w:lang w:val="tr-TR"/>
        </w:rPr>
      </w:pPr>
      <w:r w:rsidRPr="004F57B6">
        <w:rPr>
          <w:rFonts w:ascii="Verdana" w:eastAsia="Calibri" w:hAnsi="Verdana" w:cs="Calibri"/>
          <w:color w:val="000000" w:themeColor="text1"/>
          <w:sz w:val="20"/>
          <w:szCs w:val="20"/>
          <w:lang w:val="tr-TR"/>
        </w:rPr>
        <w:t xml:space="preserve">Bir sonraki aşama, </w:t>
      </w:r>
      <w:r w:rsidRPr="004F57B6">
        <w:rPr>
          <w:rFonts w:ascii="Verdana" w:eastAsia="Calibri" w:hAnsi="Verdana" w:cs="Calibri"/>
          <w:b/>
          <w:bCs/>
          <w:color w:val="000000" w:themeColor="text1"/>
          <w:sz w:val="20"/>
          <w:szCs w:val="20"/>
          <w:lang w:val="tr-TR"/>
        </w:rPr>
        <w:t>Yetkinlik Kazandırma</w:t>
      </w:r>
      <w:r w:rsidRPr="004F57B6">
        <w:rPr>
          <w:rFonts w:ascii="Verdana" w:eastAsia="Calibri" w:hAnsi="Verdana" w:cs="Calibri"/>
          <w:color w:val="000000" w:themeColor="text1"/>
          <w:sz w:val="20"/>
          <w:szCs w:val="20"/>
          <w:lang w:val="tr-TR"/>
        </w:rPr>
        <w:t>: Bu aşamada, iş ortakları yapay zekâyı pazara sunma stratejilerine entegre edebilmeleri için gereken beceri, kaynak ve dönüşüm rehberliğiyle destekleniyor. Program, yapay zekâ teknolojilerini gerçek kullanım senaryolarıyla buluşturarak, iş ortaklarının müşterilerine ölçülebilir değer sunmasını sağlıyor. Burada sadece yapay zekâyı anlamak değil, aynı zamanda güvenilir bir AI uygulama pratiği oluşturmak hedefleniyor. Hızlı yetenek aktarımı ve pratik eğitimlerle, teorik bilgilerin uygulamaya dönüşmesi sağlanıyor.</w:t>
      </w:r>
    </w:p>
    <w:p w14:paraId="475BF4D7" w14:textId="7077EE95" w:rsidR="00DA28E3" w:rsidRPr="004F57B6" w:rsidRDefault="003D1F14" w:rsidP="002C4B47">
      <w:pPr>
        <w:pStyle w:val="ListeParagraf"/>
        <w:numPr>
          <w:ilvl w:val="0"/>
          <w:numId w:val="7"/>
        </w:numPr>
        <w:spacing w:after="0" w:line="300" w:lineRule="auto"/>
        <w:jc w:val="both"/>
        <w:rPr>
          <w:rFonts w:ascii="Verdana" w:eastAsia="Calibri" w:hAnsi="Verdana" w:cs="Calibri"/>
          <w:color w:val="000000" w:themeColor="text1"/>
          <w:sz w:val="20"/>
          <w:szCs w:val="20"/>
          <w:lang w:val="tr-TR"/>
        </w:rPr>
      </w:pPr>
      <w:r w:rsidRPr="004F57B6">
        <w:rPr>
          <w:rFonts w:ascii="Verdana" w:eastAsia="Calibri" w:hAnsi="Verdana" w:cs="Calibri"/>
          <w:color w:val="000000" w:themeColor="text1"/>
          <w:sz w:val="20"/>
          <w:szCs w:val="20"/>
          <w:lang w:val="tr-TR"/>
        </w:rPr>
        <w:lastRenderedPageBreak/>
        <w:t xml:space="preserve">Satış aşamasında ise ana odak </w:t>
      </w:r>
      <w:r w:rsidRPr="004F57B6">
        <w:rPr>
          <w:rFonts w:ascii="Verdana" w:eastAsia="Calibri" w:hAnsi="Verdana" w:cs="Calibri"/>
          <w:b/>
          <w:bCs/>
          <w:color w:val="000000" w:themeColor="text1"/>
          <w:sz w:val="20"/>
          <w:szCs w:val="20"/>
          <w:lang w:val="tr-TR"/>
        </w:rPr>
        <w:t>Destek</w:t>
      </w:r>
      <w:r w:rsidRPr="004F57B6">
        <w:rPr>
          <w:rFonts w:ascii="Verdana" w:eastAsia="Calibri" w:hAnsi="Verdana" w:cs="Calibri"/>
          <w:color w:val="000000" w:themeColor="text1"/>
          <w:sz w:val="20"/>
          <w:szCs w:val="20"/>
          <w:lang w:val="tr-TR"/>
        </w:rPr>
        <w:t>. AI satış süreçlerinin oldukça karmaşık olabileceğinin ve AI çözümlerinin her zaman kolay anlaşılır olmadığının farkında olan TD SYNNEX, bu noktada; örnek kullanım senaryoları, demo ortamları ve teknik destek gibi uygulamalı rehberlik ve uzman danışmanlık sunuyor.</w:t>
      </w:r>
    </w:p>
    <w:p w14:paraId="28D3201C" w14:textId="6BF87516" w:rsidR="00015543" w:rsidRPr="004F57B6" w:rsidRDefault="003D1F14" w:rsidP="002C4B47">
      <w:pPr>
        <w:pStyle w:val="ListeParagraf"/>
        <w:numPr>
          <w:ilvl w:val="0"/>
          <w:numId w:val="7"/>
        </w:numPr>
        <w:spacing w:after="0" w:line="300" w:lineRule="auto"/>
        <w:jc w:val="both"/>
        <w:rPr>
          <w:rFonts w:ascii="Verdana" w:eastAsia="Calibri" w:hAnsi="Verdana" w:cs="Calibri"/>
          <w:color w:val="000000" w:themeColor="text1"/>
          <w:sz w:val="20"/>
          <w:szCs w:val="20"/>
          <w:lang w:val="tr-TR"/>
        </w:rPr>
      </w:pPr>
      <w:r w:rsidRPr="004F57B6">
        <w:rPr>
          <w:rFonts w:ascii="Verdana" w:eastAsia="Calibri" w:hAnsi="Verdana" w:cs="Calibri"/>
          <w:color w:val="000000" w:themeColor="text1"/>
          <w:sz w:val="20"/>
          <w:szCs w:val="20"/>
          <w:lang w:val="tr-TR"/>
        </w:rPr>
        <w:t xml:space="preserve">Son adım ise </w:t>
      </w:r>
      <w:r w:rsidRPr="004F57B6">
        <w:rPr>
          <w:rFonts w:ascii="Verdana" w:eastAsia="Calibri" w:hAnsi="Verdana" w:cs="Calibri"/>
          <w:b/>
          <w:bCs/>
          <w:color w:val="000000" w:themeColor="text1"/>
          <w:sz w:val="20"/>
          <w:szCs w:val="20"/>
          <w:lang w:val="tr-TR"/>
        </w:rPr>
        <w:t xml:space="preserve">Satış Sonrası </w:t>
      </w:r>
      <w:r w:rsidRPr="004F57B6">
        <w:rPr>
          <w:rFonts w:ascii="Verdana" w:eastAsia="Calibri" w:hAnsi="Verdana" w:cs="Calibri"/>
          <w:color w:val="000000" w:themeColor="text1"/>
          <w:sz w:val="20"/>
          <w:szCs w:val="20"/>
          <w:lang w:val="tr-TR"/>
        </w:rPr>
        <w:t>Destek. Bu adımda satış sonrası süreçte iş ortakları yalnız bırakılmıyor. Amaç, iş ortaklarının AI projelerini başarıyla hayata geçirmelerine destek olmaya devam etmek. Bunun için uygulama, işletme ve yönetim aşamalarında profesyonel hizmetlere erişim ile projelerin tüm yaşam döngüsünü kapsayan destek veriliyor.</w:t>
      </w:r>
    </w:p>
    <w:p w14:paraId="595858F2" w14:textId="77777777" w:rsidR="003D1F14" w:rsidRPr="004F57B6" w:rsidRDefault="003D1F14" w:rsidP="003D1F14">
      <w:pPr>
        <w:pStyle w:val="ListeParagraf"/>
        <w:spacing w:after="0" w:line="300" w:lineRule="auto"/>
        <w:jc w:val="both"/>
        <w:rPr>
          <w:rFonts w:ascii="Verdana" w:eastAsia="Calibri" w:hAnsi="Verdana" w:cs="Calibri"/>
          <w:color w:val="000000" w:themeColor="text1"/>
          <w:sz w:val="20"/>
          <w:szCs w:val="20"/>
          <w:lang w:val="tr-TR"/>
        </w:rPr>
      </w:pPr>
    </w:p>
    <w:p w14:paraId="56C96E5A" w14:textId="7FCCB945" w:rsidR="003D1F14" w:rsidRPr="004F57B6" w:rsidRDefault="003D1F14" w:rsidP="002C4B47">
      <w:pPr>
        <w:spacing w:after="0" w:line="300" w:lineRule="auto"/>
        <w:contextualSpacing/>
        <w:jc w:val="both"/>
        <w:rPr>
          <w:rFonts w:ascii="Verdana" w:eastAsia="Calibri" w:hAnsi="Verdana" w:cs="Calibri"/>
          <w:color w:val="000000" w:themeColor="text1"/>
          <w:sz w:val="20"/>
          <w:szCs w:val="20"/>
          <w:lang w:val="tr-TR"/>
        </w:rPr>
      </w:pPr>
      <w:r w:rsidRPr="004F57B6">
        <w:rPr>
          <w:rFonts w:ascii="Verdana" w:eastAsia="Calibri" w:hAnsi="Verdana" w:cs="Calibri"/>
          <w:color w:val="000000" w:themeColor="text1"/>
          <w:sz w:val="20"/>
          <w:szCs w:val="20"/>
          <w:lang w:val="tr-TR"/>
        </w:rPr>
        <w:t xml:space="preserve">Sonuç olarak öğrenme, çözüm geliştirme, uygulama, gelişim gibi tüm konularda; </w:t>
      </w:r>
      <w:proofErr w:type="spellStart"/>
      <w:r w:rsidRPr="004F57B6">
        <w:rPr>
          <w:rFonts w:ascii="Verdana" w:eastAsia="Calibri" w:hAnsi="Verdana" w:cs="Calibri"/>
          <w:color w:val="000000" w:themeColor="text1"/>
          <w:sz w:val="20"/>
          <w:szCs w:val="20"/>
          <w:lang w:val="tr-TR"/>
        </w:rPr>
        <w:t>Destination</w:t>
      </w:r>
      <w:proofErr w:type="spellEnd"/>
      <w:r w:rsidRPr="004F57B6">
        <w:rPr>
          <w:rFonts w:ascii="Verdana" w:eastAsia="Calibri" w:hAnsi="Verdana" w:cs="Calibri"/>
          <w:color w:val="000000" w:themeColor="text1"/>
          <w:sz w:val="20"/>
          <w:szCs w:val="20"/>
          <w:lang w:val="tr-TR"/>
        </w:rPr>
        <w:t xml:space="preserve"> AI™ şirketlerin yapay zekâ yolculuğunun her aşamasında büyümelerini destekliyor. Bu bütünsel yaklaşım, sadece piyasa taleplerine cevap vermekle kalmıyor, aynı zamanda piyasayı şekillendirerek başarıya giden sürdürülebilir bir yol sunuyor. Aşağıdaki bağlantıya tıklayarak TD </w:t>
      </w:r>
      <w:proofErr w:type="spellStart"/>
      <w:r w:rsidRPr="004F57B6">
        <w:rPr>
          <w:rFonts w:ascii="Verdana" w:eastAsia="Calibri" w:hAnsi="Verdana" w:cs="Calibri"/>
          <w:color w:val="000000" w:themeColor="text1"/>
          <w:sz w:val="20"/>
          <w:szCs w:val="20"/>
          <w:lang w:val="tr-TR"/>
        </w:rPr>
        <w:t>SYNNEX’in</w:t>
      </w:r>
      <w:proofErr w:type="spellEnd"/>
      <w:r w:rsidRPr="004F57B6">
        <w:rPr>
          <w:rFonts w:ascii="Verdana" w:eastAsia="Calibri" w:hAnsi="Verdana" w:cs="Calibri"/>
          <w:color w:val="000000" w:themeColor="text1"/>
          <w:sz w:val="20"/>
          <w:szCs w:val="20"/>
          <w:lang w:val="tr-TR"/>
        </w:rPr>
        <w:t xml:space="preserve"> </w:t>
      </w:r>
      <w:proofErr w:type="spellStart"/>
      <w:r w:rsidRPr="004F57B6">
        <w:rPr>
          <w:rFonts w:ascii="Verdana" w:eastAsia="Calibri" w:hAnsi="Verdana" w:cs="Calibri"/>
          <w:color w:val="000000" w:themeColor="text1"/>
          <w:sz w:val="20"/>
          <w:szCs w:val="20"/>
          <w:lang w:val="tr-TR"/>
        </w:rPr>
        <w:t>Destination</w:t>
      </w:r>
      <w:proofErr w:type="spellEnd"/>
      <w:r w:rsidRPr="004F57B6">
        <w:rPr>
          <w:rFonts w:ascii="Verdana" w:eastAsia="Calibri" w:hAnsi="Verdana" w:cs="Calibri"/>
          <w:color w:val="000000" w:themeColor="text1"/>
          <w:sz w:val="20"/>
          <w:szCs w:val="20"/>
          <w:lang w:val="tr-TR"/>
        </w:rPr>
        <w:t xml:space="preserve"> AI™ programı hakkında daha fazla bilgi alıp yapay zekâ yolculuğunuza güvenle başlayabilirsiniz.</w:t>
      </w:r>
    </w:p>
    <w:p w14:paraId="10E5EC04" w14:textId="77777777" w:rsidR="002C4B47" w:rsidRPr="004F57B6" w:rsidRDefault="002C4B47" w:rsidP="002C4B47">
      <w:pPr>
        <w:spacing w:after="0" w:line="300" w:lineRule="auto"/>
        <w:contextualSpacing/>
        <w:jc w:val="both"/>
        <w:rPr>
          <w:rFonts w:ascii="Verdana" w:eastAsia="Calibri" w:hAnsi="Verdana" w:cs="Calibri"/>
          <w:color w:val="000000" w:themeColor="text1"/>
          <w:sz w:val="20"/>
          <w:szCs w:val="20"/>
          <w:lang w:val="tr-TR"/>
        </w:rPr>
      </w:pPr>
      <w:hyperlink r:id="rId11" w:anchor="destinationaiform" w:tgtFrame="_blank" w:tooltip="https://hub.tdsynnex.com/destinationai/overview/#destinationaiform" w:history="1">
        <w:r w:rsidRPr="004F57B6">
          <w:rPr>
            <w:rStyle w:val="Kpr"/>
            <w:rFonts w:ascii="Verdana" w:eastAsia="Calibri" w:hAnsi="Verdana" w:cs="Calibri"/>
            <w:b/>
            <w:bCs/>
            <w:sz w:val="20"/>
            <w:szCs w:val="20"/>
            <w:lang w:val="tr-TR"/>
          </w:rPr>
          <w:t>https://hub.tdsynnex.com/destinationai/overview/#destinationaiform</w:t>
        </w:r>
      </w:hyperlink>
    </w:p>
    <w:p w14:paraId="05A8BB9A" w14:textId="77777777" w:rsidR="002C4B47" w:rsidRPr="004F57B6" w:rsidRDefault="002C4B47" w:rsidP="002C4B47">
      <w:pPr>
        <w:spacing w:after="0" w:line="300" w:lineRule="auto"/>
        <w:contextualSpacing/>
        <w:jc w:val="both"/>
        <w:rPr>
          <w:rFonts w:ascii="Verdana" w:eastAsia="Calibri" w:hAnsi="Verdana" w:cs="Calibri"/>
          <w:color w:val="000000" w:themeColor="text1"/>
          <w:sz w:val="20"/>
          <w:szCs w:val="20"/>
          <w:lang w:val="tr-TR"/>
        </w:rPr>
      </w:pPr>
    </w:p>
    <w:p w14:paraId="10FDE2D0" w14:textId="77777777" w:rsidR="00BA3103" w:rsidRPr="004F57B6" w:rsidRDefault="00BA3103" w:rsidP="00BA3103">
      <w:pPr>
        <w:pStyle w:val="paragraph"/>
        <w:spacing w:before="0" w:beforeAutospacing="0" w:after="0" w:afterAutospacing="0"/>
        <w:jc w:val="both"/>
        <w:textAlignment w:val="baseline"/>
        <w:rPr>
          <w:rFonts w:ascii="Segoe UI" w:hAnsi="Segoe UI" w:cs="Segoe UI"/>
          <w:sz w:val="18"/>
          <w:szCs w:val="18"/>
          <w:lang w:val="tr-TR"/>
        </w:rPr>
      </w:pPr>
      <w:r w:rsidRPr="004F57B6">
        <w:rPr>
          <w:rStyle w:val="normaltextrun"/>
          <w:rFonts w:ascii="Calibri" w:hAnsi="Calibri" w:cs="Calibri"/>
          <w:b/>
          <w:bCs/>
          <w:color w:val="000000"/>
          <w:sz w:val="20"/>
          <w:szCs w:val="20"/>
          <w:shd w:val="clear" w:color="auto" w:fill="FFFFFF"/>
          <w:lang w:val="tr-TR"/>
        </w:rPr>
        <w:t>İlgili Kişi</w:t>
      </w:r>
      <w:r w:rsidRPr="004F57B6">
        <w:rPr>
          <w:rStyle w:val="eop"/>
          <w:rFonts w:ascii="Calibri" w:hAnsi="Calibri" w:cs="Calibri"/>
          <w:color w:val="000000"/>
          <w:lang w:val="tr-TR"/>
        </w:rPr>
        <w:t> </w:t>
      </w:r>
    </w:p>
    <w:p w14:paraId="76F30313" w14:textId="77777777" w:rsidR="00BA3103" w:rsidRPr="004F57B6" w:rsidRDefault="00BA3103" w:rsidP="00BA3103">
      <w:pPr>
        <w:pStyle w:val="paragraph"/>
        <w:spacing w:before="0" w:beforeAutospacing="0" w:after="0" w:afterAutospacing="0"/>
        <w:jc w:val="both"/>
        <w:textAlignment w:val="baseline"/>
        <w:rPr>
          <w:rFonts w:ascii="Segoe UI" w:hAnsi="Segoe UI" w:cs="Segoe UI"/>
          <w:sz w:val="18"/>
          <w:szCs w:val="18"/>
          <w:lang w:val="tr-TR"/>
        </w:rPr>
      </w:pPr>
      <w:r w:rsidRPr="004F57B6">
        <w:rPr>
          <w:rStyle w:val="normaltextrun"/>
          <w:rFonts w:ascii="Calibri" w:hAnsi="Calibri" w:cs="Calibri"/>
          <w:sz w:val="20"/>
          <w:szCs w:val="20"/>
          <w:lang w:val="tr-TR"/>
        </w:rPr>
        <w:t>Ceren Şahin   </w:t>
      </w:r>
      <w:r w:rsidRPr="004F57B6">
        <w:rPr>
          <w:rStyle w:val="eop"/>
          <w:rFonts w:ascii="Calibri" w:hAnsi="Calibri" w:cs="Calibri"/>
          <w:lang w:val="tr-TR"/>
        </w:rPr>
        <w:t> </w:t>
      </w:r>
    </w:p>
    <w:p w14:paraId="63C9F4F9" w14:textId="77777777" w:rsidR="00BA3103" w:rsidRPr="004F57B6" w:rsidRDefault="00BA3103" w:rsidP="00BA3103">
      <w:pPr>
        <w:pStyle w:val="paragraph"/>
        <w:spacing w:before="0" w:beforeAutospacing="0" w:after="0" w:afterAutospacing="0"/>
        <w:jc w:val="both"/>
        <w:textAlignment w:val="baseline"/>
        <w:rPr>
          <w:rFonts w:ascii="Segoe UI" w:hAnsi="Segoe UI" w:cs="Segoe UI"/>
          <w:sz w:val="18"/>
          <w:szCs w:val="18"/>
          <w:lang w:val="tr-TR"/>
        </w:rPr>
      </w:pPr>
      <w:r w:rsidRPr="004F57B6">
        <w:rPr>
          <w:rStyle w:val="normaltextrun"/>
          <w:rFonts w:ascii="Calibri" w:hAnsi="Calibri" w:cs="Calibri"/>
          <w:sz w:val="20"/>
          <w:szCs w:val="20"/>
          <w:lang w:val="tr-TR"/>
        </w:rPr>
        <w:t xml:space="preserve">BordoPR </w:t>
      </w:r>
      <w:hyperlink r:id="rId12" w:tgtFrame="_blank" w:history="1">
        <w:r w:rsidRPr="004F57B6">
          <w:rPr>
            <w:rStyle w:val="normaltextrun"/>
            <w:rFonts w:ascii="Calibri" w:hAnsi="Calibri" w:cs="Calibri"/>
            <w:color w:val="0000FF"/>
            <w:sz w:val="20"/>
            <w:szCs w:val="20"/>
            <w:lang w:val="tr-TR"/>
          </w:rPr>
          <w:t>cerens@bordopr.com</w:t>
        </w:r>
      </w:hyperlink>
      <w:r w:rsidRPr="004F57B6">
        <w:rPr>
          <w:rStyle w:val="normaltextrun"/>
          <w:rFonts w:ascii="Calibri" w:hAnsi="Calibri" w:cs="Calibri"/>
          <w:sz w:val="20"/>
          <w:szCs w:val="20"/>
          <w:lang w:val="tr-TR"/>
        </w:rPr>
        <w:t>   </w:t>
      </w:r>
      <w:r w:rsidRPr="004F57B6">
        <w:rPr>
          <w:rStyle w:val="eop"/>
          <w:rFonts w:ascii="Calibri" w:hAnsi="Calibri" w:cs="Calibri"/>
          <w:lang w:val="tr-TR"/>
        </w:rPr>
        <w:t> </w:t>
      </w:r>
    </w:p>
    <w:p w14:paraId="55C7E513" w14:textId="77777777" w:rsidR="00BA3103" w:rsidRPr="004F57B6" w:rsidRDefault="00BA3103" w:rsidP="00BA3103">
      <w:pPr>
        <w:pStyle w:val="paragraph"/>
        <w:spacing w:before="0" w:beforeAutospacing="0" w:after="0" w:afterAutospacing="0"/>
        <w:jc w:val="both"/>
        <w:textAlignment w:val="baseline"/>
        <w:rPr>
          <w:rFonts w:ascii="Segoe UI" w:hAnsi="Segoe UI" w:cs="Segoe UI"/>
          <w:sz w:val="18"/>
          <w:szCs w:val="18"/>
          <w:lang w:val="tr-TR"/>
        </w:rPr>
      </w:pPr>
      <w:r w:rsidRPr="004F57B6">
        <w:rPr>
          <w:rStyle w:val="normaltextrun"/>
          <w:rFonts w:ascii="Calibri" w:hAnsi="Calibri" w:cs="Calibri"/>
          <w:sz w:val="20"/>
          <w:szCs w:val="20"/>
          <w:lang w:val="tr-TR"/>
        </w:rPr>
        <w:t>0 531 031 87 14   </w:t>
      </w:r>
      <w:r w:rsidRPr="004F57B6">
        <w:rPr>
          <w:rStyle w:val="eop"/>
          <w:rFonts w:ascii="Calibri" w:hAnsi="Calibri" w:cs="Calibri"/>
          <w:lang w:val="tr-TR"/>
        </w:rPr>
        <w:t> </w:t>
      </w:r>
    </w:p>
    <w:p w14:paraId="70ABE3F7" w14:textId="77777777" w:rsidR="00BA3103" w:rsidRPr="004F57B6" w:rsidRDefault="00BA3103" w:rsidP="00BA3103">
      <w:pPr>
        <w:contextualSpacing/>
        <w:jc w:val="both"/>
        <w:rPr>
          <w:rFonts w:eastAsia="Arial" w:cstheme="minorHAnsi"/>
          <w:sz w:val="16"/>
          <w:szCs w:val="16"/>
          <w:lang w:val="tr-TR"/>
        </w:rPr>
      </w:pPr>
      <w:r w:rsidRPr="004F57B6">
        <w:rPr>
          <w:rFonts w:eastAsia="Arial" w:cstheme="minorHAnsi"/>
          <w:sz w:val="16"/>
          <w:szCs w:val="16"/>
          <w:lang w:val="tr-TR"/>
        </w:rPr>
        <w:t xml:space="preserve">   </w:t>
      </w:r>
    </w:p>
    <w:p w14:paraId="0D556150" w14:textId="77777777" w:rsidR="00BA3103" w:rsidRPr="004F57B6" w:rsidRDefault="00BA3103" w:rsidP="00BA3103">
      <w:pPr>
        <w:contextualSpacing/>
        <w:jc w:val="both"/>
        <w:rPr>
          <w:rFonts w:eastAsia="Arial"/>
          <w:b/>
          <w:bCs/>
          <w:sz w:val="16"/>
          <w:szCs w:val="16"/>
          <w:lang w:val="tr-TR"/>
        </w:rPr>
      </w:pPr>
      <w:r w:rsidRPr="004F57B6">
        <w:rPr>
          <w:rFonts w:eastAsia="Arial"/>
          <w:b/>
          <w:bCs/>
          <w:sz w:val="16"/>
          <w:szCs w:val="16"/>
          <w:lang w:val="tr-TR"/>
        </w:rPr>
        <w:t>TD SYNNEX Hakkında</w:t>
      </w:r>
    </w:p>
    <w:p w14:paraId="0341D1B6" w14:textId="45AA01EF" w:rsidR="45EF9B4B" w:rsidRPr="00104E3D" w:rsidRDefault="00BA3103" w:rsidP="00BA3103">
      <w:pPr>
        <w:contextualSpacing/>
        <w:jc w:val="both"/>
        <w:rPr>
          <w:rFonts w:eastAsia="Arial"/>
          <w:sz w:val="16"/>
          <w:szCs w:val="16"/>
          <w:lang w:val="tr-TR"/>
        </w:rPr>
      </w:pPr>
      <w:r w:rsidRPr="004F57B6">
        <w:rPr>
          <w:rFonts w:eastAsia="Arial"/>
          <w:sz w:val="16"/>
          <w:szCs w:val="16"/>
          <w:lang w:val="tr-TR"/>
        </w:rPr>
        <w:t xml:space="preserve">TD SYNNEX (NYSE: SNX) BT ekosistemi için önde gelen bir küresel distribütör olup BT’nin ihtiyaç duyduğu tüm çözümleri tek çatı altında sunmaktadır. Merkezleri ABD’nin Florida ve Kaliforniya eyaletlerinde olan TD SYNNEX (NYSE: SNX), 100'den fazla ülkede 150 binden fazla müşteriye, teknoloji yatırımlarının değerini en üst düzeye çıkarma, işlerine yönelik sonuçları gösterme ve büyüme fırsatlarını değerlendirme konusunda yardımcı olan yenilikçi bir iş ortağıdır. TD </w:t>
      </w:r>
      <w:proofErr w:type="spellStart"/>
      <w:r w:rsidRPr="004F57B6">
        <w:rPr>
          <w:rFonts w:eastAsia="Arial"/>
          <w:sz w:val="16"/>
          <w:szCs w:val="16"/>
          <w:lang w:val="tr-TR"/>
        </w:rPr>
        <w:t>SYNNEX'in</w:t>
      </w:r>
      <w:proofErr w:type="spellEnd"/>
      <w:r w:rsidRPr="004F57B6">
        <w:rPr>
          <w:rFonts w:eastAsia="Arial"/>
          <w:sz w:val="16"/>
          <w:szCs w:val="16"/>
          <w:lang w:val="tr-TR"/>
        </w:rPr>
        <w:t xml:space="preserve"> yaklaşık 23 bin çalışanı, alanında lider 2.500'den fazla teknoloji tedarikçisinin sunduğu modern BT ürünlerini, hizmetlerini ve çözümlerini bir arada müşterilerine sunuyor. Ürün portföyü bulut, siber güvenlik, büyük veri/analiz, yapay zekâ, </w:t>
      </w:r>
      <w:proofErr w:type="spellStart"/>
      <w:r w:rsidRPr="004F57B6">
        <w:rPr>
          <w:rFonts w:eastAsia="Arial"/>
          <w:sz w:val="16"/>
          <w:szCs w:val="16"/>
          <w:lang w:val="tr-TR"/>
        </w:rPr>
        <w:t>IoT</w:t>
      </w:r>
      <w:proofErr w:type="spellEnd"/>
      <w:r w:rsidRPr="004F57B6">
        <w:rPr>
          <w:rFonts w:eastAsia="Arial"/>
          <w:sz w:val="16"/>
          <w:szCs w:val="16"/>
          <w:lang w:val="tr-TR"/>
        </w:rPr>
        <w:t xml:space="preserve">, mobilite ve hizmet olarak sunulan teknolojiler gibi en yüksek büyüme gösteren segmentlerden oluşan TD SYNNEX, müşterilere ve topluluklara hizmet etme konusunda da kararlıdır. Çalışanları ve gezegenimiz üzerinde olumlu bir etki yaratabileceğine ve saygın bir kurumsal vatandaş olarak bilinçli bir şekilde hareket edebileceğine inanan TD SYNNEX, BT ekosistemi genelinde çalışanlar için çeşitli ve kapsayıcı bir işveren olmayı da hedefliyor. Daha fazla bilgi için </w:t>
      </w:r>
      <w:hyperlink r:id="rId13" w:tgtFrame="_blank" w:history="1">
        <w:r w:rsidRPr="004F57B6">
          <w:rPr>
            <w:rStyle w:val="Kpr"/>
            <w:rFonts w:eastAsia="Arial"/>
            <w:sz w:val="16"/>
            <w:szCs w:val="16"/>
            <w:lang w:val="tr-TR"/>
          </w:rPr>
          <w:t>https://tr.tdsynnex.com</w:t>
        </w:r>
      </w:hyperlink>
      <w:r w:rsidRPr="004F57B6">
        <w:rPr>
          <w:rFonts w:eastAsia="Arial"/>
          <w:sz w:val="16"/>
          <w:szCs w:val="16"/>
          <w:lang w:val="tr-TR"/>
        </w:rPr>
        <w:t xml:space="preserve"> adresimizi veya </w:t>
      </w:r>
      <w:hyperlink r:id="rId14" w:tgtFrame="_blank" w:history="1">
        <w:r w:rsidRPr="004F57B6">
          <w:rPr>
            <w:rStyle w:val="Kpr"/>
            <w:rFonts w:eastAsia="Arial"/>
            <w:sz w:val="16"/>
            <w:szCs w:val="16"/>
            <w:lang w:val="tr-TR"/>
          </w:rPr>
          <w:t>haber sayfamızı</w:t>
        </w:r>
      </w:hyperlink>
      <w:r w:rsidRPr="004F57B6">
        <w:rPr>
          <w:rFonts w:eastAsia="Arial"/>
          <w:sz w:val="16"/>
          <w:szCs w:val="16"/>
          <w:lang w:val="tr-TR"/>
        </w:rPr>
        <w:t xml:space="preserve"> ziyaret edebilir, </w:t>
      </w:r>
      <w:hyperlink r:id="rId15" w:tgtFrame="_blank" w:history="1">
        <w:r w:rsidRPr="004F57B6">
          <w:rPr>
            <w:rStyle w:val="Kpr"/>
            <w:rFonts w:eastAsia="Arial"/>
            <w:sz w:val="16"/>
            <w:szCs w:val="16"/>
            <w:lang w:val="tr-TR"/>
          </w:rPr>
          <w:t>LinkedIn</w:t>
        </w:r>
      </w:hyperlink>
      <w:r w:rsidRPr="004F57B6">
        <w:rPr>
          <w:rFonts w:eastAsia="Arial"/>
          <w:sz w:val="16"/>
          <w:szCs w:val="16"/>
          <w:lang w:val="tr-TR"/>
        </w:rPr>
        <w:t xml:space="preserve">, </w:t>
      </w:r>
      <w:hyperlink r:id="rId16" w:tgtFrame="_blank" w:history="1">
        <w:r w:rsidRPr="004F57B6">
          <w:rPr>
            <w:rStyle w:val="Kpr"/>
            <w:rFonts w:eastAsia="Arial"/>
            <w:sz w:val="16"/>
            <w:szCs w:val="16"/>
            <w:lang w:val="tr-TR"/>
          </w:rPr>
          <w:t>Facebook</w:t>
        </w:r>
      </w:hyperlink>
      <w:r w:rsidRPr="004F57B6">
        <w:rPr>
          <w:rFonts w:eastAsia="Arial"/>
          <w:sz w:val="16"/>
          <w:szCs w:val="16"/>
          <w:lang w:val="tr-TR"/>
        </w:rPr>
        <w:t xml:space="preserve">, </w:t>
      </w:r>
      <w:hyperlink r:id="rId17" w:tgtFrame="_blank" w:history="1">
        <w:r w:rsidRPr="004F57B6">
          <w:rPr>
            <w:rStyle w:val="Kpr"/>
            <w:rFonts w:eastAsia="Arial"/>
            <w:sz w:val="16"/>
            <w:szCs w:val="16"/>
            <w:lang w:val="tr-TR"/>
          </w:rPr>
          <w:t>Instagram</w:t>
        </w:r>
      </w:hyperlink>
      <w:r w:rsidRPr="004F57B6">
        <w:rPr>
          <w:rFonts w:eastAsia="Arial"/>
          <w:sz w:val="16"/>
          <w:szCs w:val="16"/>
          <w:lang w:val="tr-TR"/>
        </w:rPr>
        <w:t xml:space="preserve"> ve </w:t>
      </w:r>
      <w:hyperlink r:id="rId18" w:tgtFrame="_blank" w:history="1">
        <w:r w:rsidRPr="004F57B6">
          <w:rPr>
            <w:rStyle w:val="Kpr"/>
            <w:rFonts w:eastAsia="Arial"/>
            <w:sz w:val="16"/>
            <w:szCs w:val="16"/>
            <w:lang w:val="tr-TR"/>
          </w:rPr>
          <w:t>Youtube</w:t>
        </w:r>
      </w:hyperlink>
      <w:r w:rsidRPr="004F57B6">
        <w:rPr>
          <w:rFonts w:eastAsia="Arial"/>
          <w:sz w:val="16"/>
          <w:szCs w:val="16"/>
          <w:lang w:val="tr-TR"/>
        </w:rPr>
        <w:t xml:space="preserve"> üzerinden takip edebilirsiniz.</w:t>
      </w:r>
    </w:p>
    <w:sectPr w:rsidR="45EF9B4B" w:rsidRPr="00104E3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2EA8" w14:textId="77777777" w:rsidR="00486B10" w:rsidRDefault="00486B10">
      <w:pPr>
        <w:spacing w:after="0" w:line="240" w:lineRule="auto"/>
      </w:pPr>
      <w:r>
        <w:separator/>
      </w:r>
    </w:p>
  </w:endnote>
  <w:endnote w:type="continuationSeparator" w:id="0">
    <w:p w14:paraId="6CE25D0F" w14:textId="77777777" w:rsidR="00486B10" w:rsidRDefault="0048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E1EBD5" w14:paraId="6C16A1FB" w14:textId="77777777" w:rsidTr="4DE1EBD5">
      <w:trPr>
        <w:trHeight w:val="300"/>
      </w:trPr>
      <w:tc>
        <w:tcPr>
          <w:tcW w:w="3120" w:type="dxa"/>
        </w:tcPr>
        <w:p w14:paraId="7A3A8591" w14:textId="52FBA58A" w:rsidR="4DE1EBD5" w:rsidRDefault="4DE1EBD5" w:rsidP="4DE1EBD5">
          <w:pPr>
            <w:pStyle w:val="stBilgi"/>
            <w:ind w:left="-115"/>
          </w:pPr>
        </w:p>
      </w:tc>
      <w:tc>
        <w:tcPr>
          <w:tcW w:w="3120" w:type="dxa"/>
        </w:tcPr>
        <w:p w14:paraId="09AF815E" w14:textId="6DFCB223" w:rsidR="4DE1EBD5" w:rsidRDefault="4DE1EBD5" w:rsidP="4DE1EBD5">
          <w:pPr>
            <w:pStyle w:val="stBilgi"/>
            <w:jc w:val="center"/>
          </w:pPr>
        </w:p>
      </w:tc>
      <w:tc>
        <w:tcPr>
          <w:tcW w:w="3120" w:type="dxa"/>
        </w:tcPr>
        <w:p w14:paraId="01D9763C" w14:textId="44D9576A" w:rsidR="4DE1EBD5" w:rsidRDefault="4DE1EBD5" w:rsidP="4DE1EBD5">
          <w:pPr>
            <w:pStyle w:val="stBilgi"/>
            <w:ind w:right="-115"/>
            <w:jc w:val="right"/>
          </w:pPr>
        </w:p>
      </w:tc>
    </w:tr>
  </w:tbl>
  <w:p w14:paraId="680E9667" w14:textId="22CFBDAB" w:rsidR="4DE1EBD5" w:rsidRDefault="4DE1EBD5" w:rsidP="4DE1EB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0CEE" w14:textId="77777777" w:rsidR="00486B10" w:rsidRDefault="00486B10">
      <w:pPr>
        <w:spacing w:after="0" w:line="240" w:lineRule="auto"/>
      </w:pPr>
      <w:r>
        <w:separator/>
      </w:r>
    </w:p>
  </w:footnote>
  <w:footnote w:type="continuationSeparator" w:id="0">
    <w:p w14:paraId="7A48D15E" w14:textId="77777777" w:rsidR="00486B10" w:rsidRDefault="00486B10">
      <w:pPr>
        <w:spacing w:after="0" w:line="240" w:lineRule="auto"/>
      </w:pPr>
      <w:r>
        <w:continuationSeparator/>
      </w:r>
    </w:p>
  </w:footnote>
  <w:footnote w:id="1">
    <w:p w14:paraId="249DAB3F" w14:textId="06E1A907" w:rsidR="00015543" w:rsidRPr="00015543" w:rsidRDefault="00015543">
      <w:pPr>
        <w:pStyle w:val="DipnotMetni"/>
        <w:rPr>
          <w:lang w:val="tr-TR"/>
        </w:rPr>
      </w:pPr>
      <w:r>
        <w:rPr>
          <w:rStyle w:val="DipnotBavurusu"/>
        </w:rPr>
        <w:footnoteRef/>
      </w:r>
      <w:r>
        <w:t xml:space="preserve"> </w:t>
      </w:r>
      <w:hyperlink r:id="rId1" w:history="1">
        <w:r w:rsidRPr="00142C83">
          <w:rPr>
            <w:rStyle w:val="Kpr"/>
          </w:rPr>
          <w:t>https://unctad.org/news/ai-market-projected-hit-48-trillion-2033-emerging-dominant-frontier-technology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E1EBD5" w14:paraId="2B56F9AC" w14:textId="77777777" w:rsidTr="4DE1EBD5">
      <w:trPr>
        <w:trHeight w:val="300"/>
      </w:trPr>
      <w:tc>
        <w:tcPr>
          <w:tcW w:w="3120" w:type="dxa"/>
        </w:tcPr>
        <w:p w14:paraId="66E878EF" w14:textId="19F7941C" w:rsidR="4DE1EBD5" w:rsidRDefault="4DE1EBD5" w:rsidP="4DE1EBD5">
          <w:pPr>
            <w:ind w:left="-115"/>
          </w:pPr>
          <w:r>
            <w:rPr>
              <w:noProof/>
            </w:rPr>
            <w:drawing>
              <wp:inline distT="0" distB="0" distL="0" distR="0" wp14:anchorId="5602226F" wp14:editId="5D69E719">
                <wp:extent cx="1762125" cy="333375"/>
                <wp:effectExtent l="0" t="0" r="0" b="0"/>
                <wp:docPr id="1353569398" name="drawing" descr="Logo&#10;&#10;Description automatically generated, Picture,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69398"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33375"/>
                        </a:xfrm>
                        <a:prstGeom prst="rect">
                          <a:avLst/>
                        </a:prstGeom>
                      </pic:spPr>
                    </pic:pic>
                  </a:graphicData>
                </a:graphic>
              </wp:inline>
            </w:drawing>
          </w:r>
        </w:p>
      </w:tc>
      <w:tc>
        <w:tcPr>
          <w:tcW w:w="3120" w:type="dxa"/>
        </w:tcPr>
        <w:p w14:paraId="0E3820FB" w14:textId="4987F49F" w:rsidR="4DE1EBD5" w:rsidRDefault="4DE1EBD5" w:rsidP="4DE1EBD5">
          <w:pPr>
            <w:pStyle w:val="stBilgi"/>
            <w:jc w:val="center"/>
          </w:pPr>
        </w:p>
      </w:tc>
      <w:tc>
        <w:tcPr>
          <w:tcW w:w="3120" w:type="dxa"/>
        </w:tcPr>
        <w:p w14:paraId="1E4CCE51" w14:textId="6F579F1C" w:rsidR="4DE1EBD5" w:rsidRDefault="4DE1EBD5" w:rsidP="4DE1EBD5">
          <w:pPr>
            <w:pStyle w:val="stBilgi"/>
            <w:ind w:right="-115"/>
            <w:jc w:val="right"/>
          </w:pPr>
        </w:p>
      </w:tc>
    </w:tr>
  </w:tbl>
  <w:p w14:paraId="5F7D9A34" w14:textId="4F1916F5" w:rsidR="4DE1EBD5" w:rsidRDefault="4DE1EBD5" w:rsidP="4DE1EBD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4EE16"/>
    <w:multiLevelType w:val="hybridMultilevel"/>
    <w:tmpl w:val="FFBC8CEC"/>
    <w:lvl w:ilvl="0" w:tplc="C72C73CA">
      <w:start w:val="1"/>
      <w:numFmt w:val="bullet"/>
      <w:lvlText w:val=""/>
      <w:lvlJc w:val="left"/>
      <w:pPr>
        <w:ind w:left="720" w:hanging="360"/>
      </w:pPr>
      <w:rPr>
        <w:rFonts w:ascii="Symbol" w:hAnsi="Symbol" w:hint="default"/>
      </w:rPr>
    </w:lvl>
    <w:lvl w:ilvl="1" w:tplc="9C4C8BA8">
      <w:start w:val="1"/>
      <w:numFmt w:val="bullet"/>
      <w:lvlText w:val="o"/>
      <w:lvlJc w:val="left"/>
      <w:pPr>
        <w:ind w:left="1440" w:hanging="360"/>
      </w:pPr>
      <w:rPr>
        <w:rFonts w:ascii="Courier New" w:hAnsi="Courier New" w:hint="default"/>
      </w:rPr>
    </w:lvl>
    <w:lvl w:ilvl="2" w:tplc="41D024FA">
      <w:start w:val="1"/>
      <w:numFmt w:val="bullet"/>
      <w:lvlText w:val=""/>
      <w:lvlJc w:val="left"/>
      <w:pPr>
        <w:ind w:left="2160" w:hanging="360"/>
      </w:pPr>
      <w:rPr>
        <w:rFonts w:ascii="Wingdings" w:hAnsi="Wingdings" w:hint="default"/>
      </w:rPr>
    </w:lvl>
    <w:lvl w:ilvl="3" w:tplc="E63ACAE8">
      <w:start w:val="1"/>
      <w:numFmt w:val="bullet"/>
      <w:lvlText w:val=""/>
      <w:lvlJc w:val="left"/>
      <w:pPr>
        <w:ind w:left="2880" w:hanging="360"/>
      </w:pPr>
      <w:rPr>
        <w:rFonts w:ascii="Symbol" w:hAnsi="Symbol" w:hint="default"/>
      </w:rPr>
    </w:lvl>
    <w:lvl w:ilvl="4" w:tplc="9A40343A">
      <w:start w:val="1"/>
      <w:numFmt w:val="bullet"/>
      <w:lvlText w:val="o"/>
      <w:lvlJc w:val="left"/>
      <w:pPr>
        <w:ind w:left="3600" w:hanging="360"/>
      </w:pPr>
      <w:rPr>
        <w:rFonts w:ascii="Courier New" w:hAnsi="Courier New" w:hint="default"/>
      </w:rPr>
    </w:lvl>
    <w:lvl w:ilvl="5" w:tplc="E43C6A68">
      <w:start w:val="1"/>
      <w:numFmt w:val="bullet"/>
      <w:lvlText w:val=""/>
      <w:lvlJc w:val="left"/>
      <w:pPr>
        <w:ind w:left="4320" w:hanging="360"/>
      </w:pPr>
      <w:rPr>
        <w:rFonts w:ascii="Wingdings" w:hAnsi="Wingdings" w:hint="default"/>
      </w:rPr>
    </w:lvl>
    <w:lvl w:ilvl="6" w:tplc="800A9846">
      <w:start w:val="1"/>
      <w:numFmt w:val="bullet"/>
      <w:lvlText w:val=""/>
      <w:lvlJc w:val="left"/>
      <w:pPr>
        <w:ind w:left="5040" w:hanging="360"/>
      </w:pPr>
      <w:rPr>
        <w:rFonts w:ascii="Symbol" w:hAnsi="Symbol" w:hint="default"/>
      </w:rPr>
    </w:lvl>
    <w:lvl w:ilvl="7" w:tplc="5F14EAF6">
      <w:start w:val="1"/>
      <w:numFmt w:val="bullet"/>
      <w:lvlText w:val="o"/>
      <w:lvlJc w:val="left"/>
      <w:pPr>
        <w:ind w:left="5760" w:hanging="360"/>
      </w:pPr>
      <w:rPr>
        <w:rFonts w:ascii="Courier New" w:hAnsi="Courier New" w:hint="default"/>
      </w:rPr>
    </w:lvl>
    <w:lvl w:ilvl="8" w:tplc="9C04E822">
      <w:start w:val="1"/>
      <w:numFmt w:val="bullet"/>
      <w:lvlText w:val=""/>
      <w:lvlJc w:val="left"/>
      <w:pPr>
        <w:ind w:left="6480" w:hanging="360"/>
      </w:pPr>
      <w:rPr>
        <w:rFonts w:ascii="Wingdings" w:hAnsi="Wingdings" w:hint="default"/>
      </w:rPr>
    </w:lvl>
  </w:abstractNum>
  <w:abstractNum w:abstractNumId="1" w15:restartNumberingAfterBreak="0">
    <w:nsid w:val="1E7F2485"/>
    <w:multiLevelType w:val="hybridMultilevel"/>
    <w:tmpl w:val="8236B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08C299"/>
    <w:multiLevelType w:val="hybridMultilevel"/>
    <w:tmpl w:val="7CFEB734"/>
    <w:lvl w:ilvl="0" w:tplc="C53406A0">
      <w:start w:val="1"/>
      <w:numFmt w:val="bullet"/>
      <w:lvlText w:val=""/>
      <w:lvlJc w:val="left"/>
      <w:pPr>
        <w:ind w:left="720" w:hanging="360"/>
      </w:pPr>
      <w:rPr>
        <w:rFonts w:ascii="Symbol" w:hAnsi="Symbol" w:hint="default"/>
      </w:rPr>
    </w:lvl>
    <w:lvl w:ilvl="1" w:tplc="89563EEC">
      <w:start w:val="1"/>
      <w:numFmt w:val="bullet"/>
      <w:lvlText w:val="o"/>
      <w:lvlJc w:val="left"/>
      <w:pPr>
        <w:ind w:left="1440" w:hanging="360"/>
      </w:pPr>
      <w:rPr>
        <w:rFonts w:ascii="Courier New" w:hAnsi="Courier New" w:hint="default"/>
      </w:rPr>
    </w:lvl>
    <w:lvl w:ilvl="2" w:tplc="68528F78">
      <w:start w:val="1"/>
      <w:numFmt w:val="bullet"/>
      <w:lvlText w:val=""/>
      <w:lvlJc w:val="left"/>
      <w:pPr>
        <w:ind w:left="2160" w:hanging="360"/>
      </w:pPr>
      <w:rPr>
        <w:rFonts w:ascii="Wingdings" w:hAnsi="Wingdings" w:hint="default"/>
      </w:rPr>
    </w:lvl>
    <w:lvl w:ilvl="3" w:tplc="56D8FC0A">
      <w:start w:val="1"/>
      <w:numFmt w:val="bullet"/>
      <w:lvlText w:val=""/>
      <w:lvlJc w:val="left"/>
      <w:pPr>
        <w:ind w:left="2880" w:hanging="360"/>
      </w:pPr>
      <w:rPr>
        <w:rFonts w:ascii="Symbol" w:hAnsi="Symbol" w:hint="default"/>
      </w:rPr>
    </w:lvl>
    <w:lvl w:ilvl="4" w:tplc="A2DA18E4">
      <w:start w:val="1"/>
      <w:numFmt w:val="bullet"/>
      <w:lvlText w:val="o"/>
      <w:lvlJc w:val="left"/>
      <w:pPr>
        <w:ind w:left="3600" w:hanging="360"/>
      </w:pPr>
      <w:rPr>
        <w:rFonts w:ascii="Courier New" w:hAnsi="Courier New" w:hint="default"/>
      </w:rPr>
    </w:lvl>
    <w:lvl w:ilvl="5" w:tplc="25326B4E">
      <w:start w:val="1"/>
      <w:numFmt w:val="bullet"/>
      <w:lvlText w:val=""/>
      <w:lvlJc w:val="left"/>
      <w:pPr>
        <w:ind w:left="4320" w:hanging="360"/>
      </w:pPr>
      <w:rPr>
        <w:rFonts w:ascii="Wingdings" w:hAnsi="Wingdings" w:hint="default"/>
      </w:rPr>
    </w:lvl>
    <w:lvl w:ilvl="6" w:tplc="069E2C3E">
      <w:start w:val="1"/>
      <w:numFmt w:val="bullet"/>
      <w:lvlText w:val=""/>
      <w:lvlJc w:val="left"/>
      <w:pPr>
        <w:ind w:left="5040" w:hanging="360"/>
      </w:pPr>
      <w:rPr>
        <w:rFonts w:ascii="Symbol" w:hAnsi="Symbol" w:hint="default"/>
      </w:rPr>
    </w:lvl>
    <w:lvl w:ilvl="7" w:tplc="9BDE2FA2">
      <w:start w:val="1"/>
      <w:numFmt w:val="bullet"/>
      <w:lvlText w:val="o"/>
      <w:lvlJc w:val="left"/>
      <w:pPr>
        <w:ind w:left="5760" w:hanging="360"/>
      </w:pPr>
      <w:rPr>
        <w:rFonts w:ascii="Courier New" w:hAnsi="Courier New" w:hint="default"/>
      </w:rPr>
    </w:lvl>
    <w:lvl w:ilvl="8" w:tplc="A5788656">
      <w:start w:val="1"/>
      <w:numFmt w:val="bullet"/>
      <w:lvlText w:val=""/>
      <w:lvlJc w:val="left"/>
      <w:pPr>
        <w:ind w:left="6480" w:hanging="360"/>
      </w:pPr>
      <w:rPr>
        <w:rFonts w:ascii="Wingdings" w:hAnsi="Wingdings" w:hint="default"/>
      </w:rPr>
    </w:lvl>
  </w:abstractNum>
  <w:abstractNum w:abstractNumId="3" w15:restartNumberingAfterBreak="0">
    <w:nsid w:val="3617EBFA"/>
    <w:multiLevelType w:val="hybridMultilevel"/>
    <w:tmpl w:val="C2269D7C"/>
    <w:lvl w:ilvl="0" w:tplc="36F6FA52">
      <w:start w:val="1"/>
      <w:numFmt w:val="bullet"/>
      <w:lvlText w:val=""/>
      <w:lvlJc w:val="left"/>
      <w:pPr>
        <w:ind w:left="720" w:hanging="360"/>
      </w:pPr>
      <w:rPr>
        <w:rFonts w:ascii="Symbol" w:hAnsi="Symbol" w:hint="default"/>
      </w:rPr>
    </w:lvl>
    <w:lvl w:ilvl="1" w:tplc="AEBAB49E">
      <w:start w:val="1"/>
      <w:numFmt w:val="bullet"/>
      <w:lvlText w:val="o"/>
      <w:lvlJc w:val="left"/>
      <w:pPr>
        <w:ind w:left="1440" w:hanging="360"/>
      </w:pPr>
      <w:rPr>
        <w:rFonts w:ascii="Courier New" w:hAnsi="Courier New" w:hint="default"/>
      </w:rPr>
    </w:lvl>
    <w:lvl w:ilvl="2" w:tplc="C422D03E">
      <w:start w:val="1"/>
      <w:numFmt w:val="bullet"/>
      <w:lvlText w:val=""/>
      <w:lvlJc w:val="left"/>
      <w:pPr>
        <w:ind w:left="2160" w:hanging="360"/>
      </w:pPr>
      <w:rPr>
        <w:rFonts w:ascii="Wingdings" w:hAnsi="Wingdings" w:hint="default"/>
      </w:rPr>
    </w:lvl>
    <w:lvl w:ilvl="3" w:tplc="6B8096B2">
      <w:start w:val="1"/>
      <w:numFmt w:val="bullet"/>
      <w:lvlText w:val=""/>
      <w:lvlJc w:val="left"/>
      <w:pPr>
        <w:ind w:left="2880" w:hanging="360"/>
      </w:pPr>
      <w:rPr>
        <w:rFonts w:ascii="Symbol" w:hAnsi="Symbol" w:hint="default"/>
      </w:rPr>
    </w:lvl>
    <w:lvl w:ilvl="4" w:tplc="A148EE6E">
      <w:start w:val="1"/>
      <w:numFmt w:val="bullet"/>
      <w:lvlText w:val="o"/>
      <w:lvlJc w:val="left"/>
      <w:pPr>
        <w:ind w:left="3600" w:hanging="360"/>
      </w:pPr>
      <w:rPr>
        <w:rFonts w:ascii="Courier New" w:hAnsi="Courier New" w:hint="default"/>
      </w:rPr>
    </w:lvl>
    <w:lvl w:ilvl="5" w:tplc="95322CB2">
      <w:start w:val="1"/>
      <w:numFmt w:val="bullet"/>
      <w:lvlText w:val=""/>
      <w:lvlJc w:val="left"/>
      <w:pPr>
        <w:ind w:left="4320" w:hanging="360"/>
      </w:pPr>
      <w:rPr>
        <w:rFonts w:ascii="Wingdings" w:hAnsi="Wingdings" w:hint="default"/>
      </w:rPr>
    </w:lvl>
    <w:lvl w:ilvl="6" w:tplc="0C381B04">
      <w:start w:val="1"/>
      <w:numFmt w:val="bullet"/>
      <w:lvlText w:val=""/>
      <w:lvlJc w:val="left"/>
      <w:pPr>
        <w:ind w:left="5040" w:hanging="360"/>
      </w:pPr>
      <w:rPr>
        <w:rFonts w:ascii="Symbol" w:hAnsi="Symbol" w:hint="default"/>
      </w:rPr>
    </w:lvl>
    <w:lvl w:ilvl="7" w:tplc="F0F80CD8">
      <w:start w:val="1"/>
      <w:numFmt w:val="bullet"/>
      <w:lvlText w:val="o"/>
      <w:lvlJc w:val="left"/>
      <w:pPr>
        <w:ind w:left="5760" w:hanging="360"/>
      </w:pPr>
      <w:rPr>
        <w:rFonts w:ascii="Courier New" w:hAnsi="Courier New" w:hint="default"/>
      </w:rPr>
    </w:lvl>
    <w:lvl w:ilvl="8" w:tplc="FCC80DDA">
      <w:start w:val="1"/>
      <w:numFmt w:val="bullet"/>
      <w:lvlText w:val=""/>
      <w:lvlJc w:val="left"/>
      <w:pPr>
        <w:ind w:left="6480" w:hanging="360"/>
      </w:pPr>
      <w:rPr>
        <w:rFonts w:ascii="Wingdings" w:hAnsi="Wingdings" w:hint="default"/>
      </w:rPr>
    </w:lvl>
  </w:abstractNum>
  <w:abstractNum w:abstractNumId="4" w15:restartNumberingAfterBreak="0">
    <w:nsid w:val="46DB5BAE"/>
    <w:multiLevelType w:val="hybridMultilevel"/>
    <w:tmpl w:val="FA820E36"/>
    <w:lvl w:ilvl="0" w:tplc="8DA09B38">
      <w:start w:val="1"/>
      <w:numFmt w:val="bullet"/>
      <w:lvlText w:val=""/>
      <w:lvlJc w:val="left"/>
      <w:pPr>
        <w:ind w:left="720" w:hanging="360"/>
      </w:pPr>
      <w:rPr>
        <w:rFonts w:ascii="Symbol" w:hAnsi="Symbol" w:hint="default"/>
      </w:rPr>
    </w:lvl>
    <w:lvl w:ilvl="1" w:tplc="22EE77FC">
      <w:start w:val="1"/>
      <w:numFmt w:val="bullet"/>
      <w:lvlText w:val="o"/>
      <w:lvlJc w:val="left"/>
      <w:pPr>
        <w:ind w:left="1440" w:hanging="360"/>
      </w:pPr>
      <w:rPr>
        <w:rFonts w:ascii="Courier New" w:hAnsi="Courier New" w:hint="default"/>
      </w:rPr>
    </w:lvl>
    <w:lvl w:ilvl="2" w:tplc="63424406">
      <w:start w:val="1"/>
      <w:numFmt w:val="bullet"/>
      <w:lvlText w:val=""/>
      <w:lvlJc w:val="left"/>
      <w:pPr>
        <w:ind w:left="2160" w:hanging="360"/>
      </w:pPr>
      <w:rPr>
        <w:rFonts w:ascii="Wingdings" w:hAnsi="Wingdings" w:hint="default"/>
      </w:rPr>
    </w:lvl>
    <w:lvl w:ilvl="3" w:tplc="2AB4BD4E">
      <w:start w:val="1"/>
      <w:numFmt w:val="bullet"/>
      <w:lvlText w:val=""/>
      <w:lvlJc w:val="left"/>
      <w:pPr>
        <w:ind w:left="2880" w:hanging="360"/>
      </w:pPr>
      <w:rPr>
        <w:rFonts w:ascii="Symbol" w:hAnsi="Symbol" w:hint="default"/>
      </w:rPr>
    </w:lvl>
    <w:lvl w:ilvl="4" w:tplc="DB32A13E">
      <w:start w:val="1"/>
      <w:numFmt w:val="bullet"/>
      <w:lvlText w:val="o"/>
      <w:lvlJc w:val="left"/>
      <w:pPr>
        <w:ind w:left="3600" w:hanging="360"/>
      </w:pPr>
      <w:rPr>
        <w:rFonts w:ascii="Courier New" w:hAnsi="Courier New" w:hint="default"/>
      </w:rPr>
    </w:lvl>
    <w:lvl w:ilvl="5" w:tplc="4C0A9CAA">
      <w:start w:val="1"/>
      <w:numFmt w:val="bullet"/>
      <w:lvlText w:val=""/>
      <w:lvlJc w:val="left"/>
      <w:pPr>
        <w:ind w:left="4320" w:hanging="360"/>
      </w:pPr>
      <w:rPr>
        <w:rFonts w:ascii="Wingdings" w:hAnsi="Wingdings" w:hint="default"/>
      </w:rPr>
    </w:lvl>
    <w:lvl w:ilvl="6" w:tplc="B12ECB56">
      <w:start w:val="1"/>
      <w:numFmt w:val="bullet"/>
      <w:lvlText w:val=""/>
      <w:lvlJc w:val="left"/>
      <w:pPr>
        <w:ind w:left="5040" w:hanging="360"/>
      </w:pPr>
      <w:rPr>
        <w:rFonts w:ascii="Symbol" w:hAnsi="Symbol" w:hint="default"/>
      </w:rPr>
    </w:lvl>
    <w:lvl w:ilvl="7" w:tplc="4DA6540A">
      <w:start w:val="1"/>
      <w:numFmt w:val="bullet"/>
      <w:lvlText w:val="o"/>
      <w:lvlJc w:val="left"/>
      <w:pPr>
        <w:ind w:left="5760" w:hanging="360"/>
      </w:pPr>
      <w:rPr>
        <w:rFonts w:ascii="Courier New" w:hAnsi="Courier New" w:hint="default"/>
      </w:rPr>
    </w:lvl>
    <w:lvl w:ilvl="8" w:tplc="733640E8">
      <w:start w:val="1"/>
      <w:numFmt w:val="bullet"/>
      <w:lvlText w:val=""/>
      <w:lvlJc w:val="left"/>
      <w:pPr>
        <w:ind w:left="6480" w:hanging="360"/>
      </w:pPr>
      <w:rPr>
        <w:rFonts w:ascii="Wingdings" w:hAnsi="Wingdings" w:hint="default"/>
      </w:rPr>
    </w:lvl>
  </w:abstractNum>
  <w:abstractNum w:abstractNumId="5" w15:restartNumberingAfterBreak="0">
    <w:nsid w:val="6B57FB46"/>
    <w:multiLevelType w:val="hybridMultilevel"/>
    <w:tmpl w:val="6B006620"/>
    <w:lvl w:ilvl="0" w:tplc="6150D81C">
      <w:start w:val="1"/>
      <w:numFmt w:val="bullet"/>
      <w:lvlText w:val=""/>
      <w:lvlJc w:val="left"/>
      <w:pPr>
        <w:ind w:left="720" w:hanging="360"/>
      </w:pPr>
      <w:rPr>
        <w:rFonts w:ascii="Symbol" w:hAnsi="Symbol" w:hint="default"/>
      </w:rPr>
    </w:lvl>
    <w:lvl w:ilvl="1" w:tplc="631A59AA">
      <w:start w:val="1"/>
      <w:numFmt w:val="bullet"/>
      <w:lvlText w:val="o"/>
      <w:lvlJc w:val="left"/>
      <w:pPr>
        <w:ind w:left="1440" w:hanging="360"/>
      </w:pPr>
      <w:rPr>
        <w:rFonts w:ascii="Courier New" w:hAnsi="Courier New" w:hint="default"/>
      </w:rPr>
    </w:lvl>
    <w:lvl w:ilvl="2" w:tplc="646C0458">
      <w:start w:val="1"/>
      <w:numFmt w:val="bullet"/>
      <w:lvlText w:val=""/>
      <w:lvlJc w:val="left"/>
      <w:pPr>
        <w:ind w:left="2160" w:hanging="360"/>
      </w:pPr>
      <w:rPr>
        <w:rFonts w:ascii="Wingdings" w:hAnsi="Wingdings" w:hint="default"/>
      </w:rPr>
    </w:lvl>
    <w:lvl w:ilvl="3" w:tplc="FABA6232">
      <w:start w:val="1"/>
      <w:numFmt w:val="bullet"/>
      <w:lvlText w:val=""/>
      <w:lvlJc w:val="left"/>
      <w:pPr>
        <w:ind w:left="2880" w:hanging="360"/>
      </w:pPr>
      <w:rPr>
        <w:rFonts w:ascii="Symbol" w:hAnsi="Symbol" w:hint="default"/>
      </w:rPr>
    </w:lvl>
    <w:lvl w:ilvl="4" w:tplc="8D42B30E">
      <w:start w:val="1"/>
      <w:numFmt w:val="bullet"/>
      <w:lvlText w:val="o"/>
      <w:lvlJc w:val="left"/>
      <w:pPr>
        <w:ind w:left="3600" w:hanging="360"/>
      </w:pPr>
      <w:rPr>
        <w:rFonts w:ascii="Courier New" w:hAnsi="Courier New" w:hint="default"/>
      </w:rPr>
    </w:lvl>
    <w:lvl w:ilvl="5" w:tplc="8FFE8C9C">
      <w:start w:val="1"/>
      <w:numFmt w:val="bullet"/>
      <w:lvlText w:val=""/>
      <w:lvlJc w:val="left"/>
      <w:pPr>
        <w:ind w:left="4320" w:hanging="360"/>
      </w:pPr>
      <w:rPr>
        <w:rFonts w:ascii="Wingdings" w:hAnsi="Wingdings" w:hint="default"/>
      </w:rPr>
    </w:lvl>
    <w:lvl w:ilvl="6" w:tplc="B4103A9A">
      <w:start w:val="1"/>
      <w:numFmt w:val="bullet"/>
      <w:lvlText w:val=""/>
      <w:lvlJc w:val="left"/>
      <w:pPr>
        <w:ind w:left="5040" w:hanging="360"/>
      </w:pPr>
      <w:rPr>
        <w:rFonts w:ascii="Symbol" w:hAnsi="Symbol" w:hint="default"/>
      </w:rPr>
    </w:lvl>
    <w:lvl w:ilvl="7" w:tplc="8DE4E204">
      <w:start w:val="1"/>
      <w:numFmt w:val="bullet"/>
      <w:lvlText w:val="o"/>
      <w:lvlJc w:val="left"/>
      <w:pPr>
        <w:ind w:left="5760" w:hanging="360"/>
      </w:pPr>
      <w:rPr>
        <w:rFonts w:ascii="Courier New" w:hAnsi="Courier New" w:hint="default"/>
      </w:rPr>
    </w:lvl>
    <w:lvl w:ilvl="8" w:tplc="544450B8">
      <w:start w:val="1"/>
      <w:numFmt w:val="bullet"/>
      <w:lvlText w:val=""/>
      <w:lvlJc w:val="left"/>
      <w:pPr>
        <w:ind w:left="6480" w:hanging="360"/>
      </w:pPr>
      <w:rPr>
        <w:rFonts w:ascii="Wingdings" w:hAnsi="Wingdings" w:hint="default"/>
      </w:rPr>
    </w:lvl>
  </w:abstractNum>
  <w:abstractNum w:abstractNumId="6" w15:restartNumberingAfterBreak="0">
    <w:nsid w:val="707FB510"/>
    <w:multiLevelType w:val="hybridMultilevel"/>
    <w:tmpl w:val="DA48836C"/>
    <w:lvl w:ilvl="0" w:tplc="62A84F52">
      <w:start w:val="1"/>
      <w:numFmt w:val="bullet"/>
      <w:lvlText w:val=""/>
      <w:lvlJc w:val="left"/>
      <w:pPr>
        <w:ind w:left="720" w:hanging="360"/>
      </w:pPr>
      <w:rPr>
        <w:rFonts w:ascii="Symbol" w:hAnsi="Symbol" w:hint="default"/>
      </w:rPr>
    </w:lvl>
    <w:lvl w:ilvl="1" w:tplc="51D4BA48">
      <w:start w:val="1"/>
      <w:numFmt w:val="bullet"/>
      <w:lvlText w:val="o"/>
      <w:lvlJc w:val="left"/>
      <w:pPr>
        <w:ind w:left="1440" w:hanging="360"/>
      </w:pPr>
      <w:rPr>
        <w:rFonts w:ascii="Courier New" w:hAnsi="Courier New" w:hint="default"/>
      </w:rPr>
    </w:lvl>
    <w:lvl w:ilvl="2" w:tplc="0AEECDC6">
      <w:start w:val="1"/>
      <w:numFmt w:val="bullet"/>
      <w:lvlText w:val=""/>
      <w:lvlJc w:val="left"/>
      <w:pPr>
        <w:ind w:left="2160" w:hanging="360"/>
      </w:pPr>
      <w:rPr>
        <w:rFonts w:ascii="Wingdings" w:hAnsi="Wingdings" w:hint="default"/>
      </w:rPr>
    </w:lvl>
    <w:lvl w:ilvl="3" w:tplc="DD3AAEE8">
      <w:start w:val="1"/>
      <w:numFmt w:val="bullet"/>
      <w:lvlText w:val=""/>
      <w:lvlJc w:val="left"/>
      <w:pPr>
        <w:ind w:left="2880" w:hanging="360"/>
      </w:pPr>
      <w:rPr>
        <w:rFonts w:ascii="Symbol" w:hAnsi="Symbol" w:hint="default"/>
      </w:rPr>
    </w:lvl>
    <w:lvl w:ilvl="4" w:tplc="941A37A8">
      <w:start w:val="1"/>
      <w:numFmt w:val="bullet"/>
      <w:lvlText w:val="o"/>
      <w:lvlJc w:val="left"/>
      <w:pPr>
        <w:ind w:left="3600" w:hanging="360"/>
      </w:pPr>
      <w:rPr>
        <w:rFonts w:ascii="Courier New" w:hAnsi="Courier New" w:hint="default"/>
      </w:rPr>
    </w:lvl>
    <w:lvl w:ilvl="5" w:tplc="ACE2C538">
      <w:start w:val="1"/>
      <w:numFmt w:val="bullet"/>
      <w:lvlText w:val=""/>
      <w:lvlJc w:val="left"/>
      <w:pPr>
        <w:ind w:left="4320" w:hanging="360"/>
      </w:pPr>
      <w:rPr>
        <w:rFonts w:ascii="Wingdings" w:hAnsi="Wingdings" w:hint="default"/>
      </w:rPr>
    </w:lvl>
    <w:lvl w:ilvl="6" w:tplc="82B289C4">
      <w:start w:val="1"/>
      <w:numFmt w:val="bullet"/>
      <w:lvlText w:val=""/>
      <w:lvlJc w:val="left"/>
      <w:pPr>
        <w:ind w:left="5040" w:hanging="360"/>
      </w:pPr>
      <w:rPr>
        <w:rFonts w:ascii="Symbol" w:hAnsi="Symbol" w:hint="default"/>
      </w:rPr>
    </w:lvl>
    <w:lvl w:ilvl="7" w:tplc="9376B4B6">
      <w:start w:val="1"/>
      <w:numFmt w:val="bullet"/>
      <w:lvlText w:val="o"/>
      <w:lvlJc w:val="left"/>
      <w:pPr>
        <w:ind w:left="5760" w:hanging="360"/>
      </w:pPr>
      <w:rPr>
        <w:rFonts w:ascii="Courier New" w:hAnsi="Courier New" w:hint="default"/>
      </w:rPr>
    </w:lvl>
    <w:lvl w:ilvl="8" w:tplc="3682A5D2">
      <w:start w:val="1"/>
      <w:numFmt w:val="bullet"/>
      <w:lvlText w:val=""/>
      <w:lvlJc w:val="left"/>
      <w:pPr>
        <w:ind w:left="6480" w:hanging="360"/>
      </w:pPr>
      <w:rPr>
        <w:rFonts w:ascii="Wingdings" w:hAnsi="Wingdings" w:hint="default"/>
      </w:rPr>
    </w:lvl>
  </w:abstractNum>
  <w:num w:numId="1" w16cid:durableId="1775201682">
    <w:abstractNumId w:val="5"/>
  </w:num>
  <w:num w:numId="2" w16cid:durableId="1917474475">
    <w:abstractNumId w:val="3"/>
  </w:num>
  <w:num w:numId="3" w16cid:durableId="1916474508">
    <w:abstractNumId w:val="0"/>
  </w:num>
  <w:num w:numId="4" w16cid:durableId="928200696">
    <w:abstractNumId w:val="2"/>
  </w:num>
  <w:num w:numId="5" w16cid:durableId="322394549">
    <w:abstractNumId w:val="6"/>
  </w:num>
  <w:num w:numId="6" w16cid:durableId="263928700">
    <w:abstractNumId w:val="4"/>
  </w:num>
  <w:num w:numId="7" w16cid:durableId="10226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C4A231"/>
    <w:rsid w:val="00015543"/>
    <w:rsid w:val="0001687A"/>
    <w:rsid w:val="000221D8"/>
    <w:rsid w:val="00023901"/>
    <w:rsid w:val="000243F2"/>
    <w:rsid w:val="000300BC"/>
    <w:rsid w:val="00050921"/>
    <w:rsid w:val="000574FD"/>
    <w:rsid w:val="000A4722"/>
    <w:rsid w:val="000C20BF"/>
    <w:rsid w:val="000D502F"/>
    <w:rsid w:val="00104E3D"/>
    <w:rsid w:val="001B7D2E"/>
    <w:rsid w:val="002113C8"/>
    <w:rsid w:val="00217C11"/>
    <w:rsid w:val="00247038"/>
    <w:rsid w:val="00264468"/>
    <w:rsid w:val="00292D35"/>
    <w:rsid w:val="00296453"/>
    <w:rsid w:val="002C221B"/>
    <w:rsid w:val="002C4B47"/>
    <w:rsid w:val="002C7B31"/>
    <w:rsid w:val="002CA369"/>
    <w:rsid w:val="002F20E2"/>
    <w:rsid w:val="003046BD"/>
    <w:rsid w:val="00326A14"/>
    <w:rsid w:val="0033181B"/>
    <w:rsid w:val="00335B13"/>
    <w:rsid w:val="00374925"/>
    <w:rsid w:val="00386CD3"/>
    <w:rsid w:val="003D1F14"/>
    <w:rsid w:val="00415941"/>
    <w:rsid w:val="00430EB8"/>
    <w:rsid w:val="004569B2"/>
    <w:rsid w:val="00470A01"/>
    <w:rsid w:val="00483619"/>
    <w:rsid w:val="00486B10"/>
    <w:rsid w:val="00492A2C"/>
    <w:rsid w:val="00495D4F"/>
    <w:rsid w:val="004A172D"/>
    <w:rsid w:val="004B3ACD"/>
    <w:rsid w:val="004C3318"/>
    <w:rsid w:val="004F57B6"/>
    <w:rsid w:val="00510DA0"/>
    <w:rsid w:val="005C2AA5"/>
    <w:rsid w:val="005D5AE2"/>
    <w:rsid w:val="005D5D59"/>
    <w:rsid w:val="005E02E9"/>
    <w:rsid w:val="00615AF4"/>
    <w:rsid w:val="006326DC"/>
    <w:rsid w:val="00653041"/>
    <w:rsid w:val="006B3196"/>
    <w:rsid w:val="006E20F2"/>
    <w:rsid w:val="006F4A8E"/>
    <w:rsid w:val="006F5ACB"/>
    <w:rsid w:val="007217AF"/>
    <w:rsid w:val="007226D0"/>
    <w:rsid w:val="00730DD4"/>
    <w:rsid w:val="00735408"/>
    <w:rsid w:val="00745940"/>
    <w:rsid w:val="00770037"/>
    <w:rsid w:val="007C07D7"/>
    <w:rsid w:val="007C13D8"/>
    <w:rsid w:val="007D32B6"/>
    <w:rsid w:val="007D72CF"/>
    <w:rsid w:val="00830F48"/>
    <w:rsid w:val="00836A97"/>
    <w:rsid w:val="008553CE"/>
    <w:rsid w:val="00864B6B"/>
    <w:rsid w:val="008A5153"/>
    <w:rsid w:val="008A54D2"/>
    <w:rsid w:val="008D3E05"/>
    <w:rsid w:val="008F70D7"/>
    <w:rsid w:val="009050FB"/>
    <w:rsid w:val="00952809"/>
    <w:rsid w:val="00955E74"/>
    <w:rsid w:val="00991C4E"/>
    <w:rsid w:val="00996437"/>
    <w:rsid w:val="009A68A0"/>
    <w:rsid w:val="00A2035A"/>
    <w:rsid w:val="00A413F3"/>
    <w:rsid w:val="00A52B9B"/>
    <w:rsid w:val="00AA1A88"/>
    <w:rsid w:val="00AA2DD6"/>
    <w:rsid w:val="00AB00B4"/>
    <w:rsid w:val="00AD6ADB"/>
    <w:rsid w:val="00AF1A34"/>
    <w:rsid w:val="00AF565C"/>
    <w:rsid w:val="00B13624"/>
    <w:rsid w:val="00B411B0"/>
    <w:rsid w:val="00B9474F"/>
    <w:rsid w:val="00BA3103"/>
    <w:rsid w:val="00BA36BC"/>
    <w:rsid w:val="00BF227D"/>
    <w:rsid w:val="00BF613C"/>
    <w:rsid w:val="00BF7A38"/>
    <w:rsid w:val="00C028CE"/>
    <w:rsid w:val="00C32353"/>
    <w:rsid w:val="00C33628"/>
    <w:rsid w:val="00C73CEC"/>
    <w:rsid w:val="00C748B4"/>
    <w:rsid w:val="00C8628B"/>
    <w:rsid w:val="00CC78DF"/>
    <w:rsid w:val="00CE55B7"/>
    <w:rsid w:val="00D05E3C"/>
    <w:rsid w:val="00D07811"/>
    <w:rsid w:val="00D25899"/>
    <w:rsid w:val="00DA28E3"/>
    <w:rsid w:val="00DB53C1"/>
    <w:rsid w:val="00DC7D6F"/>
    <w:rsid w:val="00DD6127"/>
    <w:rsid w:val="00DF921E"/>
    <w:rsid w:val="00E05697"/>
    <w:rsid w:val="00E31272"/>
    <w:rsid w:val="00E81D27"/>
    <w:rsid w:val="00E84640"/>
    <w:rsid w:val="00EA6722"/>
    <w:rsid w:val="00EB6B02"/>
    <w:rsid w:val="00ED0340"/>
    <w:rsid w:val="00F004C9"/>
    <w:rsid w:val="00F1438B"/>
    <w:rsid w:val="00F20D84"/>
    <w:rsid w:val="00FB0DEB"/>
    <w:rsid w:val="00FD3A48"/>
    <w:rsid w:val="00FE232D"/>
    <w:rsid w:val="016AABCD"/>
    <w:rsid w:val="0229AFA2"/>
    <w:rsid w:val="026B5587"/>
    <w:rsid w:val="028F2DA1"/>
    <w:rsid w:val="029753FC"/>
    <w:rsid w:val="02C17CB4"/>
    <w:rsid w:val="02CE5585"/>
    <w:rsid w:val="02E5458F"/>
    <w:rsid w:val="0428106A"/>
    <w:rsid w:val="0456376E"/>
    <w:rsid w:val="04886C45"/>
    <w:rsid w:val="04A60C28"/>
    <w:rsid w:val="050C041A"/>
    <w:rsid w:val="05676C71"/>
    <w:rsid w:val="05A3B492"/>
    <w:rsid w:val="05ADEED9"/>
    <w:rsid w:val="05E4A1AB"/>
    <w:rsid w:val="0657734A"/>
    <w:rsid w:val="0716AE93"/>
    <w:rsid w:val="0746FB47"/>
    <w:rsid w:val="0748A149"/>
    <w:rsid w:val="0762D531"/>
    <w:rsid w:val="07BE71D3"/>
    <w:rsid w:val="07CC8639"/>
    <w:rsid w:val="07DE3B02"/>
    <w:rsid w:val="0818EDF8"/>
    <w:rsid w:val="08F18449"/>
    <w:rsid w:val="09549973"/>
    <w:rsid w:val="09B1C7B8"/>
    <w:rsid w:val="0A48DAF5"/>
    <w:rsid w:val="0A96AD6F"/>
    <w:rsid w:val="0AA989CE"/>
    <w:rsid w:val="0AB635A8"/>
    <w:rsid w:val="0B590CAE"/>
    <w:rsid w:val="0B744DC0"/>
    <w:rsid w:val="0C8A42FA"/>
    <w:rsid w:val="0C9F3C3D"/>
    <w:rsid w:val="0D12CDEA"/>
    <w:rsid w:val="0DD9852C"/>
    <w:rsid w:val="0ED744E0"/>
    <w:rsid w:val="0F636881"/>
    <w:rsid w:val="0F8B01E7"/>
    <w:rsid w:val="0FA54635"/>
    <w:rsid w:val="0FD4E6CA"/>
    <w:rsid w:val="10165438"/>
    <w:rsid w:val="1041CE76"/>
    <w:rsid w:val="11984E4C"/>
    <w:rsid w:val="11A2142E"/>
    <w:rsid w:val="11BCFABB"/>
    <w:rsid w:val="11BF9059"/>
    <w:rsid w:val="11FF6118"/>
    <w:rsid w:val="122CAF59"/>
    <w:rsid w:val="12ACF42B"/>
    <w:rsid w:val="12D55E4D"/>
    <w:rsid w:val="13089572"/>
    <w:rsid w:val="1328D6BF"/>
    <w:rsid w:val="144F9172"/>
    <w:rsid w:val="14B34AFE"/>
    <w:rsid w:val="14C0B6FE"/>
    <w:rsid w:val="14F52A84"/>
    <w:rsid w:val="155005D7"/>
    <w:rsid w:val="159C6A20"/>
    <w:rsid w:val="15BDD091"/>
    <w:rsid w:val="15C945BB"/>
    <w:rsid w:val="15CC962F"/>
    <w:rsid w:val="15F0410D"/>
    <w:rsid w:val="16D77B51"/>
    <w:rsid w:val="1707B93F"/>
    <w:rsid w:val="1771D74F"/>
    <w:rsid w:val="1924A6F4"/>
    <w:rsid w:val="19AF2CCE"/>
    <w:rsid w:val="19B5560C"/>
    <w:rsid w:val="19BDD2CE"/>
    <w:rsid w:val="1A2BE899"/>
    <w:rsid w:val="1A655513"/>
    <w:rsid w:val="1A9E44D3"/>
    <w:rsid w:val="1AD482DE"/>
    <w:rsid w:val="1B18CE17"/>
    <w:rsid w:val="1BAFA0A4"/>
    <w:rsid w:val="1C0A45DC"/>
    <w:rsid w:val="1C20C731"/>
    <w:rsid w:val="1C3ECD28"/>
    <w:rsid w:val="1C8C6385"/>
    <w:rsid w:val="1CA09FEB"/>
    <w:rsid w:val="1CD4989B"/>
    <w:rsid w:val="1D032F86"/>
    <w:rsid w:val="1D15CD1F"/>
    <w:rsid w:val="1D29D462"/>
    <w:rsid w:val="1D7DFB98"/>
    <w:rsid w:val="1E0071A0"/>
    <w:rsid w:val="1E675B94"/>
    <w:rsid w:val="1EEC5697"/>
    <w:rsid w:val="1EFBCF77"/>
    <w:rsid w:val="1F1FF3EF"/>
    <w:rsid w:val="1FECAB57"/>
    <w:rsid w:val="2025BA68"/>
    <w:rsid w:val="203DB1D4"/>
    <w:rsid w:val="205FC60E"/>
    <w:rsid w:val="207B861A"/>
    <w:rsid w:val="209AA05B"/>
    <w:rsid w:val="20BDF7A4"/>
    <w:rsid w:val="20D65B13"/>
    <w:rsid w:val="213E012A"/>
    <w:rsid w:val="21BD40B9"/>
    <w:rsid w:val="221CB402"/>
    <w:rsid w:val="226E0022"/>
    <w:rsid w:val="228446DD"/>
    <w:rsid w:val="22AF9354"/>
    <w:rsid w:val="22ED76F5"/>
    <w:rsid w:val="233C27C8"/>
    <w:rsid w:val="23EC33BE"/>
    <w:rsid w:val="23F36AEF"/>
    <w:rsid w:val="248A7A6B"/>
    <w:rsid w:val="249E9DEA"/>
    <w:rsid w:val="24D20307"/>
    <w:rsid w:val="250DA937"/>
    <w:rsid w:val="2569B956"/>
    <w:rsid w:val="257B81D7"/>
    <w:rsid w:val="257D2E13"/>
    <w:rsid w:val="25BEE02D"/>
    <w:rsid w:val="25CA586E"/>
    <w:rsid w:val="27283A0F"/>
    <w:rsid w:val="2769B435"/>
    <w:rsid w:val="284FCBC3"/>
    <w:rsid w:val="29023900"/>
    <w:rsid w:val="29652D73"/>
    <w:rsid w:val="2993E059"/>
    <w:rsid w:val="2ADDF263"/>
    <w:rsid w:val="2B01796D"/>
    <w:rsid w:val="2B383614"/>
    <w:rsid w:val="2B4373BE"/>
    <w:rsid w:val="2B5B2A2E"/>
    <w:rsid w:val="2C51B9AF"/>
    <w:rsid w:val="2C5850C0"/>
    <w:rsid w:val="2C80C27B"/>
    <w:rsid w:val="2CA072DB"/>
    <w:rsid w:val="2D4B8758"/>
    <w:rsid w:val="2D653C54"/>
    <w:rsid w:val="2DB74D86"/>
    <w:rsid w:val="2E1905FA"/>
    <w:rsid w:val="2E8EAA98"/>
    <w:rsid w:val="2E9978AF"/>
    <w:rsid w:val="2EB04CBB"/>
    <w:rsid w:val="2ED0425C"/>
    <w:rsid w:val="2F100612"/>
    <w:rsid w:val="2F13AFA4"/>
    <w:rsid w:val="2FF3192F"/>
    <w:rsid w:val="2FF3D2AF"/>
    <w:rsid w:val="3014591B"/>
    <w:rsid w:val="302D9737"/>
    <w:rsid w:val="3072E38C"/>
    <w:rsid w:val="30C2976D"/>
    <w:rsid w:val="30E04182"/>
    <w:rsid w:val="3130EC72"/>
    <w:rsid w:val="31603D55"/>
    <w:rsid w:val="31AB9395"/>
    <w:rsid w:val="321C50D8"/>
    <w:rsid w:val="32452327"/>
    <w:rsid w:val="32EB0A5E"/>
    <w:rsid w:val="33A0CB32"/>
    <w:rsid w:val="33D50F16"/>
    <w:rsid w:val="346E6961"/>
    <w:rsid w:val="349D827F"/>
    <w:rsid w:val="34BBBB18"/>
    <w:rsid w:val="34E38660"/>
    <w:rsid w:val="3587F6FE"/>
    <w:rsid w:val="3591E8DE"/>
    <w:rsid w:val="35E9D387"/>
    <w:rsid w:val="35F37990"/>
    <w:rsid w:val="366F278A"/>
    <w:rsid w:val="36D42B08"/>
    <w:rsid w:val="36DCBEE7"/>
    <w:rsid w:val="3793A4A2"/>
    <w:rsid w:val="37BACA2D"/>
    <w:rsid w:val="37D221F3"/>
    <w:rsid w:val="37EDE532"/>
    <w:rsid w:val="38274748"/>
    <w:rsid w:val="38281823"/>
    <w:rsid w:val="382B5862"/>
    <w:rsid w:val="385A7F1B"/>
    <w:rsid w:val="38BD7914"/>
    <w:rsid w:val="38E39BE2"/>
    <w:rsid w:val="3912091A"/>
    <w:rsid w:val="3948C92C"/>
    <w:rsid w:val="39A06628"/>
    <w:rsid w:val="39C4A231"/>
    <w:rsid w:val="3A64F86F"/>
    <w:rsid w:val="3AA58D56"/>
    <w:rsid w:val="3B4C82CD"/>
    <w:rsid w:val="3B50A61A"/>
    <w:rsid w:val="3B95A339"/>
    <w:rsid w:val="3B9DCDA0"/>
    <w:rsid w:val="3DE6C098"/>
    <w:rsid w:val="3EE42EA7"/>
    <w:rsid w:val="3EEEAA22"/>
    <w:rsid w:val="3F23B2D5"/>
    <w:rsid w:val="3F40D19B"/>
    <w:rsid w:val="3FBFC1FE"/>
    <w:rsid w:val="3FF98875"/>
    <w:rsid w:val="406EB6D2"/>
    <w:rsid w:val="40763284"/>
    <w:rsid w:val="40A35046"/>
    <w:rsid w:val="410FFB1E"/>
    <w:rsid w:val="41201409"/>
    <w:rsid w:val="41266FD1"/>
    <w:rsid w:val="41807FE1"/>
    <w:rsid w:val="41AA70C8"/>
    <w:rsid w:val="41C46013"/>
    <w:rsid w:val="42225544"/>
    <w:rsid w:val="424CF531"/>
    <w:rsid w:val="4261E785"/>
    <w:rsid w:val="4293DEBF"/>
    <w:rsid w:val="42BC6A9C"/>
    <w:rsid w:val="430CFF42"/>
    <w:rsid w:val="436ACA58"/>
    <w:rsid w:val="4393C4B8"/>
    <w:rsid w:val="43984877"/>
    <w:rsid w:val="43B66E65"/>
    <w:rsid w:val="441EF450"/>
    <w:rsid w:val="444AD761"/>
    <w:rsid w:val="44523E92"/>
    <w:rsid w:val="44CE7F42"/>
    <w:rsid w:val="44DFABB7"/>
    <w:rsid w:val="450C241B"/>
    <w:rsid w:val="4535C2EA"/>
    <w:rsid w:val="4546C26A"/>
    <w:rsid w:val="45D06A47"/>
    <w:rsid w:val="45EF9B4B"/>
    <w:rsid w:val="460B5573"/>
    <w:rsid w:val="4664D146"/>
    <w:rsid w:val="46E20C05"/>
    <w:rsid w:val="4715BEEB"/>
    <w:rsid w:val="471755CC"/>
    <w:rsid w:val="475F298F"/>
    <w:rsid w:val="488A3238"/>
    <w:rsid w:val="489470FE"/>
    <w:rsid w:val="48EA5AF7"/>
    <w:rsid w:val="49565621"/>
    <w:rsid w:val="49987C57"/>
    <w:rsid w:val="4A196A0B"/>
    <w:rsid w:val="4A4EB5CB"/>
    <w:rsid w:val="4B542B30"/>
    <w:rsid w:val="4B728B0B"/>
    <w:rsid w:val="4B989550"/>
    <w:rsid w:val="4BC696E8"/>
    <w:rsid w:val="4BE597A1"/>
    <w:rsid w:val="4C29E0FF"/>
    <w:rsid w:val="4CA6E9C2"/>
    <w:rsid w:val="4CE92955"/>
    <w:rsid w:val="4D6BE40D"/>
    <w:rsid w:val="4DCBF873"/>
    <w:rsid w:val="4DE1EBD5"/>
    <w:rsid w:val="4E33559B"/>
    <w:rsid w:val="4E558394"/>
    <w:rsid w:val="4F0079FA"/>
    <w:rsid w:val="4F36560C"/>
    <w:rsid w:val="4FCDA93C"/>
    <w:rsid w:val="4FD0D3A4"/>
    <w:rsid w:val="50790ECB"/>
    <w:rsid w:val="507F127B"/>
    <w:rsid w:val="50D18C23"/>
    <w:rsid w:val="510D99F7"/>
    <w:rsid w:val="519218A3"/>
    <w:rsid w:val="51B32B5C"/>
    <w:rsid w:val="51DC523B"/>
    <w:rsid w:val="51F96D8D"/>
    <w:rsid w:val="52D8347E"/>
    <w:rsid w:val="5311A6EF"/>
    <w:rsid w:val="541E86FE"/>
    <w:rsid w:val="5449AB36"/>
    <w:rsid w:val="547EF45D"/>
    <w:rsid w:val="54A2996A"/>
    <w:rsid w:val="55015559"/>
    <w:rsid w:val="559502F6"/>
    <w:rsid w:val="56FCEBE8"/>
    <w:rsid w:val="57471708"/>
    <w:rsid w:val="58FD468E"/>
    <w:rsid w:val="592AAE51"/>
    <w:rsid w:val="595B8393"/>
    <w:rsid w:val="5964B093"/>
    <w:rsid w:val="59766EB3"/>
    <w:rsid w:val="5A56B08E"/>
    <w:rsid w:val="5AB27560"/>
    <w:rsid w:val="5AC50F4F"/>
    <w:rsid w:val="5B9963D2"/>
    <w:rsid w:val="5BDF7AD7"/>
    <w:rsid w:val="5C31B073"/>
    <w:rsid w:val="5CF40E2A"/>
    <w:rsid w:val="5DA1B022"/>
    <w:rsid w:val="5DD45D7F"/>
    <w:rsid w:val="5E71D1F8"/>
    <w:rsid w:val="5F8E6D04"/>
    <w:rsid w:val="5FC320DE"/>
    <w:rsid w:val="611011DA"/>
    <w:rsid w:val="617AC673"/>
    <w:rsid w:val="62255E1A"/>
    <w:rsid w:val="622B890B"/>
    <w:rsid w:val="622CBC6F"/>
    <w:rsid w:val="62B80096"/>
    <w:rsid w:val="62F73E76"/>
    <w:rsid w:val="63B31A95"/>
    <w:rsid w:val="63C59D12"/>
    <w:rsid w:val="63DC07FA"/>
    <w:rsid w:val="63E47C1A"/>
    <w:rsid w:val="64699409"/>
    <w:rsid w:val="651C6BFD"/>
    <w:rsid w:val="65220CBE"/>
    <w:rsid w:val="65C70381"/>
    <w:rsid w:val="65E24E5C"/>
    <w:rsid w:val="66052FE3"/>
    <w:rsid w:val="662C996C"/>
    <w:rsid w:val="66660046"/>
    <w:rsid w:val="667ED021"/>
    <w:rsid w:val="66938372"/>
    <w:rsid w:val="6703E1CC"/>
    <w:rsid w:val="67BB2DC1"/>
    <w:rsid w:val="681B301C"/>
    <w:rsid w:val="6822CCF7"/>
    <w:rsid w:val="68492B44"/>
    <w:rsid w:val="689909BD"/>
    <w:rsid w:val="689A0D90"/>
    <w:rsid w:val="691ABE56"/>
    <w:rsid w:val="6940FC13"/>
    <w:rsid w:val="6964C526"/>
    <w:rsid w:val="69891FA7"/>
    <w:rsid w:val="6A0BEA65"/>
    <w:rsid w:val="6AEBD4D0"/>
    <w:rsid w:val="6B0D656D"/>
    <w:rsid w:val="6B479F28"/>
    <w:rsid w:val="6C1DD9ED"/>
    <w:rsid w:val="6C306D4F"/>
    <w:rsid w:val="6C335DDB"/>
    <w:rsid w:val="6D2A64BD"/>
    <w:rsid w:val="6EABEDC9"/>
    <w:rsid w:val="6EB861A3"/>
    <w:rsid w:val="6F20C610"/>
    <w:rsid w:val="6FB23A33"/>
    <w:rsid w:val="700318CE"/>
    <w:rsid w:val="725F629C"/>
    <w:rsid w:val="72E5B52E"/>
    <w:rsid w:val="73071E8B"/>
    <w:rsid w:val="7345D64F"/>
    <w:rsid w:val="73977FB0"/>
    <w:rsid w:val="7471A0B7"/>
    <w:rsid w:val="74B280B4"/>
    <w:rsid w:val="7517542C"/>
    <w:rsid w:val="75713C7F"/>
    <w:rsid w:val="758B0061"/>
    <w:rsid w:val="7653B2CB"/>
    <w:rsid w:val="7683DBC7"/>
    <w:rsid w:val="769058A3"/>
    <w:rsid w:val="7694351C"/>
    <w:rsid w:val="77044FBF"/>
    <w:rsid w:val="77873F83"/>
    <w:rsid w:val="7872CC8E"/>
    <w:rsid w:val="7876AEA1"/>
    <w:rsid w:val="78FFEF53"/>
    <w:rsid w:val="794FA312"/>
    <w:rsid w:val="79B56C4F"/>
    <w:rsid w:val="79E8AC74"/>
    <w:rsid w:val="79F2B234"/>
    <w:rsid w:val="7A30038A"/>
    <w:rsid w:val="7B23CB5A"/>
    <w:rsid w:val="7B382594"/>
    <w:rsid w:val="7B6CA1F1"/>
    <w:rsid w:val="7B7A7A7C"/>
    <w:rsid w:val="7BBCC6FB"/>
    <w:rsid w:val="7CB50AB2"/>
    <w:rsid w:val="7CB8B647"/>
    <w:rsid w:val="7CC4170C"/>
    <w:rsid w:val="7CDA032C"/>
    <w:rsid w:val="7CFF11D1"/>
    <w:rsid w:val="7D122565"/>
    <w:rsid w:val="7D5594F7"/>
    <w:rsid w:val="7D66AF74"/>
    <w:rsid w:val="7E102705"/>
    <w:rsid w:val="7E5652F8"/>
    <w:rsid w:val="7F018C69"/>
    <w:rsid w:val="7F2DC4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A231"/>
  <w15:chartTrackingRefBased/>
  <w15:docId w15:val="{F84ED7FE-861D-4628-AF6A-5AF903B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unhideWhenUsed/>
    <w:qFormat/>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unhideWhenUsed/>
    <w:qFormat/>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unhideWhenUsed/>
    <w:qFormat/>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unhideWhenUsed/>
    <w:qFormat/>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rPr>
      <w:rFonts w:eastAsiaTheme="majorEastAsia" w:cstheme="majorBidi"/>
      <w:color w:val="0F4761" w:themeColor="accent1" w:themeShade="BF"/>
    </w:rPr>
  </w:style>
  <w:style w:type="character" w:customStyle="1" w:styleId="Balk6Char">
    <w:name w:val="Başlık 6 Char"/>
    <w:basedOn w:val="VarsaylanParagrafYazTipi"/>
    <w:link w:val="Balk6"/>
    <w:uiPriority w:val="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rPr>
      <w:rFonts w:eastAsiaTheme="majorEastAsia" w:cstheme="majorBidi"/>
      <w:color w:val="595959" w:themeColor="text1" w:themeTint="A6"/>
    </w:rPr>
  </w:style>
  <w:style w:type="character" w:customStyle="1" w:styleId="Balk8Char">
    <w:name w:val="Başlık 8 Char"/>
    <w:basedOn w:val="VarsaylanParagrafYazTipi"/>
    <w:link w:val="Balk8"/>
    <w:uiPriority w:val="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KonuBal">
    <w:name w:val="Title"/>
    <w:basedOn w:val="Normal"/>
    <w:next w:val="Normal"/>
    <w:link w:val="KonuBa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ltyazChar">
    <w:name w:val="Altyazı Char"/>
    <w:basedOn w:val="VarsaylanParagrafYazTipi"/>
    <w:link w:val="Altyaz"/>
    <w:uiPriority w:val="11"/>
    <w:rPr>
      <w:rFonts w:eastAsiaTheme="majorEastAsia" w:cstheme="majorBidi"/>
      <w:color w:val="595959" w:themeColor="text1" w:themeTint="A6"/>
      <w:spacing w:val="15"/>
      <w:sz w:val="28"/>
      <w:szCs w:val="28"/>
    </w:rPr>
  </w:style>
  <w:style w:type="paragraph" w:styleId="Altyaz">
    <w:name w:val="Subtitle"/>
    <w:basedOn w:val="Normal"/>
    <w:next w:val="Normal"/>
    <w:link w:val="AltyazChar"/>
    <w:uiPriority w:val="11"/>
    <w:qFormat/>
    <w:pPr>
      <w:numPr>
        <w:ilvl w:val="1"/>
      </w:numPr>
    </w:pPr>
    <w:rPr>
      <w:rFonts w:eastAsiaTheme="majorEastAsia" w:cstheme="majorBidi"/>
      <w:color w:val="595959" w:themeColor="text1" w:themeTint="A6"/>
      <w:spacing w:val="15"/>
      <w:sz w:val="28"/>
      <w:szCs w:val="28"/>
    </w:rPr>
  </w:style>
  <w:style w:type="character" w:styleId="GlVurgulama">
    <w:name w:val="Intense Emphasis"/>
    <w:basedOn w:val="VarsaylanParagrafYazTipi"/>
    <w:uiPriority w:val="21"/>
    <w:qFormat/>
    <w:rPr>
      <w:i/>
      <w:iCs/>
      <w:color w:val="0F4761" w:themeColor="accent1" w:themeShade="BF"/>
    </w:rPr>
  </w:style>
  <w:style w:type="character" w:customStyle="1" w:styleId="AlntChar">
    <w:name w:val="Alıntı Char"/>
    <w:basedOn w:val="VarsaylanParagrafYazTipi"/>
    <w:link w:val="Alnt"/>
    <w:uiPriority w:val="29"/>
    <w:rPr>
      <w:i/>
      <w:iCs/>
      <w:color w:val="404040" w:themeColor="text1" w:themeTint="BF"/>
    </w:rPr>
  </w:style>
  <w:style w:type="paragraph" w:styleId="Alnt">
    <w:name w:val="Quote"/>
    <w:basedOn w:val="Normal"/>
    <w:next w:val="Normal"/>
    <w:link w:val="AlntChar"/>
    <w:uiPriority w:val="29"/>
    <w:qFormat/>
    <w:pPr>
      <w:spacing w:before="160"/>
      <w:jc w:val="center"/>
    </w:pPr>
    <w:rPr>
      <w:i/>
      <w:iCs/>
      <w:color w:val="404040" w:themeColor="text1" w:themeTint="BF"/>
    </w:rPr>
  </w:style>
  <w:style w:type="character" w:customStyle="1" w:styleId="GlAlntChar">
    <w:name w:val="Güçlü Alıntı Char"/>
    <w:basedOn w:val="VarsaylanParagrafYazTipi"/>
    <w:link w:val="GlAlnt"/>
    <w:uiPriority w:val="30"/>
    <w:rPr>
      <w:i/>
      <w:iCs/>
      <w:color w:val="0F4761" w:themeColor="accent1" w:themeShade="BF"/>
    </w:rPr>
  </w:style>
  <w:style w:type="paragraph" w:styleId="GlAlnt">
    <w:name w:val="Intense Quote"/>
    <w:basedOn w:val="Normal"/>
    <w:next w:val="Normal"/>
    <w:link w:val="GlAln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GlBavuru">
    <w:name w:val="Intense Reference"/>
    <w:basedOn w:val="VarsaylanParagrafYazTipi"/>
    <w:uiPriority w:val="32"/>
    <w:qFormat/>
    <w:rPr>
      <w:b/>
      <w:bCs/>
      <w:smallCaps/>
      <w:color w:val="0F4761" w:themeColor="accent1" w:themeShade="BF"/>
      <w:spacing w:val="5"/>
    </w:rPr>
  </w:style>
  <w:style w:type="paragraph" w:styleId="stBilgi">
    <w:name w:val="header"/>
    <w:basedOn w:val="Normal"/>
    <w:uiPriority w:val="99"/>
    <w:unhideWhenUsed/>
    <w:rsid w:val="4DE1EBD5"/>
    <w:pPr>
      <w:tabs>
        <w:tab w:val="center" w:pos="4680"/>
        <w:tab w:val="right" w:pos="9360"/>
      </w:tabs>
      <w:spacing w:after="0" w:line="240" w:lineRule="auto"/>
    </w:pPr>
  </w:style>
  <w:style w:type="paragraph" w:styleId="AltBilgi">
    <w:name w:val="footer"/>
    <w:basedOn w:val="Normal"/>
    <w:uiPriority w:val="99"/>
    <w:unhideWhenUsed/>
    <w:rsid w:val="4DE1EBD5"/>
    <w:pPr>
      <w:tabs>
        <w:tab w:val="center" w:pos="4680"/>
        <w:tab w:val="right" w:pos="9360"/>
      </w:tabs>
      <w:spacing w:after="0" w:line="240" w:lineRule="auto"/>
    </w:p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4535C2EA"/>
    <w:pPr>
      <w:ind w:left="720"/>
      <w:contextualSpacing/>
    </w:pPr>
  </w:style>
  <w:style w:type="character" w:styleId="Kpr">
    <w:name w:val="Hyperlink"/>
    <w:basedOn w:val="VarsaylanParagrafYazTipi"/>
    <w:uiPriority w:val="99"/>
    <w:unhideWhenUsed/>
    <w:rsid w:val="4535C2EA"/>
    <w:rPr>
      <w:color w:val="467886"/>
      <w:u w:val="single"/>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430EB8"/>
    <w:rPr>
      <w:b/>
      <w:bCs/>
    </w:rPr>
  </w:style>
  <w:style w:type="character" w:customStyle="1" w:styleId="AklamaKonusuChar">
    <w:name w:val="Açıklama Konusu Char"/>
    <w:basedOn w:val="AklamaMetniChar"/>
    <w:link w:val="AklamaKonusu"/>
    <w:uiPriority w:val="99"/>
    <w:semiHidden/>
    <w:rsid w:val="00430EB8"/>
    <w:rPr>
      <w:b/>
      <w:bCs/>
      <w:sz w:val="20"/>
      <w:szCs w:val="20"/>
    </w:rPr>
  </w:style>
  <w:style w:type="paragraph" w:styleId="Dzeltme">
    <w:name w:val="Revision"/>
    <w:hidden/>
    <w:uiPriority w:val="99"/>
    <w:semiHidden/>
    <w:rsid w:val="00430EB8"/>
    <w:pPr>
      <w:spacing w:after="0" w:line="240" w:lineRule="auto"/>
    </w:pPr>
  </w:style>
  <w:style w:type="paragraph" w:customStyle="1" w:styleId="paragraph">
    <w:name w:val="paragraph"/>
    <w:basedOn w:val="Normal"/>
    <w:rsid w:val="00BA3103"/>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VarsaylanParagrafYazTipi"/>
    <w:rsid w:val="00BA3103"/>
  </w:style>
  <w:style w:type="character" w:customStyle="1" w:styleId="eop">
    <w:name w:val="eop"/>
    <w:basedOn w:val="VarsaylanParagrafYazTipi"/>
    <w:rsid w:val="00BA3103"/>
  </w:style>
  <w:style w:type="character" w:styleId="zmlenmeyenBahsetme">
    <w:name w:val="Unresolved Mention"/>
    <w:basedOn w:val="VarsaylanParagrafYazTipi"/>
    <w:uiPriority w:val="99"/>
    <w:semiHidden/>
    <w:unhideWhenUsed/>
    <w:rsid w:val="00326A14"/>
    <w:rPr>
      <w:color w:val="605E5C"/>
      <w:shd w:val="clear" w:color="auto" w:fill="E1DFDD"/>
    </w:rPr>
  </w:style>
  <w:style w:type="paragraph" w:styleId="DipnotMetni">
    <w:name w:val="footnote text"/>
    <w:basedOn w:val="Normal"/>
    <w:link w:val="DipnotMetniChar"/>
    <w:uiPriority w:val="99"/>
    <w:semiHidden/>
    <w:unhideWhenUsed/>
    <w:rsid w:val="0001554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15543"/>
    <w:rPr>
      <w:sz w:val="20"/>
      <w:szCs w:val="20"/>
    </w:rPr>
  </w:style>
  <w:style w:type="character" w:styleId="DipnotBavurusu">
    <w:name w:val="footnote reference"/>
    <w:basedOn w:val="VarsaylanParagrafYazTipi"/>
    <w:uiPriority w:val="99"/>
    <w:semiHidden/>
    <w:unhideWhenUsed/>
    <w:rsid w:val="00015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tdsynnex.com/" TargetMode="External"/><Relationship Id="rId18" Type="http://schemas.openxmlformats.org/officeDocument/2006/relationships/hyperlink" Target="https://www.youtube.com/@TDSYNNEXEuro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erens@bordopr.com" TargetMode="External"/><Relationship Id="rId17" Type="http://schemas.openxmlformats.org/officeDocument/2006/relationships/hyperlink" Target="https://www.instagram.com/tdsynnex/" TargetMode="External"/><Relationship Id="rId2" Type="http://schemas.openxmlformats.org/officeDocument/2006/relationships/customXml" Target="../customXml/item2.xml"/><Relationship Id="rId16" Type="http://schemas.openxmlformats.org/officeDocument/2006/relationships/hyperlink" Target="https://www.facebook.com/TDSYNNE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tdsynnex.com/destinationai/overview/" TargetMode="External"/><Relationship Id="rId5" Type="http://schemas.openxmlformats.org/officeDocument/2006/relationships/numbering" Target="numbering.xml"/><Relationship Id="rId15" Type="http://schemas.openxmlformats.org/officeDocument/2006/relationships/hyperlink" Target="https://www.linkedin.com/company/tdsynne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tdsynnex.com/Intouch/MVC/Microsite/Public?categorypageid=2229&amp;msmenuid=5481&amp;corpregionid=58&amp;Purpose=Microsit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ctad.org/news/ai-market-projected-hit-48-trillion-2033-emerging-dominant-frontier-techn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1c6290-8afc-4345-8e2c-d785ab6e0b76" xsi:nil="true"/>
    <lcf76f155ced4ddcb4097134ff3c332f xmlns="a6a5f7e4-2986-46c3-893f-0e0d1047cb81">
      <Terms xmlns="http://schemas.microsoft.com/office/infopath/2007/PartnerControls"/>
    </lcf76f155ced4ddcb4097134ff3c332f>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37561-057A-44D9-AE13-A69F12DC3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811FA-72BE-4841-81DF-0365F5E6DB2B}">
  <ds:schemaRefs>
    <ds:schemaRef ds:uri="http://schemas.microsoft.com/office/2006/metadata/properties"/>
    <ds:schemaRef ds:uri="http://schemas.microsoft.com/office/infopath/2007/PartnerControls"/>
    <ds:schemaRef ds:uri="b21c6290-8afc-4345-8e2c-d785ab6e0b76"/>
    <ds:schemaRef ds:uri="a6a5f7e4-2986-46c3-893f-0e0d1047cb81"/>
  </ds:schemaRefs>
</ds:datastoreItem>
</file>

<file path=customXml/itemProps3.xml><?xml version="1.0" encoding="utf-8"?>
<ds:datastoreItem xmlns:ds="http://schemas.openxmlformats.org/officeDocument/2006/customXml" ds:itemID="{ACCDB87B-AC0D-4F93-9C11-CEB6697459E5}">
  <ds:schemaRefs>
    <ds:schemaRef ds:uri="http://schemas.openxmlformats.org/officeDocument/2006/bibliography"/>
  </ds:schemaRefs>
</ds:datastoreItem>
</file>

<file path=customXml/itemProps4.xml><?xml version="1.0" encoding="utf-8"?>
<ds:datastoreItem xmlns:ds="http://schemas.openxmlformats.org/officeDocument/2006/customXml" ds:itemID="{38803E86-2414-4679-9E29-CD33EE256D6B}">
  <ds:schemaRefs>
    <ds:schemaRef ds:uri="http://schemas.microsoft.com/sharepoint/v3/contenttype/forms"/>
  </ds:schemaRefs>
</ds:datastoreItem>
</file>

<file path=docMetadata/LabelInfo.xml><?xml version="1.0" encoding="utf-8"?>
<clbl:labelList xmlns:clbl="http://schemas.microsoft.com/office/2020/mipLabelMetadata">
  <clbl:label id="{3a23c400-78e7-4d42-982d-273adef68ef9}" enabled="1" method="Privileged" siteId="{7fe14ab6-8f5d-4139-84bf-cd8aed0ee6b9}"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Wolff, Rebecca</dc:creator>
  <cp:keywords/>
  <dc:description/>
  <cp:lastModifiedBy>Ceren Şahin</cp:lastModifiedBy>
  <cp:revision>16</cp:revision>
  <dcterms:created xsi:type="dcterms:W3CDTF">2025-09-25T09:38:00Z</dcterms:created>
  <dcterms:modified xsi:type="dcterms:W3CDTF">2026-02-17T10:15:00Z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y fmtid="{D5CDD505-2E9C-101B-9397-08002B2CF9AE}" pid="4" name="docLang">
    <vt:lpwstr>en</vt:lpwstr>
  </property>
</Properties>
</file>