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6FD" w14:textId="52BA1FF8" w:rsidR="00F46C91" w:rsidRPr="00937621" w:rsidRDefault="00937621" w:rsidP="00340BD7">
      <w:pPr>
        <w:spacing w:line="360" w:lineRule="auto"/>
        <w:jc w:val="both"/>
        <w:rPr>
          <w:rFonts w:ascii="Verdana" w:hAnsi="Verdana"/>
          <w:b/>
          <w:bCs/>
          <w:sz w:val="32"/>
          <w:szCs w:val="32"/>
          <w:u w:val="single"/>
          <w:lang w:val="tr-TR"/>
        </w:rPr>
      </w:pPr>
      <w:r w:rsidRPr="00937621">
        <w:rPr>
          <w:rFonts w:ascii="Verdana" w:hAnsi="Verdana"/>
          <w:b/>
          <w:bCs/>
          <w:sz w:val="32"/>
          <w:szCs w:val="32"/>
          <w:u w:val="single"/>
          <w:lang w:val="tr-TR"/>
        </w:rPr>
        <w:t>BASIN BÜLTENİ</w:t>
      </w:r>
    </w:p>
    <w:p w14:paraId="6A3FC90D" w14:textId="77777777" w:rsidR="00937621" w:rsidRDefault="00937621" w:rsidP="00937621">
      <w:pPr>
        <w:spacing w:line="360" w:lineRule="auto"/>
        <w:jc w:val="center"/>
        <w:rPr>
          <w:rFonts w:ascii="Verdana" w:hAnsi="Verdana"/>
          <w:b/>
          <w:bCs/>
          <w:sz w:val="28"/>
          <w:szCs w:val="28"/>
          <w:lang w:val="tr-TR"/>
        </w:rPr>
      </w:pPr>
    </w:p>
    <w:p w14:paraId="1D8EE41D" w14:textId="58D3BCCE" w:rsidR="00937621" w:rsidRDefault="00937621" w:rsidP="00937621">
      <w:pPr>
        <w:spacing w:line="360" w:lineRule="auto"/>
        <w:jc w:val="center"/>
        <w:rPr>
          <w:rFonts w:ascii="Verdana" w:hAnsi="Verdana"/>
          <w:b/>
          <w:bCs/>
          <w:sz w:val="28"/>
          <w:szCs w:val="28"/>
          <w:lang w:val="tr-TR"/>
        </w:rPr>
      </w:pPr>
      <w:r w:rsidRPr="00937621">
        <w:rPr>
          <w:rFonts w:ascii="Verdana" w:hAnsi="Verdana"/>
          <w:b/>
          <w:bCs/>
          <w:sz w:val="28"/>
          <w:szCs w:val="28"/>
          <w:lang w:val="tr-TR"/>
        </w:rPr>
        <w:t xml:space="preserve">BCTR </w:t>
      </w:r>
      <w:proofErr w:type="spellStart"/>
      <w:r w:rsidRPr="00937621">
        <w:rPr>
          <w:rFonts w:ascii="Verdana" w:hAnsi="Verdana"/>
          <w:b/>
          <w:bCs/>
          <w:sz w:val="28"/>
          <w:szCs w:val="28"/>
          <w:lang w:val="tr-TR"/>
        </w:rPr>
        <w:t>Block</w:t>
      </w:r>
      <w:proofErr w:type="spellEnd"/>
      <w:r w:rsidRPr="00937621">
        <w:rPr>
          <w:rFonts w:ascii="Verdana" w:hAnsi="Verdana"/>
          <w:b/>
          <w:bCs/>
          <w:sz w:val="28"/>
          <w:szCs w:val="28"/>
          <w:lang w:val="tr-TR"/>
        </w:rPr>
        <w:t xml:space="preserve"> </w:t>
      </w:r>
      <w:proofErr w:type="spellStart"/>
      <w:r w:rsidRPr="00937621">
        <w:rPr>
          <w:rFonts w:ascii="Verdana" w:hAnsi="Verdana"/>
          <w:b/>
          <w:bCs/>
          <w:sz w:val="28"/>
          <w:szCs w:val="28"/>
          <w:lang w:val="tr-TR"/>
        </w:rPr>
        <w:t>Brew</w:t>
      </w:r>
      <w:proofErr w:type="spellEnd"/>
      <w:r w:rsidRPr="00937621">
        <w:rPr>
          <w:rFonts w:ascii="Verdana" w:hAnsi="Verdana"/>
          <w:b/>
          <w:bCs/>
          <w:sz w:val="28"/>
          <w:szCs w:val="28"/>
          <w:lang w:val="tr-TR"/>
        </w:rPr>
        <w:t xml:space="preserve"> Buluşmasında kripto varl</w:t>
      </w:r>
      <w:r w:rsidRPr="00937621">
        <w:rPr>
          <w:rFonts w:ascii="Verdana" w:hAnsi="Verdana" w:hint="eastAsia"/>
          <w:b/>
          <w:bCs/>
          <w:sz w:val="28"/>
          <w:szCs w:val="28"/>
          <w:lang w:val="tr-TR"/>
        </w:rPr>
        <w:t>ı</w:t>
      </w:r>
      <w:r w:rsidRPr="00937621">
        <w:rPr>
          <w:rFonts w:ascii="Verdana" w:hAnsi="Verdana"/>
          <w:b/>
          <w:bCs/>
          <w:sz w:val="28"/>
          <w:szCs w:val="28"/>
          <w:lang w:val="tr-TR"/>
        </w:rPr>
        <w:t>klar</w:t>
      </w:r>
      <w:r w:rsidRPr="00937621">
        <w:rPr>
          <w:rFonts w:ascii="Verdana" w:hAnsi="Verdana" w:hint="eastAsia"/>
          <w:b/>
          <w:bCs/>
          <w:sz w:val="28"/>
          <w:szCs w:val="28"/>
          <w:lang w:val="tr-TR"/>
        </w:rPr>
        <w:t>ı</w:t>
      </w:r>
      <w:r w:rsidRPr="00937621">
        <w:rPr>
          <w:rFonts w:ascii="Verdana" w:hAnsi="Verdana"/>
          <w:b/>
          <w:bCs/>
          <w:sz w:val="28"/>
          <w:szCs w:val="28"/>
          <w:lang w:val="tr-TR"/>
        </w:rPr>
        <w:t>n vergilendirilmesi masaya yat</w:t>
      </w:r>
      <w:r w:rsidRPr="00937621">
        <w:rPr>
          <w:rFonts w:ascii="Verdana" w:hAnsi="Verdana" w:hint="eastAsia"/>
          <w:b/>
          <w:bCs/>
          <w:sz w:val="28"/>
          <w:szCs w:val="28"/>
          <w:lang w:val="tr-TR"/>
        </w:rPr>
        <w:t>ı</w:t>
      </w:r>
      <w:r w:rsidRPr="00937621">
        <w:rPr>
          <w:rFonts w:ascii="Verdana" w:hAnsi="Verdana"/>
          <w:b/>
          <w:bCs/>
          <w:sz w:val="28"/>
          <w:szCs w:val="28"/>
          <w:lang w:val="tr-TR"/>
        </w:rPr>
        <w:t>r</w:t>
      </w:r>
      <w:r w:rsidRPr="00937621">
        <w:rPr>
          <w:rFonts w:ascii="Verdana" w:hAnsi="Verdana" w:hint="eastAsia"/>
          <w:b/>
          <w:bCs/>
          <w:sz w:val="28"/>
          <w:szCs w:val="28"/>
          <w:lang w:val="tr-TR"/>
        </w:rPr>
        <w:t>ı</w:t>
      </w:r>
      <w:r w:rsidRPr="00937621">
        <w:rPr>
          <w:rFonts w:ascii="Verdana" w:hAnsi="Verdana"/>
          <w:b/>
          <w:bCs/>
          <w:sz w:val="28"/>
          <w:szCs w:val="28"/>
          <w:lang w:val="tr-TR"/>
        </w:rPr>
        <w:t>ld</w:t>
      </w:r>
      <w:r w:rsidRPr="00937621">
        <w:rPr>
          <w:rFonts w:ascii="Verdana" w:hAnsi="Verdana" w:hint="eastAsia"/>
          <w:b/>
          <w:bCs/>
          <w:sz w:val="28"/>
          <w:szCs w:val="28"/>
          <w:lang w:val="tr-TR"/>
        </w:rPr>
        <w:t>ı</w:t>
      </w:r>
    </w:p>
    <w:p w14:paraId="2ED709CA" w14:textId="2C10DA2E" w:rsidR="00937621" w:rsidRPr="00937621" w:rsidRDefault="00937621" w:rsidP="00937621">
      <w:pPr>
        <w:spacing w:line="360" w:lineRule="auto"/>
        <w:jc w:val="center"/>
        <w:rPr>
          <w:rFonts w:ascii="Verdana" w:hAnsi="Verdana"/>
          <w:b/>
          <w:bCs/>
          <w:lang w:val="tr-TR"/>
        </w:rPr>
      </w:pPr>
      <w:proofErr w:type="spellStart"/>
      <w:r w:rsidRPr="00937621">
        <w:rPr>
          <w:rFonts w:ascii="Verdana" w:hAnsi="Verdana"/>
          <w:b/>
          <w:bCs/>
          <w:lang w:val="tr-TR"/>
        </w:rPr>
        <w:t>Blockchain</w:t>
      </w:r>
      <w:proofErr w:type="spellEnd"/>
      <w:r w:rsidRPr="00937621">
        <w:rPr>
          <w:rFonts w:ascii="Verdana" w:hAnsi="Verdana"/>
          <w:b/>
          <w:bCs/>
          <w:lang w:val="tr-TR"/>
        </w:rPr>
        <w:t xml:space="preserve"> Türkiye Platformu (BCTR) Vergi Muhasebe ve Denetim Çalışma Grubu tarafından düzenlenen “</w:t>
      </w:r>
      <w:proofErr w:type="spellStart"/>
      <w:r w:rsidRPr="00937621">
        <w:rPr>
          <w:rFonts w:ascii="Verdana" w:hAnsi="Verdana"/>
          <w:b/>
          <w:bCs/>
          <w:lang w:val="tr-TR"/>
        </w:rPr>
        <w:t>Block</w:t>
      </w:r>
      <w:proofErr w:type="spellEnd"/>
      <w:r w:rsidRPr="00937621">
        <w:rPr>
          <w:rFonts w:ascii="Verdana" w:hAnsi="Verdana"/>
          <w:b/>
          <w:bCs/>
          <w:lang w:val="tr-TR"/>
        </w:rPr>
        <w:t xml:space="preserve"> </w:t>
      </w:r>
      <w:proofErr w:type="spellStart"/>
      <w:r w:rsidRPr="00937621">
        <w:rPr>
          <w:rFonts w:ascii="Verdana" w:hAnsi="Verdana"/>
          <w:b/>
          <w:bCs/>
          <w:lang w:val="tr-TR"/>
        </w:rPr>
        <w:t>Brew</w:t>
      </w:r>
      <w:proofErr w:type="spellEnd"/>
      <w:r w:rsidRPr="00937621">
        <w:rPr>
          <w:rFonts w:ascii="Verdana" w:hAnsi="Verdana"/>
          <w:b/>
          <w:bCs/>
          <w:lang w:val="tr-TR"/>
        </w:rPr>
        <w:t xml:space="preserve"> – Kahve Eşliğinde </w:t>
      </w:r>
      <w:proofErr w:type="spellStart"/>
      <w:r w:rsidRPr="00937621">
        <w:rPr>
          <w:rFonts w:ascii="Verdana" w:hAnsi="Verdana"/>
          <w:b/>
          <w:bCs/>
          <w:lang w:val="tr-TR"/>
        </w:rPr>
        <w:t>Blockchain</w:t>
      </w:r>
      <w:proofErr w:type="spellEnd"/>
      <w:r w:rsidRPr="00937621">
        <w:rPr>
          <w:rFonts w:ascii="Verdana" w:hAnsi="Verdana"/>
          <w:b/>
          <w:bCs/>
          <w:lang w:val="tr-TR"/>
        </w:rPr>
        <w:t xml:space="preserve"> </w:t>
      </w:r>
      <w:proofErr w:type="spellStart"/>
      <w:r w:rsidRPr="00937621">
        <w:rPr>
          <w:rFonts w:ascii="Verdana" w:hAnsi="Verdana"/>
          <w:b/>
          <w:bCs/>
          <w:lang w:val="tr-TR"/>
        </w:rPr>
        <w:t>Buluşmaları”nda</w:t>
      </w:r>
      <w:proofErr w:type="spellEnd"/>
      <w:r w:rsidRPr="00937621">
        <w:rPr>
          <w:rFonts w:ascii="Verdana" w:hAnsi="Verdana"/>
          <w:b/>
          <w:bCs/>
          <w:lang w:val="tr-TR"/>
        </w:rPr>
        <w:t>, kripto varlıkların nasıl vergilendirilmesi gerektiği sektör temsilcileriyle birlikte ele alındı. Dünya uygulamaları ışığında Türkiye’ye yönelik değerlendirmeler paylaşıldı.</w:t>
      </w:r>
    </w:p>
    <w:p w14:paraId="1B6DE314" w14:textId="77777777" w:rsidR="00937621" w:rsidRPr="00937621"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BCTR Vergi Muhasebe ve Denetim Çalışma Grubu’nun (VMDÇG) her yıl çeyrek dönemler itibarıyla geleneksel olarak düzenlediği “</w:t>
      </w:r>
      <w:proofErr w:type="spellStart"/>
      <w:r w:rsidRPr="00937621">
        <w:rPr>
          <w:rFonts w:ascii="Verdana" w:hAnsi="Verdana"/>
          <w:sz w:val="20"/>
          <w:szCs w:val="20"/>
          <w:lang w:val="tr-TR"/>
        </w:rPr>
        <w:t>Block</w:t>
      </w:r>
      <w:proofErr w:type="spellEnd"/>
      <w:r w:rsidRPr="00937621">
        <w:rPr>
          <w:rFonts w:ascii="Verdana" w:hAnsi="Verdana"/>
          <w:sz w:val="20"/>
          <w:szCs w:val="20"/>
          <w:lang w:val="tr-TR"/>
        </w:rPr>
        <w:t xml:space="preserve"> </w:t>
      </w:r>
      <w:proofErr w:type="spellStart"/>
      <w:r w:rsidRPr="00937621">
        <w:rPr>
          <w:rFonts w:ascii="Verdana" w:hAnsi="Verdana"/>
          <w:sz w:val="20"/>
          <w:szCs w:val="20"/>
          <w:lang w:val="tr-TR"/>
        </w:rPr>
        <w:t>Brew</w:t>
      </w:r>
      <w:proofErr w:type="spellEnd"/>
      <w:r w:rsidRPr="00937621">
        <w:rPr>
          <w:rFonts w:ascii="Verdana" w:hAnsi="Verdana"/>
          <w:sz w:val="20"/>
          <w:szCs w:val="20"/>
          <w:lang w:val="tr-TR"/>
        </w:rPr>
        <w:t xml:space="preserve"> – Kahve Eşliğinde </w:t>
      </w:r>
      <w:proofErr w:type="spellStart"/>
      <w:r w:rsidRPr="00937621">
        <w:rPr>
          <w:rFonts w:ascii="Verdana" w:hAnsi="Verdana"/>
          <w:sz w:val="20"/>
          <w:szCs w:val="20"/>
          <w:lang w:val="tr-TR"/>
        </w:rPr>
        <w:t>Blockchain</w:t>
      </w:r>
      <w:proofErr w:type="spellEnd"/>
      <w:r w:rsidRPr="00937621">
        <w:rPr>
          <w:rFonts w:ascii="Verdana" w:hAnsi="Verdana"/>
          <w:sz w:val="20"/>
          <w:szCs w:val="20"/>
          <w:lang w:val="tr-TR"/>
        </w:rPr>
        <w:t xml:space="preserve"> Buluşmaları”, Garanti BBVA </w:t>
      </w:r>
      <w:proofErr w:type="spellStart"/>
      <w:r w:rsidRPr="00937621">
        <w:rPr>
          <w:rFonts w:ascii="Verdana" w:hAnsi="Verdana"/>
          <w:sz w:val="20"/>
          <w:szCs w:val="20"/>
          <w:lang w:val="tr-TR"/>
        </w:rPr>
        <w:t>Kripto’nun</w:t>
      </w:r>
      <w:proofErr w:type="spellEnd"/>
      <w:r w:rsidRPr="00937621">
        <w:rPr>
          <w:rFonts w:ascii="Verdana" w:hAnsi="Verdana"/>
          <w:sz w:val="20"/>
          <w:szCs w:val="20"/>
          <w:lang w:val="tr-TR"/>
        </w:rPr>
        <w:t xml:space="preserve"> etkinlik organizasyonuyla gerçekleştirildi.</w:t>
      </w:r>
    </w:p>
    <w:p w14:paraId="7BAD2672" w14:textId="3CA8E544" w:rsidR="00937621"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Toplantıda, son dönemde kamuoyunda ve sektörde sıkça tartışılan “Kripto varlıklar nasıl vergilendirilmeli?” sorusuna yanıt arandı. Dünya örnekleri çerçevesinde Türkiye’ye yönelik görüş ve öneriler değerlendirildi. Etkinlikte sektör temsilcileri, hukukçular, vergi ve teknoloji profesyonelleri ile ekosistem paydaşları bir araya geldi.</w:t>
      </w:r>
    </w:p>
    <w:p w14:paraId="7D29B8B4" w14:textId="22B7C168" w:rsidR="00937621" w:rsidRPr="00937621" w:rsidRDefault="00937621" w:rsidP="00937621">
      <w:pPr>
        <w:spacing w:line="360" w:lineRule="auto"/>
        <w:jc w:val="both"/>
        <w:rPr>
          <w:rFonts w:ascii="Verdana" w:hAnsi="Verdana"/>
          <w:b/>
          <w:bCs/>
          <w:sz w:val="20"/>
          <w:szCs w:val="20"/>
          <w:lang w:val="tr-TR"/>
        </w:rPr>
      </w:pPr>
      <w:r w:rsidRPr="00937621">
        <w:rPr>
          <w:rFonts w:ascii="Verdana" w:hAnsi="Verdana"/>
          <w:b/>
          <w:bCs/>
          <w:sz w:val="20"/>
          <w:szCs w:val="20"/>
          <w:lang w:val="tr-TR"/>
        </w:rPr>
        <w:t>Uluslararası düzenlemeler ve yeni s</w:t>
      </w:r>
      <w:r w:rsidRPr="00937621">
        <w:rPr>
          <w:rFonts w:ascii="Verdana" w:hAnsi="Verdana" w:hint="eastAsia"/>
          <w:b/>
          <w:bCs/>
          <w:sz w:val="20"/>
          <w:szCs w:val="20"/>
          <w:lang w:val="tr-TR"/>
        </w:rPr>
        <w:t>ı</w:t>
      </w:r>
      <w:r w:rsidRPr="00937621">
        <w:rPr>
          <w:rFonts w:ascii="Verdana" w:hAnsi="Verdana"/>
          <w:b/>
          <w:bCs/>
          <w:sz w:val="20"/>
          <w:szCs w:val="20"/>
          <w:lang w:val="tr-TR"/>
        </w:rPr>
        <w:t>n</w:t>
      </w:r>
      <w:r w:rsidRPr="00937621">
        <w:rPr>
          <w:rFonts w:ascii="Verdana" w:hAnsi="Verdana" w:hint="eastAsia"/>
          <w:b/>
          <w:bCs/>
          <w:sz w:val="20"/>
          <w:szCs w:val="20"/>
          <w:lang w:val="tr-TR"/>
        </w:rPr>
        <w:t>ı</w:t>
      </w:r>
      <w:r w:rsidRPr="00937621">
        <w:rPr>
          <w:rFonts w:ascii="Verdana" w:hAnsi="Verdana"/>
          <w:b/>
          <w:bCs/>
          <w:sz w:val="20"/>
          <w:szCs w:val="20"/>
          <w:lang w:val="tr-TR"/>
        </w:rPr>
        <w:t>fland</w:t>
      </w:r>
      <w:r w:rsidRPr="00937621">
        <w:rPr>
          <w:rFonts w:ascii="Verdana" w:hAnsi="Verdana" w:hint="eastAsia"/>
          <w:b/>
          <w:bCs/>
          <w:sz w:val="20"/>
          <w:szCs w:val="20"/>
          <w:lang w:val="tr-TR"/>
        </w:rPr>
        <w:t>ı</w:t>
      </w:r>
      <w:r w:rsidRPr="00937621">
        <w:rPr>
          <w:rFonts w:ascii="Verdana" w:hAnsi="Verdana"/>
          <w:b/>
          <w:bCs/>
          <w:sz w:val="20"/>
          <w:szCs w:val="20"/>
          <w:lang w:val="tr-TR"/>
        </w:rPr>
        <w:t>rmalar</w:t>
      </w:r>
    </w:p>
    <w:p w14:paraId="62DAEC8C" w14:textId="7DF758EF" w:rsidR="001A53C5" w:rsidRPr="00340BD7"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 xml:space="preserve">Etkinlik, Çalışma Grubu Başkanı Tayfun İçten ve Başkan Yardımcısı Dr. N. Nilay Dayanç </w:t>
      </w:r>
      <w:proofErr w:type="spellStart"/>
      <w:r w:rsidRPr="00937621">
        <w:rPr>
          <w:rFonts w:ascii="Verdana" w:hAnsi="Verdana"/>
          <w:sz w:val="20"/>
          <w:szCs w:val="20"/>
          <w:lang w:val="tr-TR"/>
        </w:rPr>
        <w:t>Kuzeyli’nin</w:t>
      </w:r>
      <w:proofErr w:type="spellEnd"/>
      <w:r w:rsidRPr="00937621">
        <w:rPr>
          <w:rFonts w:ascii="Verdana" w:hAnsi="Verdana"/>
          <w:sz w:val="20"/>
          <w:szCs w:val="20"/>
          <w:lang w:val="tr-TR"/>
        </w:rPr>
        <w:t xml:space="preserve"> </w:t>
      </w:r>
      <w:proofErr w:type="spellStart"/>
      <w:r w:rsidRPr="00937621">
        <w:rPr>
          <w:rFonts w:ascii="Verdana" w:hAnsi="Verdana"/>
          <w:sz w:val="20"/>
          <w:szCs w:val="20"/>
          <w:lang w:val="tr-TR"/>
        </w:rPr>
        <w:t>moderatörlüğünde</w:t>
      </w:r>
      <w:proofErr w:type="spellEnd"/>
      <w:r w:rsidRPr="00937621">
        <w:rPr>
          <w:rFonts w:ascii="Verdana" w:hAnsi="Verdana"/>
          <w:sz w:val="20"/>
          <w:szCs w:val="20"/>
          <w:lang w:val="tr-TR"/>
        </w:rPr>
        <w:t xml:space="preserve"> gerçekleştirildi. Tayfun İçten, çalışma grubunun kripto varlıkların vergilendirilmesine ilişkin daha önce hazırladığı iki kapsamlı rapora dair özet bilgiler paylaştı.</w:t>
      </w:r>
      <w:r>
        <w:rPr>
          <w:rFonts w:ascii="Verdana" w:hAnsi="Verdana"/>
          <w:sz w:val="20"/>
          <w:szCs w:val="20"/>
          <w:lang w:val="tr-TR"/>
        </w:rPr>
        <w:t xml:space="preserve"> </w:t>
      </w:r>
      <w:r w:rsidRPr="00937621">
        <w:rPr>
          <w:rFonts w:ascii="Verdana" w:hAnsi="Verdana"/>
          <w:sz w:val="20"/>
          <w:szCs w:val="20"/>
          <w:lang w:val="tr-TR"/>
        </w:rPr>
        <w:t xml:space="preserve">İçten ayrıca, 17 Mart tarihinde SEC ile CFTC tarafından ortak yayımlanan “Yorumlayıcı Kural” çalışmasına değinerek; bu düzenlemeyle getirilen “Dijital Emtia, Dijital Koleksiyon, Dijital Araç, </w:t>
      </w:r>
      <w:proofErr w:type="spellStart"/>
      <w:r w:rsidRPr="00937621">
        <w:rPr>
          <w:rFonts w:ascii="Verdana" w:hAnsi="Verdana"/>
          <w:sz w:val="20"/>
          <w:szCs w:val="20"/>
          <w:lang w:val="tr-TR"/>
        </w:rPr>
        <w:t>Stablecoin</w:t>
      </w:r>
      <w:proofErr w:type="spellEnd"/>
      <w:r w:rsidRPr="00937621">
        <w:rPr>
          <w:rFonts w:ascii="Verdana" w:hAnsi="Verdana"/>
          <w:sz w:val="20"/>
          <w:szCs w:val="20"/>
          <w:lang w:val="tr-TR"/>
        </w:rPr>
        <w:t xml:space="preserve"> ve Dijital Menkul </w:t>
      </w:r>
      <w:proofErr w:type="spellStart"/>
      <w:r w:rsidRPr="00937621">
        <w:rPr>
          <w:rFonts w:ascii="Verdana" w:hAnsi="Verdana"/>
          <w:sz w:val="20"/>
          <w:szCs w:val="20"/>
          <w:lang w:val="tr-TR"/>
        </w:rPr>
        <w:t>Kıymetler”den</w:t>
      </w:r>
      <w:proofErr w:type="spellEnd"/>
      <w:r w:rsidRPr="00937621">
        <w:rPr>
          <w:rFonts w:ascii="Verdana" w:hAnsi="Verdana"/>
          <w:sz w:val="20"/>
          <w:szCs w:val="20"/>
          <w:lang w:val="tr-TR"/>
        </w:rPr>
        <w:t xml:space="preserve"> oluşan beşli ayrıma ilişkin değerlendirmelerde bulundu.</w:t>
      </w:r>
    </w:p>
    <w:p w14:paraId="150AFB1C" w14:textId="39E1044D" w:rsidR="00937621" w:rsidRPr="00937621" w:rsidRDefault="00937621" w:rsidP="00937621">
      <w:pPr>
        <w:spacing w:line="360" w:lineRule="auto"/>
        <w:jc w:val="both"/>
        <w:rPr>
          <w:rFonts w:ascii="Verdana" w:hAnsi="Verdana"/>
          <w:b/>
          <w:bCs/>
          <w:sz w:val="20"/>
          <w:szCs w:val="20"/>
          <w:lang w:val="tr-TR"/>
        </w:rPr>
      </w:pPr>
      <w:r w:rsidRPr="00937621">
        <w:rPr>
          <w:rFonts w:ascii="Verdana" w:hAnsi="Verdana"/>
          <w:b/>
          <w:bCs/>
          <w:sz w:val="20"/>
          <w:szCs w:val="20"/>
          <w:lang w:val="tr-TR"/>
        </w:rPr>
        <w:t xml:space="preserve">OECD ve AB </w:t>
      </w:r>
      <w:r>
        <w:rPr>
          <w:rFonts w:ascii="Verdana" w:hAnsi="Verdana"/>
          <w:b/>
          <w:bCs/>
          <w:sz w:val="20"/>
          <w:szCs w:val="20"/>
          <w:lang w:val="tr-TR"/>
        </w:rPr>
        <w:t>p</w:t>
      </w:r>
      <w:r w:rsidRPr="00937621">
        <w:rPr>
          <w:rFonts w:ascii="Verdana" w:hAnsi="Verdana"/>
          <w:b/>
          <w:bCs/>
          <w:sz w:val="20"/>
          <w:szCs w:val="20"/>
          <w:lang w:val="tr-TR"/>
        </w:rPr>
        <w:t>erspektifi</w:t>
      </w:r>
    </w:p>
    <w:p w14:paraId="792AECE5" w14:textId="77777777" w:rsidR="00937621"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Etkinlikte ayrıca BCTR</w:t>
      </w:r>
      <w:r>
        <w:rPr>
          <w:rFonts w:ascii="Verdana" w:hAnsi="Verdana"/>
          <w:sz w:val="20"/>
          <w:szCs w:val="20"/>
          <w:lang w:val="tr-TR"/>
        </w:rPr>
        <w:t xml:space="preserve"> </w:t>
      </w:r>
      <w:r w:rsidRPr="00937621">
        <w:rPr>
          <w:rFonts w:ascii="Verdana" w:hAnsi="Verdana"/>
          <w:sz w:val="20"/>
          <w:szCs w:val="20"/>
          <w:lang w:val="tr-TR"/>
        </w:rPr>
        <w:t xml:space="preserve">Vergi Muhasebe ve Denetim Çalışma Grubu Başkan Yardımcısı Dr. N. Nilay Dayanç Kuzeyli tarafından dünyadaki güncel vergi uygulamaları ele alındı. OECD yaklaşımı, Avrupa Birliği düzenlemeleri ve Türkiye’de torba kanunda kripto varlıkların </w:t>
      </w:r>
      <w:r w:rsidRPr="00937621">
        <w:rPr>
          <w:rFonts w:ascii="Verdana" w:hAnsi="Verdana"/>
          <w:sz w:val="20"/>
          <w:szCs w:val="20"/>
          <w:lang w:val="tr-TR"/>
        </w:rPr>
        <w:lastRenderedPageBreak/>
        <w:t>vergilendirilmesine ilişkin geri çekilen maddeler kapsamında planlanan sisteme dair değerlendirmeler katılımcılarla paylaşıldı.</w:t>
      </w:r>
    </w:p>
    <w:p w14:paraId="67925566" w14:textId="77777777" w:rsidR="00937621" w:rsidRDefault="00937621" w:rsidP="00937621">
      <w:pPr>
        <w:spacing w:line="360" w:lineRule="auto"/>
        <w:jc w:val="both"/>
        <w:rPr>
          <w:rFonts w:ascii="Verdana" w:hAnsi="Verdana"/>
          <w:sz w:val="20"/>
          <w:szCs w:val="20"/>
          <w:lang w:val="tr-TR"/>
        </w:rPr>
      </w:pPr>
    </w:p>
    <w:p w14:paraId="2D0B1D25" w14:textId="4D903353" w:rsidR="00937621" w:rsidRPr="00937621" w:rsidRDefault="00937621" w:rsidP="00937621">
      <w:pPr>
        <w:spacing w:line="360" w:lineRule="auto"/>
        <w:jc w:val="both"/>
        <w:rPr>
          <w:rFonts w:ascii="Verdana" w:hAnsi="Verdana"/>
          <w:b/>
          <w:bCs/>
          <w:sz w:val="20"/>
          <w:szCs w:val="20"/>
          <w:lang w:val="tr-TR"/>
        </w:rPr>
      </w:pPr>
      <w:r w:rsidRPr="00937621">
        <w:rPr>
          <w:rFonts w:ascii="Verdana" w:hAnsi="Verdana"/>
          <w:b/>
          <w:bCs/>
          <w:sz w:val="20"/>
          <w:szCs w:val="20"/>
          <w:lang w:val="tr-TR"/>
        </w:rPr>
        <w:t>Yeni rapor çal</w:t>
      </w:r>
      <w:r w:rsidRPr="00937621">
        <w:rPr>
          <w:rFonts w:ascii="Verdana" w:hAnsi="Verdana" w:hint="eastAsia"/>
          <w:b/>
          <w:bCs/>
          <w:sz w:val="20"/>
          <w:szCs w:val="20"/>
          <w:lang w:val="tr-TR"/>
        </w:rPr>
        <w:t>ış</w:t>
      </w:r>
      <w:r w:rsidRPr="00937621">
        <w:rPr>
          <w:rFonts w:ascii="Verdana" w:hAnsi="Verdana"/>
          <w:b/>
          <w:bCs/>
          <w:sz w:val="20"/>
          <w:szCs w:val="20"/>
          <w:lang w:val="tr-TR"/>
        </w:rPr>
        <w:t>mas</w:t>
      </w:r>
      <w:r w:rsidRPr="00937621">
        <w:rPr>
          <w:rFonts w:ascii="Verdana" w:hAnsi="Verdana" w:hint="eastAsia"/>
          <w:b/>
          <w:bCs/>
          <w:sz w:val="20"/>
          <w:szCs w:val="20"/>
          <w:lang w:val="tr-TR"/>
        </w:rPr>
        <w:t>ı</w:t>
      </w:r>
      <w:r w:rsidRPr="00937621">
        <w:rPr>
          <w:rFonts w:ascii="Verdana" w:hAnsi="Verdana"/>
          <w:b/>
          <w:bCs/>
          <w:sz w:val="20"/>
          <w:szCs w:val="20"/>
          <w:lang w:val="tr-TR"/>
        </w:rPr>
        <w:t>n</w:t>
      </w:r>
      <w:r w:rsidRPr="00937621">
        <w:rPr>
          <w:rFonts w:ascii="Verdana" w:hAnsi="Verdana" w:hint="eastAsia"/>
          <w:b/>
          <w:bCs/>
          <w:sz w:val="20"/>
          <w:szCs w:val="20"/>
          <w:lang w:val="tr-TR"/>
        </w:rPr>
        <w:t>ı</w:t>
      </w:r>
      <w:r w:rsidRPr="00937621">
        <w:rPr>
          <w:rFonts w:ascii="Verdana" w:hAnsi="Verdana"/>
          <w:b/>
          <w:bCs/>
          <w:sz w:val="20"/>
          <w:szCs w:val="20"/>
          <w:lang w:val="tr-TR"/>
        </w:rPr>
        <w:t>n çerçevesi payla</w:t>
      </w:r>
      <w:r w:rsidRPr="00937621">
        <w:rPr>
          <w:rFonts w:ascii="Verdana" w:hAnsi="Verdana" w:hint="eastAsia"/>
          <w:b/>
          <w:bCs/>
          <w:sz w:val="20"/>
          <w:szCs w:val="20"/>
          <w:lang w:val="tr-TR"/>
        </w:rPr>
        <w:t>şı</w:t>
      </w:r>
      <w:r w:rsidRPr="00937621">
        <w:rPr>
          <w:rFonts w:ascii="Verdana" w:hAnsi="Verdana"/>
          <w:b/>
          <w:bCs/>
          <w:sz w:val="20"/>
          <w:szCs w:val="20"/>
          <w:lang w:val="tr-TR"/>
        </w:rPr>
        <w:t>ld</w:t>
      </w:r>
      <w:r w:rsidRPr="00937621">
        <w:rPr>
          <w:rFonts w:ascii="Verdana" w:hAnsi="Verdana" w:hint="eastAsia"/>
          <w:b/>
          <w:bCs/>
          <w:sz w:val="20"/>
          <w:szCs w:val="20"/>
          <w:lang w:val="tr-TR"/>
        </w:rPr>
        <w:t>ı</w:t>
      </w:r>
    </w:p>
    <w:p w14:paraId="6034D9D8" w14:textId="77777777" w:rsidR="00937621" w:rsidRPr="00937621"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Etkinliğin sonunda katılımcılara söz verilerek görüşleri alındı. Ayrıca daha önce paylaşılan dokuz sorudan oluşan soru setine ilişkin katılımcılardan, hazırlanan Çalışma Grubu raporuna altyapı oluşturmak üzere yazılı katkı sunmaları istendi.</w:t>
      </w:r>
    </w:p>
    <w:p w14:paraId="2943B670" w14:textId="77777777" w:rsidR="00937621" w:rsidRPr="00937621"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 xml:space="preserve">BCTR </w:t>
      </w:r>
      <w:proofErr w:type="spellStart"/>
      <w:r w:rsidRPr="00937621">
        <w:rPr>
          <w:rFonts w:ascii="Verdana" w:hAnsi="Verdana"/>
          <w:sz w:val="20"/>
          <w:szCs w:val="20"/>
          <w:lang w:val="tr-TR"/>
        </w:rPr>
        <w:t>VMDÇG’nin</w:t>
      </w:r>
      <w:proofErr w:type="spellEnd"/>
      <w:r w:rsidRPr="00937621">
        <w:rPr>
          <w:rFonts w:ascii="Verdana" w:hAnsi="Verdana"/>
          <w:sz w:val="20"/>
          <w:szCs w:val="20"/>
          <w:lang w:val="tr-TR"/>
        </w:rPr>
        <w:t xml:space="preserve"> daha önce hazırladığı kapsamlı rapor çalışmalarının devamı niteliğinde planlanan yeni raporun çerçevesi de bu etkinlikte paylaşıldı. Raporda, kripto varlıkların mevcut vergi mevzuatı bütünlüğü içinde hukuki ve mali niteliklerinin değerlendirilmesi; uluslararası uygulamalar ışığında Türkiye için uygulanabilir politika önerilerinin geliştirilmesi hedefleniyor.</w:t>
      </w:r>
    </w:p>
    <w:p w14:paraId="04963977" w14:textId="77777777" w:rsidR="00937621" w:rsidRPr="00937621"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Tayfun İçten, çalışma grubunun uzun süredir kripto varlıkların vergilendirilmesine odaklandığını belirterek, yeni rapor sürecinde sektörün görüş ve önerilerinin doğrudan alınmasının önemine dikkat çekti. İçten, raporun ekosistem paydaşlarının katkılarıyla değerlendirileceğini ifade etti.</w:t>
      </w:r>
    </w:p>
    <w:p w14:paraId="2FC52871" w14:textId="300DCBD3" w:rsidR="00DC2794" w:rsidRDefault="00937621" w:rsidP="00937621">
      <w:pPr>
        <w:spacing w:line="360" w:lineRule="auto"/>
        <w:jc w:val="both"/>
        <w:rPr>
          <w:rFonts w:ascii="Verdana" w:hAnsi="Verdana"/>
          <w:sz w:val="20"/>
          <w:szCs w:val="20"/>
          <w:lang w:val="tr-TR"/>
        </w:rPr>
      </w:pPr>
      <w:r w:rsidRPr="00937621">
        <w:rPr>
          <w:rFonts w:ascii="Verdana" w:hAnsi="Verdana"/>
          <w:sz w:val="20"/>
          <w:szCs w:val="20"/>
          <w:lang w:val="tr-TR"/>
        </w:rPr>
        <w:t xml:space="preserve">Garanti BBVA Kripto ev sahipliğinde gerçekleştirilen etkinlik, sektör profesyonellerinin görüş alışverişinde bulunduğu </w:t>
      </w:r>
      <w:proofErr w:type="spellStart"/>
      <w:r w:rsidRPr="00937621">
        <w:rPr>
          <w:rFonts w:ascii="Verdana" w:hAnsi="Verdana"/>
          <w:sz w:val="20"/>
          <w:szCs w:val="20"/>
          <w:lang w:val="tr-TR"/>
        </w:rPr>
        <w:t>networking</w:t>
      </w:r>
      <w:proofErr w:type="spellEnd"/>
      <w:r w:rsidRPr="00937621">
        <w:rPr>
          <w:rFonts w:ascii="Verdana" w:hAnsi="Verdana"/>
          <w:sz w:val="20"/>
          <w:szCs w:val="20"/>
          <w:lang w:val="tr-TR"/>
        </w:rPr>
        <w:t xml:space="preserve"> bölümüyle sona erdi. </w:t>
      </w:r>
      <w:proofErr w:type="spellStart"/>
      <w:r w:rsidRPr="00937621">
        <w:rPr>
          <w:rFonts w:ascii="Verdana" w:hAnsi="Verdana"/>
          <w:sz w:val="20"/>
          <w:szCs w:val="20"/>
          <w:lang w:val="tr-TR"/>
        </w:rPr>
        <w:t>Block</w:t>
      </w:r>
      <w:proofErr w:type="spellEnd"/>
      <w:r w:rsidRPr="00937621">
        <w:rPr>
          <w:rFonts w:ascii="Verdana" w:hAnsi="Verdana"/>
          <w:sz w:val="20"/>
          <w:szCs w:val="20"/>
          <w:lang w:val="tr-TR"/>
        </w:rPr>
        <w:t xml:space="preserve"> </w:t>
      </w:r>
      <w:proofErr w:type="spellStart"/>
      <w:r w:rsidRPr="00937621">
        <w:rPr>
          <w:rFonts w:ascii="Verdana" w:hAnsi="Verdana"/>
          <w:sz w:val="20"/>
          <w:szCs w:val="20"/>
          <w:lang w:val="tr-TR"/>
        </w:rPr>
        <w:t>Brew</w:t>
      </w:r>
      <w:proofErr w:type="spellEnd"/>
      <w:r w:rsidRPr="00937621">
        <w:rPr>
          <w:rFonts w:ascii="Verdana" w:hAnsi="Verdana"/>
          <w:sz w:val="20"/>
          <w:szCs w:val="20"/>
          <w:lang w:val="tr-TR"/>
        </w:rPr>
        <w:t xml:space="preserve"> buluşmalarının, alanında uzman isimleri bir araya getirerek bilgi ve deneyim paylaşımına katkı sunmaya devam edeceği belirtildi.</w:t>
      </w:r>
    </w:p>
    <w:p w14:paraId="1C511ADF" w14:textId="6E809FD8" w:rsidR="00937621" w:rsidRDefault="00937621" w:rsidP="00937621">
      <w:pPr>
        <w:spacing w:line="360" w:lineRule="auto"/>
        <w:jc w:val="both"/>
        <w:rPr>
          <w:rFonts w:ascii="Verdana" w:hAnsi="Verdana"/>
          <w:sz w:val="20"/>
          <w:szCs w:val="20"/>
          <w:lang w:val="tr-TR"/>
        </w:rPr>
      </w:pPr>
    </w:p>
    <w:p w14:paraId="69953345" w14:textId="77777777" w:rsidR="00937621" w:rsidRDefault="00937621" w:rsidP="00937621">
      <w:pPr>
        <w:pStyle w:val="paragraph"/>
        <w:spacing w:before="0" w:beforeAutospacing="0" w:after="0" w:afterAutospacing="0" w:line="360" w:lineRule="auto"/>
        <w:textAlignment w:val="baseline"/>
        <w:rPr>
          <w:rFonts w:ascii="Arial" w:hAnsi="Arial"/>
          <w:sz w:val="18"/>
          <w:szCs w:val="18"/>
        </w:rPr>
      </w:pPr>
      <w:r>
        <w:rPr>
          <w:rStyle w:val="normaltextrun"/>
          <w:rFonts w:ascii="Verdana" w:eastAsiaTheme="majorEastAsia" w:hAnsi="Verdana"/>
          <w:b/>
          <w:bCs/>
          <w:color w:val="000000"/>
          <w:sz w:val="20"/>
          <w:szCs w:val="20"/>
        </w:rPr>
        <w:t>İlgili </w:t>
      </w:r>
      <w:proofErr w:type="gramStart"/>
      <w:r>
        <w:rPr>
          <w:rStyle w:val="normaltextrun"/>
          <w:rFonts w:ascii="Verdana" w:eastAsiaTheme="majorEastAsia" w:hAnsi="Verdana"/>
          <w:b/>
          <w:bCs/>
          <w:color w:val="000000"/>
          <w:sz w:val="20"/>
          <w:szCs w:val="20"/>
        </w:rPr>
        <w:t>kişi:</w:t>
      </w:r>
      <w:r>
        <w:rPr>
          <w:rStyle w:val="normaltextrun"/>
          <w:rFonts w:ascii="Verdana" w:eastAsiaTheme="majorEastAsia" w:hAnsi="Verdana"/>
          <w:color w:val="000000"/>
          <w:sz w:val="20"/>
          <w:szCs w:val="20"/>
        </w:rPr>
        <w:t>   </w:t>
      </w:r>
      <w:proofErr w:type="gramEnd"/>
      <w:r>
        <w:rPr>
          <w:rStyle w:val="normaltextrun"/>
          <w:rFonts w:ascii="Verdana" w:eastAsiaTheme="majorEastAsia" w:hAnsi="Verdana"/>
          <w:color w:val="000000"/>
          <w:sz w:val="20"/>
          <w:szCs w:val="20"/>
        </w:rPr>
        <w:t>  </w:t>
      </w:r>
      <w:r>
        <w:rPr>
          <w:rStyle w:val="scxw133825502"/>
          <w:rFonts w:ascii="Verdana" w:eastAsiaTheme="majorEastAsia" w:hAnsi="Verdana"/>
          <w:color w:val="000000"/>
          <w:sz w:val="20"/>
          <w:szCs w:val="20"/>
        </w:rPr>
        <w:t> </w:t>
      </w:r>
      <w:r>
        <w:rPr>
          <w:rFonts w:ascii="Verdana" w:hAnsi="Verdana"/>
          <w:color w:val="000000"/>
          <w:sz w:val="20"/>
          <w:szCs w:val="20"/>
        </w:rPr>
        <w:br/>
      </w:r>
      <w:r>
        <w:rPr>
          <w:rStyle w:val="normaltextrun"/>
          <w:rFonts w:ascii="Verdana" w:eastAsiaTheme="majorEastAsia" w:hAnsi="Verdana"/>
          <w:color w:val="000000"/>
          <w:sz w:val="20"/>
          <w:szCs w:val="20"/>
        </w:rPr>
        <w:t>Ulaş Dağlıoğlu     </w:t>
      </w:r>
      <w:r>
        <w:rPr>
          <w:rStyle w:val="eop"/>
          <w:rFonts w:ascii="Verdana" w:eastAsiaTheme="majorEastAsia" w:hAnsi="Verdana"/>
          <w:color w:val="000000"/>
          <w:sz w:val="20"/>
          <w:szCs w:val="20"/>
        </w:rPr>
        <w:t> </w:t>
      </w:r>
    </w:p>
    <w:p w14:paraId="1BDCC1CC" w14:textId="77777777" w:rsidR="00937621" w:rsidRDefault="00937621" w:rsidP="00937621">
      <w:pPr>
        <w:pStyle w:val="paragraph"/>
        <w:spacing w:before="0" w:beforeAutospacing="0" w:after="0" w:afterAutospacing="0" w:line="360" w:lineRule="auto"/>
        <w:textAlignment w:val="baseline"/>
        <w:rPr>
          <w:rFonts w:ascii="Arial" w:hAnsi="Arial"/>
          <w:sz w:val="18"/>
          <w:szCs w:val="18"/>
        </w:rPr>
      </w:pPr>
      <w:r>
        <w:rPr>
          <w:rStyle w:val="normaltextrun"/>
          <w:rFonts w:ascii="Verdana" w:eastAsiaTheme="majorEastAsia" w:hAnsi="Verdana"/>
          <w:color w:val="000000"/>
          <w:sz w:val="20"/>
          <w:szCs w:val="20"/>
        </w:rPr>
        <w:t>Marjinal Porter </w:t>
      </w:r>
      <w:proofErr w:type="spellStart"/>
      <w:r>
        <w:rPr>
          <w:rStyle w:val="normaltextrun"/>
          <w:rFonts w:ascii="Verdana" w:eastAsiaTheme="majorEastAsia" w:hAnsi="Verdana"/>
          <w:color w:val="000000"/>
          <w:sz w:val="20"/>
          <w:szCs w:val="20"/>
        </w:rPr>
        <w:t>Novelli</w:t>
      </w:r>
      <w:proofErr w:type="spellEnd"/>
      <w:r>
        <w:rPr>
          <w:rStyle w:val="normaltextrun"/>
          <w:rFonts w:ascii="Verdana" w:eastAsiaTheme="majorEastAsia" w:hAnsi="Verdana"/>
          <w:color w:val="000000"/>
          <w:sz w:val="20"/>
          <w:szCs w:val="20"/>
        </w:rPr>
        <w:t>         </w:t>
      </w:r>
      <w:r>
        <w:rPr>
          <w:rStyle w:val="scxw133825502"/>
          <w:rFonts w:ascii="Verdana" w:eastAsiaTheme="majorEastAsia" w:hAnsi="Verdana"/>
          <w:color w:val="000000"/>
          <w:sz w:val="20"/>
          <w:szCs w:val="20"/>
        </w:rPr>
        <w:t> </w:t>
      </w:r>
      <w:r>
        <w:rPr>
          <w:rFonts w:ascii="Verdana" w:hAnsi="Verdana"/>
          <w:color w:val="000000"/>
          <w:sz w:val="20"/>
          <w:szCs w:val="20"/>
        </w:rPr>
        <w:br/>
      </w:r>
      <w:r>
        <w:rPr>
          <w:rStyle w:val="normaltextrun"/>
          <w:rFonts w:ascii="Verdana" w:eastAsiaTheme="majorEastAsia" w:hAnsi="Verdana"/>
          <w:color w:val="000000"/>
          <w:sz w:val="20"/>
          <w:szCs w:val="20"/>
        </w:rPr>
        <w:t>0212 219 29 </w:t>
      </w:r>
      <w:proofErr w:type="gramStart"/>
      <w:r>
        <w:rPr>
          <w:rStyle w:val="normaltextrun"/>
          <w:rFonts w:ascii="Verdana" w:eastAsiaTheme="majorEastAsia" w:hAnsi="Verdana"/>
          <w:color w:val="000000"/>
          <w:sz w:val="20"/>
          <w:szCs w:val="20"/>
        </w:rPr>
        <w:t>71 -</w:t>
      </w:r>
      <w:proofErr w:type="gramEnd"/>
      <w:r>
        <w:rPr>
          <w:rStyle w:val="normaltextrun"/>
          <w:rFonts w:ascii="Verdana" w:eastAsiaTheme="majorEastAsia" w:hAnsi="Verdana"/>
          <w:color w:val="000000"/>
          <w:sz w:val="20"/>
          <w:szCs w:val="20"/>
        </w:rPr>
        <w:t> 0544 734 52 21      </w:t>
      </w:r>
      <w:r>
        <w:rPr>
          <w:rStyle w:val="scxw133825502"/>
          <w:rFonts w:ascii="Verdana" w:eastAsiaTheme="majorEastAsia" w:hAnsi="Verdana"/>
          <w:color w:val="000000"/>
          <w:sz w:val="20"/>
          <w:szCs w:val="20"/>
        </w:rPr>
        <w:t> </w:t>
      </w:r>
      <w:r>
        <w:rPr>
          <w:rFonts w:ascii="Verdana" w:hAnsi="Verdana"/>
          <w:color w:val="000000"/>
          <w:sz w:val="20"/>
          <w:szCs w:val="20"/>
        </w:rPr>
        <w:br/>
      </w:r>
      <w:hyperlink r:id="rId8" w:tgtFrame="_blank" w:history="1">
        <w:r>
          <w:rPr>
            <w:rStyle w:val="normaltextrun"/>
            <w:rFonts w:ascii="Verdana" w:eastAsiaTheme="majorEastAsia" w:hAnsi="Verdana"/>
            <w:color w:val="000000"/>
            <w:sz w:val="20"/>
            <w:szCs w:val="20"/>
          </w:rPr>
          <w:t>ulasd@marjinal.com.tr</w:t>
        </w:r>
      </w:hyperlink>
      <w:r>
        <w:rPr>
          <w:rStyle w:val="normaltextrun"/>
          <w:rFonts w:ascii="Verdana" w:eastAsiaTheme="majorEastAsia" w:hAnsi="Verdana"/>
          <w:color w:val="000000"/>
          <w:sz w:val="20"/>
          <w:szCs w:val="20"/>
        </w:rPr>
        <w:t>    </w:t>
      </w:r>
      <w:r>
        <w:rPr>
          <w:rStyle w:val="eop"/>
          <w:rFonts w:ascii="Verdana" w:eastAsiaTheme="majorEastAsia" w:hAnsi="Verdana"/>
          <w:color w:val="000000"/>
          <w:sz w:val="20"/>
          <w:szCs w:val="20"/>
        </w:rPr>
        <w:t> </w:t>
      </w:r>
    </w:p>
    <w:p w14:paraId="7F037FE1" w14:textId="77777777" w:rsidR="00937621" w:rsidRDefault="00937621" w:rsidP="00937621">
      <w:pPr>
        <w:pStyle w:val="paragraph"/>
        <w:spacing w:before="0" w:beforeAutospacing="0" w:after="0" w:afterAutospacing="0" w:line="360" w:lineRule="auto"/>
        <w:textAlignment w:val="baseline"/>
        <w:rPr>
          <w:rFonts w:ascii="Arial" w:hAnsi="Arial"/>
          <w:sz w:val="18"/>
          <w:szCs w:val="18"/>
        </w:rPr>
      </w:pPr>
      <w:r>
        <w:rPr>
          <w:rStyle w:val="normaltextrun"/>
          <w:rFonts w:ascii="Verdana" w:eastAsiaTheme="majorEastAsia" w:hAnsi="Verdana"/>
          <w:sz w:val="20"/>
          <w:szCs w:val="20"/>
        </w:rPr>
        <w:t>   </w:t>
      </w:r>
      <w:r>
        <w:rPr>
          <w:rStyle w:val="eop"/>
          <w:rFonts w:ascii="Verdana" w:eastAsiaTheme="majorEastAsia" w:hAnsi="Verdana"/>
          <w:sz w:val="20"/>
          <w:szCs w:val="20"/>
        </w:rPr>
        <w:t> </w:t>
      </w:r>
    </w:p>
    <w:p w14:paraId="444DD399" w14:textId="77777777" w:rsidR="00937621" w:rsidRDefault="00937621" w:rsidP="00937621">
      <w:pPr>
        <w:pStyle w:val="paragraph"/>
        <w:spacing w:before="0" w:beforeAutospacing="0" w:after="0" w:afterAutospacing="0" w:line="360" w:lineRule="auto"/>
        <w:textAlignment w:val="baseline"/>
        <w:rPr>
          <w:rFonts w:ascii="Arial" w:hAnsi="Arial"/>
          <w:sz w:val="18"/>
          <w:szCs w:val="18"/>
        </w:rPr>
      </w:pPr>
      <w:r>
        <w:rPr>
          <w:rStyle w:val="normaltextrun"/>
          <w:rFonts w:ascii="Verdana" w:eastAsiaTheme="majorEastAsia" w:hAnsi="Verdana"/>
          <w:b/>
          <w:bCs/>
          <w:sz w:val="20"/>
          <w:szCs w:val="20"/>
        </w:rPr>
        <w:t>Türkiye Bilişim Vakfı (TBV) hakkında  </w:t>
      </w:r>
      <w:r>
        <w:rPr>
          <w:rStyle w:val="normaltextrun"/>
          <w:rFonts w:ascii="Verdana" w:eastAsiaTheme="majorEastAsia" w:hAnsi="Verdana"/>
          <w:sz w:val="20"/>
          <w:szCs w:val="20"/>
        </w:rPr>
        <w:t> </w:t>
      </w:r>
      <w:r>
        <w:rPr>
          <w:rStyle w:val="normaltextrun"/>
          <w:rFonts w:ascii="Verdana" w:eastAsiaTheme="majorEastAsia" w:hAnsi="Verdana"/>
          <w:sz w:val="16"/>
          <w:szCs w:val="16"/>
        </w:rPr>
        <w:t>  </w:t>
      </w:r>
      <w:r>
        <w:rPr>
          <w:rStyle w:val="eop"/>
          <w:rFonts w:ascii="Verdana" w:eastAsiaTheme="majorEastAsia" w:hAnsi="Verdana"/>
          <w:sz w:val="16"/>
          <w:szCs w:val="16"/>
        </w:rPr>
        <w:t> </w:t>
      </w:r>
    </w:p>
    <w:p w14:paraId="57812292" w14:textId="6C3AF5AA" w:rsidR="00937621" w:rsidRPr="00187993" w:rsidRDefault="00937621" w:rsidP="00187993">
      <w:pPr>
        <w:pStyle w:val="paragraph"/>
        <w:spacing w:before="0" w:beforeAutospacing="0" w:after="0" w:afterAutospacing="0" w:line="360" w:lineRule="auto"/>
        <w:jc w:val="both"/>
        <w:textAlignment w:val="baseline"/>
        <w:rPr>
          <w:rFonts w:ascii="Arial" w:hAnsi="Arial"/>
          <w:sz w:val="18"/>
          <w:szCs w:val="18"/>
        </w:rPr>
      </w:pPr>
      <w:r>
        <w:rPr>
          <w:rStyle w:val="normaltextrun"/>
          <w:rFonts w:ascii="Verdana" w:eastAsiaTheme="majorEastAsia" w:hAnsi="Verdana"/>
          <w:sz w:val="16"/>
          <w:szCs w:val="16"/>
        </w:rPr>
        <w:t>Türkiye Bilişim Vakfı (TBV), merkezi İstanbul'da bulunan, iyilik için teknoloji vizyonuyla bu toprakların imzasını dünyaya tanıtmak üzere çalışan çok paydaşlı bir sivil toplum kuruluşu. 14 Nisan 1995 tarihinde, 114 kurum ve bu kurumlara üye 178 kişi tarafından kurulan, bugün itibarıyla 400'ün üzerinde üyesi bulunan vakfın hedefi; Türkiye'nin bilgi toplumuna dönüşebilmesi için gerekli altyapının oluşturulmasına katkıda bulunmak, bilimsel araştırma ve geliştirme etkinlikleri gerçekleştirmek ve özellikle yeni teknolojilerin sosyal ve ekonomik yaşam üzerine etkilerini inceleyip nitelikli &amp; saygın paydaşlar ile projeler üretmek ve uygulamalarını sağlamak.    </w:t>
      </w:r>
      <w:r>
        <w:rPr>
          <w:rStyle w:val="eop"/>
          <w:rFonts w:ascii="Verdana" w:eastAsiaTheme="majorEastAsia" w:hAnsi="Verdana"/>
          <w:sz w:val="16"/>
          <w:szCs w:val="16"/>
        </w:rPr>
        <w:t> </w:t>
      </w:r>
    </w:p>
    <w:sectPr w:rsidR="00937621" w:rsidRPr="00187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F7540"/>
    <w:multiLevelType w:val="multilevel"/>
    <w:tmpl w:val="C4EE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E2"/>
    <w:rsid w:val="0001360C"/>
    <w:rsid w:val="00037091"/>
    <w:rsid w:val="000426BE"/>
    <w:rsid w:val="000441A7"/>
    <w:rsid w:val="000549D9"/>
    <w:rsid w:val="000827F0"/>
    <w:rsid w:val="00091289"/>
    <w:rsid w:val="000C0DDE"/>
    <w:rsid w:val="00107FED"/>
    <w:rsid w:val="00143830"/>
    <w:rsid w:val="00144441"/>
    <w:rsid w:val="001463FA"/>
    <w:rsid w:val="00160EA9"/>
    <w:rsid w:val="00162E9A"/>
    <w:rsid w:val="00180F7A"/>
    <w:rsid w:val="00187993"/>
    <w:rsid w:val="001A53C5"/>
    <w:rsid w:val="001C3F2D"/>
    <w:rsid w:val="001D3BD9"/>
    <w:rsid w:val="00227DFA"/>
    <w:rsid w:val="0023565F"/>
    <w:rsid w:val="002420B7"/>
    <w:rsid w:val="002C2DCE"/>
    <w:rsid w:val="002C5766"/>
    <w:rsid w:val="002D4090"/>
    <w:rsid w:val="002D7C42"/>
    <w:rsid w:val="003226EF"/>
    <w:rsid w:val="00330520"/>
    <w:rsid w:val="00340BD7"/>
    <w:rsid w:val="003578C5"/>
    <w:rsid w:val="00360A1C"/>
    <w:rsid w:val="00365AEC"/>
    <w:rsid w:val="00395969"/>
    <w:rsid w:val="003A15EA"/>
    <w:rsid w:val="003B7D93"/>
    <w:rsid w:val="003F4A6A"/>
    <w:rsid w:val="004148C2"/>
    <w:rsid w:val="004320F2"/>
    <w:rsid w:val="00435ED8"/>
    <w:rsid w:val="00497CCA"/>
    <w:rsid w:val="004A1DB0"/>
    <w:rsid w:val="004B703E"/>
    <w:rsid w:val="004E21DE"/>
    <w:rsid w:val="004E7978"/>
    <w:rsid w:val="00517524"/>
    <w:rsid w:val="005327FA"/>
    <w:rsid w:val="00540455"/>
    <w:rsid w:val="00562648"/>
    <w:rsid w:val="00582E8F"/>
    <w:rsid w:val="0059245A"/>
    <w:rsid w:val="005C36F8"/>
    <w:rsid w:val="005E3100"/>
    <w:rsid w:val="00617DE0"/>
    <w:rsid w:val="0062795C"/>
    <w:rsid w:val="00641666"/>
    <w:rsid w:val="00687727"/>
    <w:rsid w:val="006C0F53"/>
    <w:rsid w:val="006D3D45"/>
    <w:rsid w:val="006F6D5B"/>
    <w:rsid w:val="00720B39"/>
    <w:rsid w:val="007747A3"/>
    <w:rsid w:val="007C0DBA"/>
    <w:rsid w:val="007C2759"/>
    <w:rsid w:val="007F6997"/>
    <w:rsid w:val="00866987"/>
    <w:rsid w:val="008A4E1E"/>
    <w:rsid w:val="008A75D1"/>
    <w:rsid w:val="008D3042"/>
    <w:rsid w:val="009338BF"/>
    <w:rsid w:val="00937621"/>
    <w:rsid w:val="00960009"/>
    <w:rsid w:val="00970931"/>
    <w:rsid w:val="0098496A"/>
    <w:rsid w:val="009C50DD"/>
    <w:rsid w:val="00A779A9"/>
    <w:rsid w:val="00AC47E2"/>
    <w:rsid w:val="00AD2776"/>
    <w:rsid w:val="00B04EE1"/>
    <w:rsid w:val="00B15D0A"/>
    <w:rsid w:val="00B315D3"/>
    <w:rsid w:val="00B34DCA"/>
    <w:rsid w:val="00B516FC"/>
    <w:rsid w:val="00B815C8"/>
    <w:rsid w:val="00B95928"/>
    <w:rsid w:val="00BA03BE"/>
    <w:rsid w:val="00BA5863"/>
    <w:rsid w:val="00BE20C3"/>
    <w:rsid w:val="00C61E3E"/>
    <w:rsid w:val="00C65DE2"/>
    <w:rsid w:val="00C74B76"/>
    <w:rsid w:val="00C9242C"/>
    <w:rsid w:val="00CC5E2C"/>
    <w:rsid w:val="00CD2432"/>
    <w:rsid w:val="00D05D74"/>
    <w:rsid w:val="00D37B6C"/>
    <w:rsid w:val="00D8741E"/>
    <w:rsid w:val="00DC1C8C"/>
    <w:rsid w:val="00DC2794"/>
    <w:rsid w:val="00DC7B69"/>
    <w:rsid w:val="00DF1B74"/>
    <w:rsid w:val="00E9407A"/>
    <w:rsid w:val="00EB59B4"/>
    <w:rsid w:val="00EC3FBE"/>
    <w:rsid w:val="00F274F5"/>
    <w:rsid w:val="00F3407F"/>
    <w:rsid w:val="00F46C91"/>
    <w:rsid w:val="00F61F98"/>
    <w:rsid w:val="00F73F93"/>
    <w:rsid w:val="00FE6DED"/>
    <w:rsid w:val="00FF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1C92"/>
  <w15:chartTrackingRefBased/>
  <w15:docId w15:val="{F1BC079F-33AD-4021-9445-BCBBDA9F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4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C4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C47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C47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C47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C47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47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47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47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47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C47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C47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C47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C47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C47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47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47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47E2"/>
    <w:rPr>
      <w:rFonts w:eastAsiaTheme="majorEastAsia" w:cstheme="majorBidi"/>
      <w:color w:val="272727" w:themeColor="text1" w:themeTint="D8"/>
    </w:rPr>
  </w:style>
  <w:style w:type="paragraph" w:styleId="KonuBal">
    <w:name w:val="Title"/>
    <w:basedOn w:val="Normal"/>
    <w:next w:val="Normal"/>
    <w:link w:val="KonuBalChar"/>
    <w:uiPriority w:val="10"/>
    <w:qFormat/>
    <w:rsid w:val="00AC4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47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47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47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47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47E2"/>
    <w:rPr>
      <w:i/>
      <w:iCs/>
      <w:color w:val="404040" w:themeColor="text1" w:themeTint="BF"/>
    </w:rPr>
  </w:style>
  <w:style w:type="paragraph" w:styleId="ListeParagraf">
    <w:name w:val="List Paragraph"/>
    <w:basedOn w:val="Normal"/>
    <w:uiPriority w:val="34"/>
    <w:qFormat/>
    <w:rsid w:val="00AC47E2"/>
    <w:pPr>
      <w:ind w:left="720"/>
      <w:contextualSpacing/>
    </w:pPr>
  </w:style>
  <w:style w:type="character" w:styleId="GlVurgulama">
    <w:name w:val="Intense Emphasis"/>
    <w:basedOn w:val="VarsaylanParagrafYazTipi"/>
    <w:uiPriority w:val="21"/>
    <w:qFormat/>
    <w:rsid w:val="00AC47E2"/>
    <w:rPr>
      <w:i/>
      <w:iCs/>
      <w:color w:val="0F4761" w:themeColor="accent1" w:themeShade="BF"/>
    </w:rPr>
  </w:style>
  <w:style w:type="paragraph" w:styleId="GlAlnt">
    <w:name w:val="Intense Quote"/>
    <w:basedOn w:val="Normal"/>
    <w:next w:val="Normal"/>
    <w:link w:val="GlAlntChar"/>
    <w:uiPriority w:val="30"/>
    <w:qFormat/>
    <w:rsid w:val="00AC4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C47E2"/>
    <w:rPr>
      <w:i/>
      <w:iCs/>
      <w:color w:val="0F4761" w:themeColor="accent1" w:themeShade="BF"/>
    </w:rPr>
  </w:style>
  <w:style w:type="character" w:styleId="GlBavuru">
    <w:name w:val="Intense Reference"/>
    <w:basedOn w:val="VarsaylanParagrafYazTipi"/>
    <w:uiPriority w:val="32"/>
    <w:qFormat/>
    <w:rsid w:val="00AC47E2"/>
    <w:rPr>
      <w:b/>
      <w:bCs/>
      <w:smallCaps/>
      <w:color w:val="0F4761" w:themeColor="accent1" w:themeShade="BF"/>
      <w:spacing w:val="5"/>
    </w:rPr>
  </w:style>
  <w:style w:type="paragraph" w:styleId="Dzeltme">
    <w:name w:val="Revision"/>
    <w:hidden/>
    <w:uiPriority w:val="99"/>
    <w:semiHidden/>
    <w:rsid w:val="003578C5"/>
    <w:pPr>
      <w:spacing w:after="0" w:line="240" w:lineRule="auto"/>
    </w:pPr>
  </w:style>
  <w:style w:type="paragraph" w:customStyle="1" w:styleId="paragraph">
    <w:name w:val="paragraph"/>
    <w:basedOn w:val="Normal"/>
    <w:rsid w:val="00937621"/>
    <w:pPr>
      <w:spacing w:before="100" w:beforeAutospacing="1" w:after="100" w:afterAutospacing="1" w:line="240" w:lineRule="auto"/>
    </w:pPr>
    <w:rPr>
      <w:rFonts w:ascii="Times New Roman" w:eastAsia="Times New Roman" w:hAnsi="Times New Roman" w:cs="Times New Roman"/>
      <w:kern w:val="0"/>
      <w:lang w:val="tr-TR" w:eastAsia="en-GB"/>
      <w14:ligatures w14:val="none"/>
    </w:rPr>
  </w:style>
  <w:style w:type="character" w:customStyle="1" w:styleId="normaltextrun">
    <w:name w:val="normaltextrun"/>
    <w:basedOn w:val="VarsaylanParagrafYazTipi"/>
    <w:rsid w:val="00937621"/>
  </w:style>
  <w:style w:type="character" w:customStyle="1" w:styleId="scxw133825502">
    <w:name w:val="scxw133825502"/>
    <w:basedOn w:val="VarsaylanParagrafYazTipi"/>
    <w:rsid w:val="00937621"/>
  </w:style>
  <w:style w:type="character" w:customStyle="1" w:styleId="eop">
    <w:name w:val="eop"/>
    <w:basedOn w:val="VarsaylanParagrafYazTipi"/>
    <w:rsid w:val="00937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5282">
      <w:bodyDiv w:val="1"/>
      <w:marLeft w:val="0"/>
      <w:marRight w:val="0"/>
      <w:marTop w:val="0"/>
      <w:marBottom w:val="0"/>
      <w:divBdr>
        <w:top w:val="none" w:sz="0" w:space="0" w:color="auto"/>
        <w:left w:val="none" w:sz="0" w:space="0" w:color="auto"/>
        <w:bottom w:val="none" w:sz="0" w:space="0" w:color="auto"/>
        <w:right w:val="none" w:sz="0" w:space="0" w:color="auto"/>
      </w:divBdr>
    </w:div>
    <w:div w:id="499545683">
      <w:bodyDiv w:val="1"/>
      <w:marLeft w:val="0"/>
      <w:marRight w:val="0"/>
      <w:marTop w:val="0"/>
      <w:marBottom w:val="0"/>
      <w:divBdr>
        <w:top w:val="none" w:sz="0" w:space="0" w:color="auto"/>
        <w:left w:val="none" w:sz="0" w:space="0" w:color="auto"/>
        <w:bottom w:val="none" w:sz="0" w:space="0" w:color="auto"/>
        <w:right w:val="none" w:sz="0" w:space="0" w:color="auto"/>
      </w:divBdr>
      <w:divsChild>
        <w:div w:id="1419641764">
          <w:marLeft w:val="0"/>
          <w:marRight w:val="0"/>
          <w:marTop w:val="0"/>
          <w:marBottom w:val="0"/>
          <w:divBdr>
            <w:top w:val="none" w:sz="0" w:space="0" w:color="auto"/>
            <w:left w:val="none" w:sz="0" w:space="0" w:color="auto"/>
            <w:bottom w:val="none" w:sz="0" w:space="0" w:color="auto"/>
            <w:right w:val="none" w:sz="0" w:space="0" w:color="auto"/>
          </w:divBdr>
        </w:div>
        <w:div w:id="787889798">
          <w:marLeft w:val="0"/>
          <w:marRight w:val="0"/>
          <w:marTop w:val="0"/>
          <w:marBottom w:val="0"/>
          <w:divBdr>
            <w:top w:val="none" w:sz="0" w:space="0" w:color="auto"/>
            <w:left w:val="none" w:sz="0" w:space="0" w:color="auto"/>
            <w:bottom w:val="none" w:sz="0" w:space="0" w:color="auto"/>
            <w:right w:val="none" w:sz="0" w:space="0" w:color="auto"/>
          </w:divBdr>
        </w:div>
        <w:div w:id="1119642336">
          <w:marLeft w:val="0"/>
          <w:marRight w:val="0"/>
          <w:marTop w:val="0"/>
          <w:marBottom w:val="0"/>
          <w:divBdr>
            <w:top w:val="none" w:sz="0" w:space="0" w:color="auto"/>
            <w:left w:val="none" w:sz="0" w:space="0" w:color="auto"/>
            <w:bottom w:val="none" w:sz="0" w:space="0" w:color="auto"/>
            <w:right w:val="none" w:sz="0" w:space="0" w:color="auto"/>
          </w:divBdr>
        </w:div>
        <w:div w:id="1513570292">
          <w:marLeft w:val="0"/>
          <w:marRight w:val="0"/>
          <w:marTop w:val="0"/>
          <w:marBottom w:val="0"/>
          <w:divBdr>
            <w:top w:val="none" w:sz="0" w:space="0" w:color="auto"/>
            <w:left w:val="none" w:sz="0" w:space="0" w:color="auto"/>
            <w:bottom w:val="none" w:sz="0" w:space="0" w:color="auto"/>
            <w:right w:val="none" w:sz="0" w:space="0" w:color="auto"/>
          </w:divBdr>
        </w:div>
        <w:div w:id="465008589">
          <w:marLeft w:val="0"/>
          <w:marRight w:val="0"/>
          <w:marTop w:val="0"/>
          <w:marBottom w:val="0"/>
          <w:divBdr>
            <w:top w:val="none" w:sz="0" w:space="0" w:color="auto"/>
            <w:left w:val="none" w:sz="0" w:space="0" w:color="auto"/>
            <w:bottom w:val="none" w:sz="0" w:space="0" w:color="auto"/>
            <w:right w:val="none" w:sz="0" w:space="0" w:color="auto"/>
          </w:divBdr>
        </w:div>
      </w:divsChild>
    </w:div>
    <w:div w:id="1101602734">
      <w:bodyDiv w:val="1"/>
      <w:marLeft w:val="0"/>
      <w:marRight w:val="0"/>
      <w:marTop w:val="0"/>
      <w:marBottom w:val="0"/>
      <w:divBdr>
        <w:top w:val="none" w:sz="0" w:space="0" w:color="auto"/>
        <w:left w:val="none" w:sz="0" w:space="0" w:color="auto"/>
        <w:bottom w:val="none" w:sz="0" w:space="0" w:color="auto"/>
        <w:right w:val="none" w:sz="0" w:space="0" w:color="auto"/>
      </w:divBdr>
    </w:div>
    <w:div w:id="1286081097">
      <w:bodyDiv w:val="1"/>
      <w:marLeft w:val="0"/>
      <w:marRight w:val="0"/>
      <w:marTop w:val="0"/>
      <w:marBottom w:val="0"/>
      <w:divBdr>
        <w:top w:val="none" w:sz="0" w:space="0" w:color="auto"/>
        <w:left w:val="none" w:sz="0" w:space="0" w:color="auto"/>
        <w:bottom w:val="none" w:sz="0" w:space="0" w:color="auto"/>
        <w:right w:val="none" w:sz="0" w:space="0" w:color="auto"/>
      </w:divBdr>
    </w:div>
    <w:div w:id="1317536752">
      <w:bodyDiv w:val="1"/>
      <w:marLeft w:val="0"/>
      <w:marRight w:val="0"/>
      <w:marTop w:val="0"/>
      <w:marBottom w:val="0"/>
      <w:divBdr>
        <w:top w:val="none" w:sz="0" w:space="0" w:color="auto"/>
        <w:left w:val="none" w:sz="0" w:space="0" w:color="auto"/>
        <w:bottom w:val="none" w:sz="0" w:space="0" w:color="auto"/>
        <w:right w:val="none" w:sz="0" w:space="0" w:color="auto"/>
      </w:divBdr>
    </w:div>
    <w:div w:id="1386219684">
      <w:bodyDiv w:val="1"/>
      <w:marLeft w:val="0"/>
      <w:marRight w:val="0"/>
      <w:marTop w:val="0"/>
      <w:marBottom w:val="0"/>
      <w:divBdr>
        <w:top w:val="none" w:sz="0" w:space="0" w:color="auto"/>
        <w:left w:val="none" w:sz="0" w:space="0" w:color="auto"/>
        <w:bottom w:val="none" w:sz="0" w:space="0" w:color="auto"/>
        <w:right w:val="none" w:sz="0" w:space="0" w:color="auto"/>
      </w:divBdr>
    </w:div>
    <w:div w:id="1482843472">
      <w:bodyDiv w:val="1"/>
      <w:marLeft w:val="0"/>
      <w:marRight w:val="0"/>
      <w:marTop w:val="0"/>
      <w:marBottom w:val="0"/>
      <w:divBdr>
        <w:top w:val="none" w:sz="0" w:space="0" w:color="auto"/>
        <w:left w:val="none" w:sz="0" w:space="0" w:color="auto"/>
        <w:bottom w:val="none" w:sz="0" w:space="0" w:color="auto"/>
        <w:right w:val="none" w:sz="0" w:space="0" w:color="auto"/>
      </w:divBdr>
    </w:div>
    <w:div w:id="1552691569">
      <w:bodyDiv w:val="1"/>
      <w:marLeft w:val="0"/>
      <w:marRight w:val="0"/>
      <w:marTop w:val="0"/>
      <w:marBottom w:val="0"/>
      <w:divBdr>
        <w:top w:val="none" w:sz="0" w:space="0" w:color="auto"/>
        <w:left w:val="none" w:sz="0" w:space="0" w:color="auto"/>
        <w:bottom w:val="none" w:sz="0" w:space="0" w:color="auto"/>
        <w:right w:val="none" w:sz="0" w:space="0" w:color="auto"/>
      </w:divBdr>
    </w:div>
    <w:div w:id="18331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asd@marjinal.com.t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43E0-17EC-43E8-808F-925FEA55A18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AC935C05-21C9-4992-9DB2-BD9F65250406}">
  <ds:schemaRefs>
    <ds:schemaRef ds:uri="http://schemas.microsoft.com/sharepoint/v3/contenttype/forms"/>
  </ds:schemaRefs>
</ds:datastoreItem>
</file>

<file path=customXml/itemProps3.xml><?xml version="1.0" encoding="utf-8"?>
<ds:datastoreItem xmlns:ds="http://schemas.openxmlformats.org/officeDocument/2006/customXml" ds:itemID="{176E3B1F-C888-4214-92A2-10F72B6F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482</Words>
  <Characters>3713</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Turkiye Bilisim Vakfi</dc:creator>
  <cp:keywords/>
  <dc:description/>
  <cp:lastModifiedBy>Sibel Üstünışık</cp:lastModifiedBy>
  <cp:revision>97</cp:revision>
  <dcterms:created xsi:type="dcterms:W3CDTF">2026-05-13T17:19:00Z</dcterms:created>
  <dcterms:modified xsi:type="dcterms:W3CDTF">2026-05-21T04:56:00Z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