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2AEA7449" w:rsidR="00D322B8" w:rsidRPr="004D64F2" w:rsidRDefault="00D322B8" w:rsidP="02BD7A2E">
      <w:pPr>
        <w:rPr>
          <w:rFonts w:ascii="Tahoma" w:eastAsia="Tahoma" w:hAnsi="Tahoma" w:cs="Tahoma"/>
          <w:b/>
          <w:bCs/>
          <w:u w:val="single"/>
        </w:rPr>
      </w:pPr>
      <w:r w:rsidRPr="004D64F2">
        <w:rPr>
          <w:rFonts w:ascii="Tahoma" w:eastAsia="Tahoma" w:hAnsi="Tahoma" w:cs="Tahoma"/>
          <w:b/>
          <w:bCs/>
          <w:u w:val="single"/>
        </w:rPr>
        <w:t>BASIN BÜLTENİ</w:t>
      </w:r>
      <w:r w:rsidRPr="004D64F2">
        <w:rPr>
          <w:u w:val="single"/>
        </w:rPr>
        <w:tab/>
      </w:r>
      <w:r w:rsidRPr="004D64F2">
        <w:rPr>
          <w:u w:val="single"/>
        </w:rPr>
        <w:tab/>
      </w:r>
      <w:r w:rsidRPr="004D64F2">
        <w:rPr>
          <w:u w:val="single"/>
        </w:rPr>
        <w:tab/>
      </w:r>
      <w:r w:rsidRPr="004D64F2">
        <w:rPr>
          <w:u w:val="single"/>
        </w:rPr>
        <w:tab/>
      </w:r>
      <w:r w:rsidRPr="004D64F2">
        <w:rPr>
          <w:u w:val="single"/>
        </w:rPr>
        <w:tab/>
      </w:r>
      <w:r w:rsidRPr="004D64F2">
        <w:rPr>
          <w:rFonts w:ascii="Tahoma" w:eastAsia="Tahoma" w:hAnsi="Tahoma" w:cs="Tahoma"/>
          <w:b/>
          <w:bCs/>
          <w:u w:val="single"/>
        </w:rPr>
        <w:t xml:space="preserve">                                            </w:t>
      </w:r>
      <w:r w:rsidR="00943AED">
        <w:rPr>
          <w:rFonts w:ascii="Tahoma" w:eastAsia="Tahoma" w:hAnsi="Tahoma" w:cs="Tahoma"/>
          <w:b/>
          <w:bCs/>
          <w:u w:val="single"/>
        </w:rPr>
        <w:t>20</w:t>
      </w:r>
      <w:r w:rsidRPr="004D64F2">
        <w:rPr>
          <w:rFonts w:ascii="Tahoma" w:eastAsia="Tahoma" w:hAnsi="Tahoma" w:cs="Tahoma"/>
          <w:b/>
          <w:bCs/>
          <w:u w:val="single"/>
        </w:rPr>
        <w:t>.</w:t>
      </w:r>
      <w:r w:rsidR="00E57B5B" w:rsidRPr="004D64F2">
        <w:rPr>
          <w:rFonts w:ascii="Tahoma" w:eastAsia="Tahoma" w:hAnsi="Tahoma" w:cs="Tahoma"/>
          <w:b/>
          <w:bCs/>
          <w:u w:val="single"/>
        </w:rPr>
        <w:t>0</w:t>
      </w:r>
      <w:r w:rsidR="00C03BF9" w:rsidRPr="004D64F2">
        <w:rPr>
          <w:rFonts w:ascii="Tahoma" w:eastAsia="Tahoma" w:hAnsi="Tahoma" w:cs="Tahoma"/>
          <w:b/>
          <w:bCs/>
          <w:u w:val="single"/>
        </w:rPr>
        <w:t>4</w:t>
      </w:r>
      <w:r w:rsidRPr="004D64F2">
        <w:rPr>
          <w:rFonts w:ascii="Tahoma" w:eastAsia="Tahoma" w:hAnsi="Tahoma" w:cs="Tahoma"/>
          <w:b/>
          <w:bCs/>
          <w:u w:val="single"/>
        </w:rPr>
        <w:t>.202</w:t>
      </w:r>
      <w:r w:rsidR="00E57B5B" w:rsidRPr="004D64F2">
        <w:rPr>
          <w:rFonts w:ascii="Tahoma" w:eastAsia="Tahoma" w:hAnsi="Tahoma" w:cs="Tahoma"/>
          <w:b/>
          <w:bCs/>
          <w:u w:val="single"/>
        </w:rPr>
        <w:t>3</w:t>
      </w:r>
    </w:p>
    <w:p w14:paraId="78FAF0B0" w14:textId="77777777" w:rsidR="006A2510" w:rsidRPr="004D64F2" w:rsidRDefault="006A2510" w:rsidP="00B41214">
      <w:pPr>
        <w:spacing w:after="0" w:line="300" w:lineRule="auto"/>
        <w:contextualSpacing/>
        <w:jc w:val="center"/>
        <w:rPr>
          <w:rFonts w:ascii="Arial" w:hAnsi="Arial" w:cs="Arial"/>
          <w:b/>
          <w:bCs/>
          <w:sz w:val="24"/>
          <w:szCs w:val="24"/>
        </w:rPr>
      </w:pPr>
    </w:p>
    <w:p w14:paraId="1C690462" w14:textId="0FC9BE8B" w:rsidR="00551841" w:rsidRPr="004D64F2" w:rsidRDefault="00551841" w:rsidP="00B41214">
      <w:pPr>
        <w:spacing w:after="0" w:line="300" w:lineRule="auto"/>
        <w:contextualSpacing/>
        <w:jc w:val="center"/>
        <w:rPr>
          <w:rFonts w:ascii="Arial" w:hAnsi="Arial" w:cs="Arial"/>
          <w:b/>
          <w:bCs/>
          <w:sz w:val="24"/>
          <w:szCs w:val="24"/>
        </w:rPr>
      </w:pPr>
      <w:r w:rsidRPr="004D64F2">
        <w:rPr>
          <w:rFonts w:ascii="Arial" w:hAnsi="Arial" w:cs="Arial"/>
          <w:b/>
          <w:bCs/>
          <w:sz w:val="24"/>
          <w:szCs w:val="24"/>
        </w:rPr>
        <w:t>KPMG</w:t>
      </w:r>
      <w:r w:rsidR="008264E0" w:rsidRPr="004D64F2">
        <w:rPr>
          <w:rFonts w:ascii="Arial" w:hAnsi="Arial" w:cs="Arial"/>
          <w:b/>
          <w:bCs/>
          <w:sz w:val="24"/>
          <w:szCs w:val="24"/>
        </w:rPr>
        <w:t xml:space="preserve"> Türkiye’nin “Gemi İnşa Sektörel Bakış 2022” raporu </w:t>
      </w:r>
      <w:r w:rsidR="003B673F" w:rsidRPr="004D64F2">
        <w:rPr>
          <w:rFonts w:ascii="Arial" w:hAnsi="Arial" w:cs="Arial"/>
          <w:b/>
          <w:bCs/>
          <w:sz w:val="24"/>
          <w:szCs w:val="24"/>
        </w:rPr>
        <w:t>yayımlandı</w:t>
      </w:r>
    </w:p>
    <w:p w14:paraId="3B448E3A" w14:textId="6845383A" w:rsidR="00551841" w:rsidRPr="004D64F2" w:rsidRDefault="008264E0" w:rsidP="00B41214">
      <w:pPr>
        <w:spacing w:after="0" w:line="300" w:lineRule="auto"/>
        <w:contextualSpacing/>
        <w:jc w:val="center"/>
        <w:rPr>
          <w:rFonts w:ascii="Arial" w:hAnsi="Arial" w:cs="Arial"/>
          <w:b/>
          <w:bCs/>
          <w:sz w:val="40"/>
          <w:szCs w:val="40"/>
        </w:rPr>
      </w:pPr>
      <w:r w:rsidRPr="004D64F2">
        <w:rPr>
          <w:rFonts w:ascii="Arial" w:hAnsi="Arial" w:cs="Arial"/>
          <w:b/>
          <w:bCs/>
          <w:sz w:val="40"/>
          <w:szCs w:val="40"/>
        </w:rPr>
        <w:t>Gemi inşa sektörünün neredeyse tamamına üç ülke hakim</w:t>
      </w:r>
    </w:p>
    <w:p w14:paraId="0704C3D2" w14:textId="13A8EDEE" w:rsidR="00D322B8" w:rsidRPr="004D64F2" w:rsidRDefault="00D322B8" w:rsidP="00D322B8">
      <w:pPr>
        <w:spacing w:after="0" w:line="300" w:lineRule="auto"/>
        <w:contextualSpacing/>
        <w:jc w:val="both"/>
        <w:rPr>
          <w:rFonts w:ascii="Arial" w:hAnsi="Arial" w:cs="Arial"/>
        </w:rPr>
      </w:pPr>
    </w:p>
    <w:p w14:paraId="78FFFAB0" w14:textId="0A7C6CC0" w:rsidR="00D322B8" w:rsidRPr="004D64F2" w:rsidRDefault="008264E0" w:rsidP="00147319">
      <w:pPr>
        <w:spacing w:after="0" w:line="300" w:lineRule="auto"/>
        <w:contextualSpacing/>
        <w:jc w:val="center"/>
        <w:rPr>
          <w:rFonts w:ascii="Arial" w:hAnsi="Arial" w:cs="Arial"/>
          <w:b/>
          <w:bCs/>
          <w:sz w:val="24"/>
          <w:szCs w:val="24"/>
        </w:rPr>
      </w:pPr>
      <w:r w:rsidRPr="004D64F2">
        <w:rPr>
          <w:rFonts w:ascii="Arial" w:hAnsi="Arial" w:cs="Arial"/>
          <w:b/>
          <w:bCs/>
          <w:sz w:val="24"/>
          <w:szCs w:val="24"/>
        </w:rPr>
        <w:t xml:space="preserve">KPMG Türkiye tarafından hazırlanan rapora göre Çin, Güney Kore ve Japonya, yaklaşık yüzde 95’lik toplam pazar payı ile gemi inşa pazarında lider konumda bulunuyor. Gemi inşa pazarının kalan yüzde 5’lik kısmında ise Türkiye, en rekabetçi oyunculardan biri ve özel sipariş üzerine inşa edilen yüksek donanımlı gemilerle öne çıkıyor. </w:t>
      </w:r>
      <w:r w:rsidR="00147319" w:rsidRPr="004D64F2">
        <w:rPr>
          <w:rFonts w:ascii="Arial" w:hAnsi="Arial" w:cs="Arial"/>
          <w:b/>
          <w:bCs/>
          <w:sz w:val="24"/>
          <w:szCs w:val="24"/>
        </w:rPr>
        <w:t>Yaklaşık 90 tersanenin bulunduğu Türkiye’de en fazla tersanenin bulunduğu ilk üç il ise sırasıyla İstanbul, Yalova ve Antalya.</w:t>
      </w:r>
    </w:p>
    <w:p w14:paraId="2B22594E" w14:textId="77777777" w:rsidR="00914A5F" w:rsidRPr="004D64F2" w:rsidRDefault="00914A5F" w:rsidP="00914A5F">
      <w:pPr>
        <w:spacing w:after="0" w:line="300" w:lineRule="auto"/>
        <w:contextualSpacing/>
        <w:jc w:val="center"/>
        <w:rPr>
          <w:rFonts w:ascii="Arial" w:hAnsi="Arial" w:cs="Arial"/>
          <w:sz w:val="24"/>
          <w:szCs w:val="24"/>
        </w:rPr>
      </w:pPr>
    </w:p>
    <w:p w14:paraId="5367EF76" w14:textId="66D2998D" w:rsidR="006950C3" w:rsidRPr="004D64F2" w:rsidRDefault="00B41012" w:rsidP="617E7ED0">
      <w:pPr>
        <w:spacing w:after="0" w:line="300" w:lineRule="auto"/>
        <w:contextualSpacing/>
        <w:jc w:val="both"/>
        <w:rPr>
          <w:rFonts w:ascii="Arial" w:hAnsi="Arial" w:cs="Arial"/>
        </w:rPr>
      </w:pPr>
      <w:r w:rsidRPr="7F5620ED">
        <w:rPr>
          <w:rFonts w:ascii="Arial" w:hAnsi="Arial" w:cs="Arial"/>
        </w:rPr>
        <w:t xml:space="preserve">KPMG Türkiye’nin global ve Türkiye gemi inşa sektörünün son yıllarını değerlendirdiği “Gemi İnşa Sektörel Bakış 2022” </w:t>
      </w:r>
      <w:r w:rsidR="008B255B" w:rsidRPr="7F5620ED">
        <w:rPr>
          <w:rFonts w:ascii="Arial" w:hAnsi="Arial" w:cs="Arial"/>
        </w:rPr>
        <w:t xml:space="preserve">raporuna </w:t>
      </w:r>
      <w:r w:rsidRPr="7F5620ED">
        <w:rPr>
          <w:rFonts w:ascii="Arial" w:hAnsi="Arial" w:cs="Arial"/>
        </w:rPr>
        <w:t xml:space="preserve">göre </w:t>
      </w:r>
      <w:r w:rsidR="006950C3" w:rsidRPr="7F5620ED">
        <w:rPr>
          <w:rFonts w:ascii="Arial" w:hAnsi="Arial" w:cs="Arial"/>
        </w:rPr>
        <w:t>Çin ile ABD arasındaki ticaret savaşı, Brexit konusundaki belirsizlikler ve Covid-19 nedeniyle sınırların kapanması, son iki</w:t>
      </w:r>
      <w:r w:rsidRPr="7F5620ED">
        <w:rPr>
          <w:rFonts w:ascii="Arial" w:hAnsi="Arial" w:cs="Arial"/>
        </w:rPr>
        <w:t xml:space="preserve"> </w:t>
      </w:r>
      <w:r w:rsidR="006950C3" w:rsidRPr="7F5620ED">
        <w:rPr>
          <w:rFonts w:ascii="Arial" w:hAnsi="Arial" w:cs="Arial"/>
        </w:rPr>
        <w:t xml:space="preserve">yılda küresel ticaretteki düşüşün ana nedenleri </w:t>
      </w:r>
      <w:r w:rsidRPr="7F5620ED">
        <w:rPr>
          <w:rFonts w:ascii="Arial" w:hAnsi="Arial" w:cs="Arial"/>
        </w:rPr>
        <w:t>oldu</w:t>
      </w:r>
      <w:r w:rsidR="006950C3" w:rsidRPr="7F5620ED">
        <w:rPr>
          <w:rFonts w:ascii="Arial" w:hAnsi="Arial" w:cs="Arial"/>
        </w:rPr>
        <w:t>.</w:t>
      </w:r>
      <w:r w:rsidRPr="7F5620ED">
        <w:rPr>
          <w:rFonts w:ascii="Arial" w:hAnsi="Arial" w:cs="Arial"/>
        </w:rPr>
        <w:t xml:space="preserve"> </w:t>
      </w:r>
      <w:r w:rsidR="006950C3" w:rsidRPr="7F5620ED">
        <w:rPr>
          <w:rFonts w:ascii="Arial" w:hAnsi="Arial" w:cs="Arial"/>
        </w:rPr>
        <w:t xml:space="preserve">Pandemi </w:t>
      </w:r>
      <w:r w:rsidRPr="7F5620ED">
        <w:rPr>
          <w:rFonts w:ascii="Arial" w:hAnsi="Arial" w:cs="Arial"/>
        </w:rPr>
        <w:t xml:space="preserve">nedeniyle 2020 yılında bir önceki yıla göre yüzde 5,9 düşüşle 12,8 </w:t>
      </w:r>
      <w:r w:rsidR="003942D8" w:rsidRPr="7F5620ED">
        <w:rPr>
          <w:rFonts w:ascii="Arial" w:hAnsi="Arial" w:cs="Arial"/>
        </w:rPr>
        <w:t>trilyon</w:t>
      </w:r>
      <w:r w:rsidRPr="7F5620ED">
        <w:rPr>
          <w:rFonts w:ascii="Arial" w:hAnsi="Arial" w:cs="Arial"/>
        </w:rPr>
        <w:t xml:space="preserve"> dolara gerileyen dünya ticaret hacmi </w:t>
      </w:r>
      <w:r w:rsidR="006950C3" w:rsidRPr="7F5620ED">
        <w:rPr>
          <w:rFonts w:ascii="Arial" w:hAnsi="Arial" w:cs="Arial"/>
        </w:rPr>
        <w:t xml:space="preserve">2021 yılı itibarıyla toparlanmaya </w:t>
      </w:r>
      <w:r w:rsidRPr="7F5620ED">
        <w:rPr>
          <w:rFonts w:ascii="Arial" w:hAnsi="Arial" w:cs="Arial"/>
        </w:rPr>
        <w:t xml:space="preserve">başladı. </w:t>
      </w:r>
      <w:r w:rsidR="006950C3" w:rsidRPr="7F5620ED">
        <w:rPr>
          <w:rFonts w:ascii="Arial" w:hAnsi="Arial" w:cs="Arial"/>
        </w:rPr>
        <w:t xml:space="preserve">2021 yılında 14,4 </w:t>
      </w:r>
      <w:r w:rsidR="003942D8" w:rsidRPr="7F5620ED">
        <w:rPr>
          <w:rFonts w:ascii="Arial" w:hAnsi="Arial" w:cs="Arial"/>
        </w:rPr>
        <w:t>trilyon</w:t>
      </w:r>
      <w:r w:rsidR="006950C3" w:rsidRPr="7F5620ED">
        <w:rPr>
          <w:rFonts w:ascii="Arial" w:hAnsi="Arial" w:cs="Arial"/>
        </w:rPr>
        <w:t xml:space="preserve"> dolar olan dünya ticaret hacminin 2022 yılında 15 </w:t>
      </w:r>
      <w:r w:rsidR="003942D8" w:rsidRPr="7F5620ED">
        <w:rPr>
          <w:rFonts w:ascii="Arial" w:hAnsi="Arial" w:cs="Arial"/>
        </w:rPr>
        <w:t>trilyon</w:t>
      </w:r>
      <w:r w:rsidR="006950C3" w:rsidRPr="7F5620ED">
        <w:rPr>
          <w:rFonts w:ascii="Arial" w:hAnsi="Arial" w:cs="Arial"/>
        </w:rPr>
        <w:t xml:space="preserve"> dolara yükseldiğinin tahmin edildiği raporda </w:t>
      </w:r>
      <w:r w:rsidRPr="7F5620ED">
        <w:rPr>
          <w:rFonts w:ascii="Arial" w:hAnsi="Arial" w:cs="Arial"/>
        </w:rPr>
        <w:t xml:space="preserve">bu hacmin </w:t>
      </w:r>
      <w:r w:rsidR="006950C3" w:rsidRPr="7F5620ED">
        <w:rPr>
          <w:rFonts w:ascii="Arial" w:hAnsi="Arial" w:cs="Arial"/>
        </w:rPr>
        <w:t xml:space="preserve">2026 yılına kadar yaklaşık yüzde 3'lük büyüme ile 16,8 </w:t>
      </w:r>
      <w:r w:rsidR="003942D8" w:rsidRPr="7F5620ED">
        <w:rPr>
          <w:rFonts w:ascii="Arial" w:hAnsi="Arial" w:cs="Arial"/>
        </w:rPr>
        <w:t>trilyo</w:t>
      </w:r>
      <w:r w:rsidR="004D64F2" w:rsidRPr="7F5620ED">
        <w:rPr>
          <w:rFonts w:ascii="Arial" w:hAnsi="Arial" w:cs="Arial"/>
        </w:rPr>
        <w:t>n</w:t>
      </w:r>
      <w:r w:rsidR="003942D8" w:rsidRPr="7F5620ED">
        <w:rPr>
          <w:rFonts w:ascii="Arial" w:hAnsi="Arial" w:cs="Arial"/>
        </w:rPr>
        <w:t>luk</w:t>
      </w:r>
      <w:r w:rsidR="006950C3" w:rsidRPr="7F5620ED">
        <w:rPr>
          <w:rFonts w:ascii="Arial" w:hAnsi="Arial" w:cs="Arial"/>
        </w:rPr>
        <w:t xml:space="preserve"> bir </w:t>
      </w:r>
      <w:r w:rsidRPr="7F5620ED">
        <w:rPr>
          <w:rFonts w:ascii="Arial" w:hAnsi="Arial" w:cs="Arial"/>
        </w:rPr>
        <w:t xml:space="preserve">büyüklüğe ulaşmasının beklendiği </w:t>
      </w:r>
      <w:r w:rsidR="006950C3" w:rsidRPr="7F5620ED">
        <w:rPr>
          <w:rFonts w:ascii="Arial" w:hAnsi="Arial" w:cs="Arial"/>
        </w:rPr>
        <w:t>kaydedildi.</w:t>
      </w:r>
    </w:p>
    <w:p w14:paraId="555A6B97" w14:textId="77777777" w:rsidR="006950C3" w:rsidRPr="004D64F2" w:rsidRDefault="006950C3" w:rsidP="006950C3">
      <w:pPr>
        <w:spacing w:after="0" w:line="300" w:lineRule="auto"/>
        <w:contextualSpacing/>
        <w:jc w:val="both"/>
        <w:rPr>
          <w:rFonts w:ascii="Arial" w:hAnsi="Arial" w:cs="Arial"/>
        </w:rPr>
      </w:pPr>
    </w:p>
    <w:p w14:paraId="65F7D91F" w14:textId="1B3F034D" w:rsidR="006950C3" w:rsidRPr="004D64F2" w:rsidRDefault="006950C3" w:rsidP="00B41012">
      <w:pPr>
        <w:spacing w:after="0" w:line="300" w:lineRule="auto"/>
        <w:contextualSpacing/>
        <w:jc w:val="both"/>
        <w:rPr>
          <w:rFonts w:ascii="Arial" w:hAnsi="Arial" w:cs="Arial"/>
        </w:rPr>
      </w:pPr>
      <w:r w:rsidRPr="004D64F2">
        <w:rPr>
          <w:rFonts w:ascii="Arial" w:hAnsi="Arial" w:cs="Arial"/>
        </w:rPr>
        <w:t xml:space="preserve">Pandemi sırasında </w:t>
      </w:r>
      <w:r w:rsidR="00B41012" w:rsidRPr="004D64F2">
        <w:rPr>
          <w:rFonts w:ascii="Arial" w:hAnsi="Arial" w:cs="Arial"/>
        </w:rPr>
        <w:t xml:space="preserve">global çapta </w:t>
      </w:r>
      <w:r w:rsidRPr="004D64F2">
        <w:rPr>
          <w:rFonts w:ascii="Arial" w:hAnsi="Arial" w:cs="Arial"/>
        </w:rPr>
        <w:t>keskin bir şekilde düşen deniz ticaretinin</w:t>
      </w:r>
      <w:r w:rsidR="00B41012" w:rsidRPr="004D64F2">
        <w:rPr>
          <w:rFonts w:ascii="Arial" w:hAnsi="Arial" w:cs="Arial"/>
        </w:rPr>
        <w:t xml:space="preserve"> ise </w:t>
      </w:r>
      <w:r w:rsidRPr="004D64F2">
        <w:rPr>
          <w:rFonts w:ascii="Arial" w:hAnsi="Arial" w:cs="Arial"/>
        </w:rPr>
        <w:t>salgın sonrası dönemde hızlıca toparlanarak önümüzdeki</w:t>
      </w:r>
      <w:r w:rsidR="00B41012" w:rsidRPr="004D64F2">
        <w:rPr>
          <w:rFonts w:ascii="Arial" w:hAnsi="Arial" w:cs="Arial"/>
        </w:rPr>
        <w:t xml:space="preserve"> </w:t>
      </w:r>
      <w:r w:rsidRPr="004D64F2">
        <w:rPr>
          <w:rFonts w:ascii="Arial" w:hAnsi="Arial" w:cs="Arial"/>
        </w:rPr>
        <w:t xml:space="preserve">yıllarda yaklaşık </w:t>
      </w:r>
      <w:r w:rsidR="00B41012" w:rsidRPr="004D64F2">
        <w:rPr>
          <w:rFonts w:ascii="Arial" w:hAnsi="Arial" w:cs="Arial"/>
        </w:rPr>
        <w:t xml:space="preserve">yüzde </w:t>
      </w:r>
      <w:r w:rsidRPr="004D64F2">
        <w:rPr>
          <w:rFonts w:ascii="Arial" w:hAnsi="Arial" w:cs="Arial"/>
        </w:rPr>
        <w:t>4</w:t>
      </w:r>
      <w:r w:rsidR="00B41012" w:rsidRPr="004D64F2">
        <w:rPr>
          <w:rFonts w:ascii="Arial" w:hAnsi="Arial" w:cs="Arial"/>
        </w:rPr>
        <w:t xml:space="preserve"> yıllık bileşik büyüme oranı </w:t>
      </w:r>
      <w:r w:rsidRPr="004D64F2">
        <w:rPr>
          <w:rFonts w:ascii="Arial" w:hAnsi="Arial" w:cs="Arial"/>
        </w:rPr>
        <w:t xml:space="preserve">ile büyümesi </w:t>
      </w:r>
      <w:r w:rsidR="00B41012" w:rsidRPr="004D64F2">
        <w:rPr>
          <w:rFonts w:ascii="Arial" w:hAnsi="Arial" w:cs="Arial"/>
        </w:rPr>
        <w:t>bekleniyor</w:t>
      </w:r>
      <w:r w:rsidRPr="004D64F2">
        <w:rPr>
          <w:rFonts w:ascii="Arial" w:hAnsi="Arial" w:cs="Arial"/>
        </w:rPr>
        <w:t>. 2019 yılında 11,07 milyar ton ticaret hacmi</w:t>
      </w:r>
      <w:r w:rsidR="00B41012" w:rsidRPr="004D64F2">
        <w:rPr>
          <w:rFonts w:ascii="Arial" w:hAnsi="Arial" w:cs="Arial"/>
        </w:rPr>
        <w:t xml:space="preserve">nin gerçekleştiği dünya deniz ticaretinin </w:t>
      </w:r>
      <w:r w:rsidRPr="004D64F2">
        <w:rPr>
          <w:rFonts w:ascii="Arial" w:hAnsi="Arial" w:cs="Arial"/>
        </w:rPr>
        <w:t xml:space="preserve">2020 yılında 10,64 milyar tona </w:t>
      </w:r>
      <w:r w:rsidR="00B41012" w:rsidRPr="004D64F2">
        <w:rPr>
          <w:rFonts w:ascii="Arial" w:hAnsi="Arial" w:cs="Arial"/>
        </w:rPr>
        <w:t xml:space="preserve">gerileyen hacmi, </w:t>
      </w:r>
      <w:r w:rsidRPr="004D64F2">
        <w:rPr>
          <w:rFonts w:ascii="Arial" w:hAnsi="Arial" w:cs="Arial"/>
        </w:rPr>
        <w:t xml:space="preserve">2021 yılında 10,99 </w:t>
      </w:r>
      <w:r w:rsidR="00B41012" w:rsidRPr="004D64F2">
        <w:rPr>
          <w:rFonts w:ascii="Arial" w:hAnsi="Arial" w:cs="Arial"/>
        </w:rPr>
        <w:t xml:space="preserve">milyar </w:t>
      </w:r>
      <w:r w:rsidRPr="004D64F2">
        <w:rPr>
          <w:rFonts w:ascii="Arial" w:hAnsi="Arial" w:cs="Arial"/>
        </w:rPr>
        <w:t>tona yükseldi.</w:t>
      </w:r>
    </w:p>
    <w:p w14:paraId="5E5151DE" w14:textId="5B6E6741" w:rsidR="003A7662" w:rsidRPr="004D64F2" w:rsidRDefault="003A7662" w:rsidP="00B41012">
      <w:pPr>
        <w:spacing w:after="0" w:line="300" w:lineRule="auto"/>
        <w:contextualSpacing/>
        <w:jc w:val="both"/>
        <w:rPr>
          <w:rFonts w:ascii="Arial" w:hAnsi="Arial" w:cs="Arial"/>
        </w:rPr>
      </w:pPr>
    </w:p>
    <w:p w14:paraId="357C10FD" w14:textId="07649407" w:rsidR="008B255B" w:rsidRPr="004D64F2" w:rsidRDefault="008264E0" w:rsidP="00B41012">
      <w:pPr>
        <w:spacing w:after="0" w:line="300" w:lineRule="auto"/>
        <w:contextualSpacing/>
        <w:jc w:val="both"/>
        <w:rPr>
          <w:rFonts w:ascii="Arial" w:hAnsi="Arial" w:cs="Arial"/>
          <w:b/>
          <w:bCs/>
        </w:rPr>
      </w:pPr>
      <w:r w:rsidRPr="004D64F2">
        <w:rPr>
          <w:rFonts w:ascii="Arial" w:hAnsi="Arial" w:cs="Arial"/>
          <w:b/>
          <w:bCs/>
        </w:rPr>
        <w:t>Gemi inşa pazarının lider ülkeleri Çin, Güney Kore ve Japonya</w:t>
      </w:r>
    </w:p>
    <w:p w14:paraId="28EAC271" w14:textId="77777777" w:rsidR="008B255B" w:rsidRPr="004D64F2" w:rsidRDefault="008B255B" w:rsidP="003A7662">
      <w:pPr>
        <w:spacing w:after="0" w:line="300" w:lineRule="auto"/>
        <w:contextualSpacing/>
        <w:jc w:val="both"/>
        <w:rPr>
          <w:rFonts w:ascii="Arial" w:hAnsi="Arial" w:cs="Arial"/>
        </w:rPr>
      </w:pPr>
      <w:r w:rsidRPr="004D64F2">
        <w:rPr>
          <w:rFonts w:ascii="Arial" w:hAnsi="Arial" w:cs="Arial"/>
        </w:rPr>
        <w:t xml:space="preserve">Rapora göre </w:t>
      </w:r>
      <w:r w:rsidR="003A7662" w:rsidRPr="004D64F2">
        <w:rPr>
          <w:rFonts w:ascii="Arial" w:hAnsi="Arial" w:cs="Arial"/>
        </w:rPr>
        <w:t xml:space="preserve">Çin, Güney Kore ve Japonya, yaklaşık yüzde 95’lik toplam pazar payı ile gemi inşa pazarında lider konumda bulunuyor. İlk 3 ülke, hammaddelerin büyük çoğunluğunu yerel kaynaklardan temin edebilmesi, yüksek tonajlı gemiler inşa edebilmesi ve belirli standartlarda zamanında teslimat yapabilmesi ile pazardaki lider konumlarını koruyor. </w:t>
      </w:r>
    </w:p>
    <w:p w14:paraId="0D8DF56A" w14:textId="77777777" w:rsidR="008B255B" w:rsidRPr="004D64F2" w:rsidRDefault="008B255B" w:rsidP="003A7662">
      <w:pPr>
        <w:spacing w:after="0" w:line="300" w:lineRule="auto"/>
        <w:contextualSpacing/>
        <w:jc w:val="both"/>
        <w:rPr>
          <w:rFonts w:ascii="Arial" w:hAnsi="Arial" w:cs="Arial"/>
        </w:rPr>
      </w:pPr>
    </w:p>
    <w:p w14:paraId="42A2E44E" w14:textId="46C2B146" w:rsidR="003A7662" w:rsidRPr="004D64F2" w:rsidRDefault="003A7662" w:rsidP="003A7662">
      <w:pPr>
        <w:spacing w:after="0" w:line="300" w:lineRule="auto"/>
        <w:contextualSpacing/>
        <w:jc w:val="both"/>
        <w:rPr>
          <w:rFonts w:ascii="Arial" w:hAnsi="Arial" w:cs="Arial"/>
        </w:rPr>
      </w:pPr>
      <w:r w:rsidRPr="004D64F2">
        <w:rPr>
          <w:rFonts w:ascii="Arial" w:hAnsi="Arial" w:cs="Arial"/>
        </w:rPr>
        <w:t>Gemi inşa pazarının kalan yüzde 5’lik kısmında ise Türkiye, en rekabetçi oyunculardan biri ve özel sipariş üzerine inşa edilen yüksek donanımlı gemilerle öne çıkıyor. Diğer önde gelen ülkeler yüksek tonajlı gemilere odaklanırken Türk gemi yapımcıları daha düşük tonajlı özel gemiler için uygun fiyatlarla kaliteli üretim sunuyor. Türk tersaneleri ve şirketleri düşük tonajlı ve yüksek donanımlı elektrikli ve hibrit gemilerde edindiği bilgi birikiminin yanı sıra Avrupa’ya yakınlığı ve düşük maliyetli iş gücü sayesinde de cazip konumda bulunuyor.</w:t>
      </w:r>
    </w:p>
    <w:p w14:paraId="3617B5A7" w14:textId="46A09EBC" w:rsidR="008B255B" w:rsidRPr="004D64F2" w:rsidRDefault="008B255B" w:rsidP="003A7662">
      <w:pPr>
        <w:spacing w:after="0" w:line="300" w:lineRule="auto"/>
        <w:contextualSpacing/>
        <w:jc w:val="both"/>
        <w:rPr>
          <w:rFonts w:ascii="Arial" w:hAnsi="Arial" w:cs="Arial"/>
        </w:rPr>
      </w:pPr>
    </w:p>
    <w:p w14:paraId="219D95A7" w14:textId="7C6EEE8E" w:rsidR="008B255B" w:rsidRPr="004D64F2" w:rsidRDefault="008B255B" w:rsidP="006950C3">
      <w:pPr>
        <w:spacing w:after="0" w:line="300" w:lineRule="auto"/>
        <w:contextualSpacing/>
        <w:jc w:val="both"/>
        <w:rPr>
          <w:rFonts w:ascii="Arial" w:hAnsi="Arial" w:cs="Arial"/>
          <w:b/>
          <w:bCs/>
        </w:rPr>
      </w:pPr>
      <w:r w:rsidRPr="004D64F2">
        <w:rPr>
          <w:rFonts w:ascii="Arial" w:hAnsi="Arial" w:cs="Arial"/>
          <w:b/>
          <w:bCs/>
        </w:rPr>
        <w:lastRenderedPageBreak/>
        <w:t>Pandemiye rağmen Türkiye deniz ticaretindeki konumunu korudu</w:t>
      </w:r>
    </w:p>
    <w:p w14:paraId="01758B4A" w14:textId="7C46B497" w:rsidR="006950C3" w:rsidRPr="004D64F2" w:rsidRDefault="00B41012" w:rsidP="006950C3">
      <w:pPr>
        <w:spacing w:after="0" w:line="300" w:lineRule="auto"/>
        <w:contextualSpacing/>
        <w:jc w:val="both"/>
        <w:rPr>
          <w:rFonts w:ascii="Arial" w:hAnsi="Arial" w:cs="Arial"/>
        </w:rPr>
      </w:pPr>
      <w:r w:rsidRPr="004D64F2">
        <w:rPr>
          <w:rFonts w:ascii="Arial" w:hAnsi="Arial" w:cs="Arial"/>
        </w:rPr>
        <w:t>Pandeminin etkisi ile k</w:t>
      </w:r>
      <w:r w:rsidR="006950C3" w:rsidRPr="004D64F2">
        <w:rPr>
          <w:rFonts w:ascii="Arial" w:hAnsi="Arial" w:cs="Arial"/>
        </w:rPr>
        <w:t xml:space="preserve">üresel ölçekte ticaret hacmindeki düşüşe rağmen Türkiye konumunu korumayı </w:t>
      </w:r>
      <w:r w:rsidRPr="004D64F2">
        <w:rPr>
          <w:rFonts w:ascii="Arial" w:hAnsi="Arial" w:cs="Arial"/>
        </w:rPr>
        <w:t xml:space="preserve">başardı. 2019 yılında 391,2 milyar dolar olan Türkiye’nin ticaret hacmi </w:t>
      </w:r>
      <w:r w:rsidR="003942D8" w:rsidRPr="004D64F2">
        <w:rPr>
          <w:rFonts w:ascii="Arial" w:hAnsi="Arial" w:cs="Arial"/>
        </w:rPr>
        <w:t xml:space="preserve">(ithalat ve ihracat hacminin toplamı) </w:t>
      </w:r>
      <w:r w:rsidR="007B59CD" w:rsidRPr="004D64F2">
        <w:rPr>
          <w:rFonts w:ascii="Arial" w:hAnsi="Arial" w:cs="Arial"/>
        </w:rPr>
        <w:t xml:space="preserve">2020 yılında hafif bir düşüşle 389,2 milyar dolara gerilese de 2021 yılında 496,7 milyara ulaştı. </w:t>
      </w:r>
      <w:r w:rsidR="006950C3" w:rsidRPr="004D64F2">
        <w:rPr>
          <w:rFonts w:ascii="Arial" w:hAnsi="Arial" w:cs="Arial"/>
        </w:rPr>
        <w:t>Türkiye’nin deniz ticareti</w:t>
      </w:r>
      <w:r w:rsidR="007B59CD" w:rsidRPr="004D64F2">
        <w:rPr>
          <w:rFonts w:ascii="Arial" w:hAnsi="Arial" w:cs="Arial"/>
        </w:rPr>
        <w:t xml:space="preserve"> ise </w:t>
      </w:r>
      <w:r w:rsidR="006950C3" w:rsidRPr="004D64F2">
        <w:rPr>
          <w:rFonts w:ascii="Arial" w:hAnsi="Arial" w:cs="Arial"/>
        </w:rPr>
        <w:t xml:space="preserve">küresel ticaretteki düşüşe rağmen istikrarlı bir büyüme eğilimi </w:t>
      </w:r>
      <w:r w:rsidR="007B59CD" w:rsidRPr="004D64F2">
        <w:rPr>
          <w:rFonts w:ascii="Arial" w:hAnsi="Arial" w:cs="Arial"/>
        </w:rPr>
        <w:t xml:space="preserve">gösterdi. Rapora göre </w:t>
      </w:r>
      <w:r w:rsidR="006950C3" w:rsidRPr="004D64F2">
        <w:rPr>
          <w:rFonts w:ascii="Arial" w:hAnsi="Arial" w:cs="Arial"/>
        </w:rPr>
        <w:t>2019 yılında 224,9 milyon ton</w:t>
      </w:r>
      <w:r w:rsidR="007B59CD" w:rsidRPr="004D64F2">
        <w:rPr>
          <w:rFonts w:ascii="Arial" w:hAnsi="Arial" w:cs="Arial"/>
        </w:rPr>
        <w:t xml:space="preserve"> ticaret hacmi gerçekleşen Türkiye’nin deniz ticari </w:t>
      </w:r>
      <w:r w:rsidR="006950C3" w:rsidRPr="004D64F2">
        <w:rPr>
          <w:rFonts w:ascii="Arial" w:hAnsi="Arial" w:cs="Arial"/>
        </w:rPr>
        <w:t>2020 yılında 229,2 milyon ton</w:t>
      </w:r>
      <w:r w:rsidR="007B59CD" w:rsidRPr="004D64F2">
        <w:rPr>
          <w:rFonts w:ascii="Arial" w:hAnsi="Arial" w:cs="Arial"/>
        </w:rPr>
        <w:t xml:space="preserve">a, </w:t>
      </w:r>
      <w:r w:rsidR="006950C3" w:rsidRPr="004D64F2">
        <w:rPr>
          <w:rFonts w:ascii="Arial" w:hAnsi="Arial" w:cs="Arial"/>
        </w:rPr>
        <w:t xml:space="preserve">2021 yılında </w:t>
      </w:r>
      <w:r w:rsidR="007B59CD" w:rsidRPr="004D64F2">
        <w:rPr>
          <w:rFonts w:ascii="Arial" w:hAnsi="Arial" w:cs="Arial"/>
        </w:rPr>
        <w:t xml:space="preserve">ise </w:t>
      </w:r>
      <w:r w:rsidR="006950C3" w:rsidRPr="004D64F2">
        <w:rPr>
          <w:rFonts w:ascii="Arial" w:hAnsi="Arial" w:cs="Arial"/>
        </w:rPr>
        <w:t>247,6 milyon ton</w:t>
      </w:r>
      <w:r w:rsidR="007B59CD" w:rsidRPr="004D64F2">
        <w:rPr>
          <w:rFonts w:ascii="Arial" w:hAnsi="Arial" w:cs="Arial"/>
        </w:rPr>
        <w:t xml:space="preserve">a yükseldi. </w:t>
      </w:r>
    </w:p>
    <w:p w14:paraId="156D3548" w14:textId="2DA65B65" w:rsidR="006950C3" w:rsidRPr="004D64F2" w:rsidRDefault="006950C3" w:rsidP="006950C3">
      <w:pPr>
        <w:spacing w:after="0" w:line="300" w:lineRule="auto"/>
        <w:contextualSpacing/>
        <w:jc w:val="both"/>
        <w:rPr>
          <w:rFonts w:ascii="Arial" w:hAnsi="Arial" w:cs="Arial"/>
        </w:rPr>
      </w:pPr>
    </w:p>
    <w:p w14:paraId="620D0C0E" w14:textId="7621A73C" w:rsidR="008264E0" w:rsidRPr="004D64F2" w:rsidRDefault="008264E0" w:rsidP="006950C3">
      <w:pPr>
        <w:spacing w:after="0" w:line="300" w:lineRule="auto"/>
        <w:contextualSpacing/>
        <w:jc w:val="both"/>
        <w:rPr>
          <w:rFonts w:ascii="Arial" w:hAnsi="Arial" w:cs="Arial"/>
          <w:b/>
          <w:bCs/>
        </w:rPr>
      </w:pPr>
      <w:r w:rsidRPr="004D64F2">
        <w:rPr>
          <w:rFonts w:ascii="Arial" w:hAnsi="Arial" w:cs="Arial"/>
          <w:b/>
          <w:bCs/>
        </w:rPr>
        <w:t>Türkiye’de yaklaşık 90 tersane var</w:t>
      </w:r>
    </w:p>
    <w:p w14:paraId="5D29C806" w14:textId="7DDE33AB" w:rsidR="006950C3" w:rsidRPr="004D64F2" w:rsidRDefault="006950C3" w:rsidP="006950C3">
      <w:pPr>
        <w:spacing w:after="0" w:line="300" w:lineRule="auto"/>
        <w:contextualSpacing/>
        <w:jc w:val="both"/>
        <w:rPr>
          <w:rFonts w:ascii="Arial" w:hAnsi="Arial" w:cs="Arial"/>
        </w:rPr>
      </w:pPr>
      <w:r w:rsidRPr="004D64F2">
        <w:rPr>
          <w:rFonts w:ascii="Arial" w:hAnsi="Arial" w:cs="Arial"/>
        </w:rPr>
        <w:t xml:space="preserve">Türkiye’de yurt içi ve dışı pazarlara teslim edilen farklı tipte sevk sistemlerine odaklanan yaklaşık 90 tersane </w:t>
      </w:r>
      <w:r w:rsidR="007B59CD" w:rsidRPr="004D64F2">
        <w:rPr>
          <w:rFonts w:ascii="Arial" w:hAnsi="Arial" w:cs="Arial"/>
        </w:rPr>
        <w:t xml:space="preserve">bulunduğunun da belirtildiği raporda, sektörde </w:t>
      </w:r>
      <w:r w:rsidRPr="004D64F2">
        <w:rPr>
          <w:rFonts w:ascii="Arial" w:hAnsi="Arial" w:cs="Arial"/>
        </w:rPr>
        <w:t>önde gelen oyuncuların ağırlıklı olarak yurt dışı pazarlarına odaklandığı</w:t>
      </w:r>
      <w:r w:rsidR="007B59CD" w:rsidRPr="004D64F2">
        <w:rPr>
          <w:rFonts w:ascii="Arial" w:hAnsi="Arial" w:cs="Arial"/>
        </w:rPr>
        <w:t xml:space="preserve">na dikkat çekildi. Raporda, </w:t>
      </w:r>
      <w:r w:rsidRPr="004D64F2">
        <w:rPr>
          <w:rFonts w:ascii="Arial" w:hAnsi="Arial" w:cs="Arial"/>
        </w:rPr>
        <w:t>Türkiye’deki tersanelerin gruplandığı bölgeler</w:t>
      </w:r>
      <w:r w:rsidR="007B59CD" w:rsidRPr="004D64F2">
        <w:rPr>
          <w:rFonts w:ascii="Arial" w:hAnsi="Arial" w:cs="Arial"/>
        </w:rPr>
        <w:t xml:space="preserve"> ve sayıları ise şu şekilde sıralandı: </w:t>
      </w:r>
      <w:r w:rsidRPr="004D64F2">
        <w:rPr>
          <w:rFonts w:ascii="Arial" w:hAnsi="Arial" w:cs="Arial"/>
        </w:rPr>
        <w:t>İstanbul 41</w:t>
      </w:r>
      <w:r w:rsidR="007B59CD" w:rsidRPr="004D64F2">
        <w:rPr>
          <w:rFonts w:ascii="Arial" w:hAnsi="Arial" w:cs="Arial"/>
        </w:rPr>
        <w:t xml:space="preserve">, Yalova 14, Antalya 11, Kocaeli 6, Muğla 6, Trabzon 5, </w:t>
      </w:r>
      <w:r w:rsidRPr="004D64F2">
        <w:rPr>
          <w:rFonts w:ascii="Arial" w:hAnsi="Arial" w:cs="Arial"/>
        </w:rPr>
        <w:t>Zonguldak 5</w:t>
      </w:r>
      <w:r w:rsidR="007B59CD" w:rsidRPr="004D64F2">
        <w:rPr>
          <w:rFonts w:ascii="Arial" w:hAnsi="Arial" w:cs="Arial"/>
        </w:rPr>
        <w:t xml:space="preserve">, </w:t>
      </w:r>
      <w:r w:rsidRPr="004D64F2">
        <w:rPr>
          <w:rFonts w:ascii="Arial" w:hAnsi="Arial" w:cs="Arial"/>
        </w:rPr>
        <w:t>Çanakkale 2</w:t>
      </w:r>
      <w:r w:rsidR="007B59CD" w:rsidRPr="004D64F2">
        <w:rPr>
          <w:rFonts w:ascii="Arial" w:hAnsi="Arial" w:cs="Arial"/>
        </w:rPr>
        <w:t xml:space="preserve"> ve </w:t>
      </w:r>
      <w:r w:rsidRPr="004D64F2">
        <w:rPr>
          <w:rFonts w:ascii="Arial" w:hAnsi="Arial" w:cs="Arial"/>
        </w:rPr>
        <w:t>Adana 1</w:t>
      </w:r>
      <w:r w:rsidR="007B59CD" w:rsidRPr="004D64F2">
        <w:rPr>
          <w:rFonts w:ascii="Arial" w:hAnsi="Arial" w:cs="Arial"/>
        </w:rPr>
        <w:t xml:space="preserve">. Ayrıca </w:t>
      </w:r>
      <w:r w:rsidRPr="004D64F2">
        <w:rPr>
          <w:rFonts w:ascii="Arial" w:hAnsi="Arial" w:cs="Arial"/>
        </w:rPr>
        <w:t xml:space="preserve">2021 yılı itibarıyla </w:t>
      </w:r>
      <w:r w:rsidR="007B59CD" w:rsidRPr="004D64F2">
        <w:rPr>
          <w:rFonts w:ascii="Arial" w:hAnsi="Arial" w:cs="Arial"/>
        </w:rPr>
        <w:t xml:space="preserve">Türkiye’nin gemi </w:t>
      </w:r>
      <w:r w:rsidRPr="004D64F2">
        <w:rPr>
          <w:rFonts w:ascii="Arial" w:hAnsi="Arial" w:cs="Arial"/>
        </w:rPr>
        <w:t>endüstri</w:t>
      </w:r>
      <w:r w:rsidR="007B59CD" w:rsidRPr="004D64F2">
        <w:rPr>
          <w:rFonts w:ascii="Arial" w:hAnsi="Arial" w:cs="Arial"/>
        </w:rPr>
        <w:t>sin</w:t>
      </w:r>
      <w:r w:rsidRPr="004D64F2">
        <w:rPr>
          <w:rFonts w:ascii="Arial" w:hAnsi="Arial" w:cs="Arial"/>
        </w:rPr>
        <w:t>de ticari gemilerin oranı yüzde 62,7 iken ticari olmayan gemilerin oranı yüzde 37,3</w:t>
      </w:r>
      <w:r w:rsidR="007B59CD" w:rsidRPr="004D64F2">
        <w:rPr>
          <w:rFonts w:ascii="Arial" w:hAnsi="Arial" w:cs="Arial"/>
        </w:rPr>
        <w:t xml:space="preserve"> olarak açıklandı. </w:t>
      </w:r>
    </w:p>
    <w:p w14:paraId="26EB6925" w14:textId="04199EE3" w:rsidR="006950C3" w:rsidRPr="004D64F2" w:rsidRDefault="006950C3" w:rsidP="006950C3">
      <w:pPr>
        <w:spacing w:after="0" w:line="300" w:lineRule="auto"/>
        <w:contextualSpacing/>
        <w:jc w:val="both"/>
        <w:rPr>
          <w:rFonts w:ascii="Arial" w:hAnsi="Arial" w:cs="Arial"/>
        </w:rPr>
      </w:pPr>
    </w:p>
    <w:p w14:paraId="65F12821" w14:textId="69FEA2D4" w:rsidR="008264E0" w:rsidRPr="004D64F2" w:rsidRDefault="008264E0" w:rsidP="006950C3">
      <w:pPr>
        <w:spacing w:after="0" w:line="300" w:lineRule="auto"/>
        <w:contextualSpacing/>
        <w:jc w:val="both"/>
        <w:rPr>
          <w:rFonts w:ascii="Arial" w:hAnsi="Arial" w:cs="Arial"/>
          <w:b/>
          <w:bCs/>
        </w:rPr>
      </w:pPr>
      <w:r w:rsidRPr="004D64F2">
        <w:rPr>
          <w:rFonts w:ascii="Arial" w:hAnsi="Arial" w:cs="Arial"/>
          <w:b/>
          <w:bCs/>
        </w:rPr>
        <w:t>“Türkiye gemi inşa sektörü dünyada nadir bir konumdadır”</w:t>
      </w:r>
    </w:p>
    <w:p w14:paraId="28CA2C9E" w14:textId="3C17F808" w:rsidR="006950C3" w:rsidRPr="004D64F2" w:rsidRDefault="007B59CD" w:rsidP="003A7662">
      <w:pPr>
        <w:spacing w:after="0" w:line="300" w:lineRule="auto"/>
        <w:contextualSpacing/>
        <w:jc w:val="both"/>
        <w:rPr>
          <w:rFonts w:ascii="Arial" w:hAnsi="Arial" w:cs="Arial"/>
        </w:rPr>
      </w:pPr>
      <w:r w:rsidRPr="7F5620ED">
        <w:rPr>
          <w:rFonts w:ascii="Arial" w:hAnsi="Arial" w:cs="Arial"/>
        </w:rPr>
        <w:t xml:space="preserve">Konuyla ilgili değerlendirmede bulunan </w:t>
      </w:r>
      <w:r w:rsidR="006950C3" w:rsidRPr="7F5620ED">
        <w:rPr>
          <w:rFonts w:ascii="Arial" w:hAnsi="Arial" w:cs="Arial"/>
          <w:b/>
          <w:bCs/>
        </w:rPr>
        <w:t xml:space="preserve">KPMG Türkiye Strateji ve Operasyonlar Lideri ve Şirket Ortağı </w:t>
      </w:r>
      <w:proofErr w:type="spellStart"/>
      <w:r w:rsidR="006950C3" w:rsidRPr="7F5620ED">
        <w:rPr>
          <w:rFonts w:ascii="Arial" w:hAnsi="Arial" w:cs="Arial"/>
          <w:b/>
          <w:bCs/>
        </w:rPr>
        <w:t>Bükre</w:t>
      </w:r>
      <w:proofErr w:type="spellEnd"/>
      <w:r w:rsidR="006950C3" w:rsidRPr="7F5620ED">
        <w:rPr>
          <w:rFonts w:ascii="Arial" w:hAnsi="Arial" w:cs="Arial"/>
          <w:b/>
          <w:bCs/>
        </w:rPr>
        <w:t xml:space="preserve"> Bektaş</w:t>
      </w:r>
      <w:r w:rsidRPr="7F5620ED">
        <w:rPr>
          <w:rFonts w:ascii="Arial" w:hAnsi="Arial" w:cs="Arial"/>
        </w:rPr>
        <w:t xml:space="preserve">, </w:t>
      </w:r>
      <w:r w:rsidR="006950C3" w:rsidRPr="7F5620ED">
        <w:rPr>
          <w:rFonts w:ascii="Arial" w:hAnsi="Arial" w:cs="Arial"/>
        </w:rPr>
        <w:t>"Bölgesel olarak kümelenmiş çok sayıda tersanenin bulunduğu</w:t>
      </w:r>
      <w:r w:rsidRPr="7F5620ED">
        <w:rPr>
          <w:rFonts w:ascii="Arial" w:hAnsi="Arial" w:cs="Arial"/>
        </w:rPr>
        <w:t xml:space="preserve"> </w:t>
      </w:r>
      <w:r w:rsidR="006950C3" w:rsidRPr="7F5620ED">
        <w:rPr>
          <w:rFonts w:ascii="Arial" w:hAnsi="Arial" w:cs="Arial"/>
        </w:rPr>
        <w:t>Türkiye</w:t>
      </w:r>
      <w:r w:rsidRPr="7F5620ED">
        <w:rPr>
          <w:rFonts w:ascii="Arial" w:hAnsi="Arial" w:cs="Arial"/>
        </w:rPr>
        <w:t xml:space="preserve">, bu yapısı nedeniyle </w:t>
      </w:r>
      <w:r w:rsidR="008264E0" w:rsidRPr="7F5620ED">
        <w:rPr>
          <w:rFonts w:ascii="Arial" w:hAnsi="Arial" w:cs="Arial"/>
        </w:rPr>
        <w:t xml:space="preserve">dünyada </w:t>
      </w:r>
      <w:r w:rsidRPr="7F5620ED">
        <w:rPr>
          <w:rFonts w:ascii="Arial" w:hAnsi="Arial" w:cs="Arial"/>
        </w:rPr>
        <w:t xml:space="preserve">nadir bir konumdadır. </w:t>
      </w:r>
      <w:r w:rsidR="006950C3" w:rsidRPr="7F5620ED">
        <w:rPr>
          <w:rFonts w:ascii="Arial" w:hAnsi="Arial" w:cs="Arial"/>
        </w:rPr>
        <w:t xml:space="preserve">Türkiye’deki tüm tersaneleri bir hafta </w:t>
      </w:r>
      <w:r w:rsidRPr="7F5620ED">
        <w:rPr>
          <w:rFonts w:ascii="Arial" w:hAnsi="Arial" w:cs="Arial"/>
        </w:rPr>
        <w:t xml:space="preserve">gibi kısa bir sürede </w:t>
      </w:r>
      <w:r w:rsidR="006950C3" w:rsidRPr="7F5620ED">
        <w:rPr>
          <w:rFonts w:ascii="Arial" w:hAnsi="Arial" w:cs="Arial"/>
        </w:rPr>
        <w:t xml:space="preserve">ziyaret edebilir ve </w:t>
      </w:r>
      <w:r w:rsidRPr="7F5620ED">
        <w:rPr>
          <w:rFonts w:ascii="Arial" w:hAnsi="Arial" w:cs="Arial"/>
        </w:rPr>
        <w:t xml:space="preserve">birkaç saatte ise </w:t>
      </w:r>
      <w:r w:rsidR="006950C3" w:rsidRPr="7F5620ED">
        <w:rPr>
          <w:rFonts w:ascii="Arial" w:hAnsi="Arial" w:cs="Arial"/>
        </w:rPr>
        <w:t>Avrupa’dan tersane</w:t>
      </w:r>
      <w:r w:rsidRPr="7F5620ED">
        <w:rPr>
          <w:rFonts w:ascii="Arial" w:hAnsi="Arial" w:cs="Arial"/>
        </w:rPr>
        <w:t xml:space="preserve">lere ziyaret gerçekleştirilebilir. Bu yapının sunduğu kolaylık nedeniyle </w:t>
      </w:r>
      <w:r w:rsidR="006950C3" w:rsidRPr="7F5620ED">
        <w:rPr>
          <w:rFonts w:ascii="Arial" w:hAnsi="Arial" w:cs="Arial"/>
        </w:rPr>
        <w:t xml:space="preserve">Avrupa kaynaklı siparişlerle pazarın </w:t>
      </w:r>
      <w:r w:rsidRPr="7F5620ED">
        <w:rPr>
          <w:rFonts w:ascii="Arial" w:hAnsi="Arial" w:cs="Arial"/>
        </w:rPr>
        <w:t xml:space="preserve">yüzde </w:t>
      </w:r>
      <w:r w:rsidR="006950C3" w:rsidRPr="7F5620ED">
        <w:rPr>
          <w:rFonts w:ascii="Arial" w:hAnsi="Arial" w:cs="Arial"/>
        </w:rPr>
        <w:t xml:space="preserve">10 </w:t>
      </w:r>
      <w:r w:rsidRPr="7F5620ED">
        <w:rPr>
          <w:rFonts w:ascii="Arial" w:hAnsi="Arial" w:cs="Arial"/>
        </w:rPr>
        <w:t xml:space="preserve">- </w:t>
      </w:r>
      <w:r w:rsidR="006950C3" w:rsidRPr="7F5620ED">
        <w:rPr>
          <w:rFonts w:ascii="Arial" w:hAnsi="Arial" w:cs="Arial"/>
        </w:rPr>
        <w:t>12 arasında büyümesi</w:t>
      </w:r>
      <w:r w:rsidRPr="7F5620ED">
        <w:rPr>
          <w:rFonts w:ascii="Arial" w:hAnsi="Arial" w:cs="Arial"/>
        </w:rPr>
        <w:t xml:space="preserve"> bekleniyor. Yerel talebin ana kaynağı ise a</w:t>
      </w:r>
      <w:r w:rsidR="006950C3" w:rsidRPr="7F5620ED">
        <w:rPr>
          <w:rFonts w:ascii="Arial" w:hAnsi="Arial" w:cs="Arial"/>
        </w:rPr>
        <w:t>skeri projeler veya İstanbul belediyesinin vapur elektrifikasyon projesi gibi büyük ölçekli</w:t>
      </w:r>
      <w:r w:rsidRPr="7F5620ED">
        <w:rPr>
          <w:rFonts w:ascii="Arial" w:hAnsi="Arial" w:cs="Arial"/>
        </w:rPr>
        <w:t xml:space="preserve"> </w:t>
      </w:r>
      <w:r w:rsidR="006950C3" w:rsidRPr="7F5620ED">
        <w:rPr>
          <w:rFonts w:ascii="Arial" w:hAnsi="Arial" w:cs="Arial"/>
        </w:rPr>
        <w:t>projeler</w:t>
      </w:r>
      <w:r w:rsidRPr="7F5620ED">
        <w:rPr>
          <w:rFonts w:ascii="Arial" w:hAnsi="Arial" w:cs="Arial"/>
        </w:rPr>
        <w:t>.</w:t>
      </w:r>
      <w:r w:rsidR="003A7662" w:rsidRPr="7F5620ED">
        <w:rPr>
          <w:rFonts w:ascii="Arial" w:hAnsi="Arial" w:cs="Arial"/>
        </w:rPr>
        <w:t xml:space="preserve"> Diğer yandan son dönemde Norveç’te artan elektrifikasyon talebinin giderildiği ana pazarlardan biri de Türkiye oldu. Ayrıca Ukrayna ihtilafı nedeniyle Rusya’nın Avrupa ile olan bağlarının zarar görmesi sonucunda, etkilenen ticaretin bir kısmının Türkiye’ye kayması da öngörülüyor. Bu nedenle son yıllarda Türk gemi inşa sektöründe payını artıran Rusya’nın yukarı yönlü seyrine devam edeceği de sektörde tahmin ediliyor” dedi.</w:t>
      </w:r>
      <w:r w:rsidRPr="7F5620ED">
        <w:rPr>
          <w:rFonts w:ascii="Arial" w:hAnsi="Arial" w:cs="Arial"/>
        </w:rPr>
        <w:t xml:space="preserve"> </w:t>
      </w:r>
    </w:p>
    <w:p w14:paraId="7E5BC6D3" w14:textId="77777777" w:rsidR="006950C3" w:rsidRPr="004D64F2" w:rsidRDefault="006950C3" w:rsidP="006950C3">
      <w:pPr>
        <w:spacing w:after="0" w:line="300" w:lineRule="auto"/>
        <w:contextualSpacing/>
        <w:jc w:val="both"/>
        <w:rPr>
          <w:rFonts w:ascii="Arial" w:hAnsi="Arial" w:cs="Arial"/>
        </w:rPr>
      </w:pPr>
    </w:p>
    <w:p w14:paraId="28266002" w14:textId="62E8B559" w:rsidR="004A399D" w:rsidRPr="004D64F2" w:rsidRDefault="00F704C4" w:rsidP="00BA1F99">
      <w:pPr>
        <w:spacing w:after="0" w:line="300" w:lineRule="auto"/>
        <w:jc w:val="both"/>
        <w:rPr>
          <w:rFonts w:ascii="Arial" w:hAnsi="Arial" w:cs="Arial"/>
        </w:rPr>
      </w:pPr>
      <w:r w:rsidRPr="004D64F2">
        <w:rPr>
          <w:rFonts w:ascii="Arial" w:hAnsi="Arial" w:cs="Arial"/>
        </w:rPr>
        <w:t xml:space="preserve">Raporun </w:t>
      </w:r>
      <w:r w:rsidR="004A399D" w:rsidRPr="004D64F2">
        <w:rPr>
          <w:rFonts w:ascii="Arial" w:hAnsi="Arial" w:cs="Arial"/>
        </w:rPr>
        <w:t xml:space="preserve">tamamına </w:t>
      </w:r>
      <w:hyperlink r:id="rId11" w:history="1">
        <w:r w:rsidR="004A399D" w:rsidRPr="004D64F2">
          <w:rPr>
            <w:rStyle w:val="Kpr"/>
            <w:rFonts w:ascii="Arial" w:hAnsi="Arial" w:cs="Arial"/>
          </w:rPr>
          <w:t>buradan</w:t>
        </w:r>
      </w:hyperlink>
      <w:r w:rsidR="004A399D" w:rsidRPr="004D64F2">
        <w:rPr>
          <w:rFonts w:ascii="Arial" w:hAnsi="Arial" w:cs="Arial"/>
        </w:rPr>
        <w:t xml:space="preserve"> ulaşabilirsiniz. </w:t>
      </w:r>
    </w:p>
    <w:p w14:paraId="1452D3B2" w14:textId="0C299C32" w:rsidR="00511A4F" w:rsidRPr="004D64F2" w:rsidRDefault="00511A4F" w:rsidP="00FB099A">
      <w:pPr>
        <w:rPr>
          <w:rFonts w:ascii="Arial" w:hAnsi="Arial" w:cs="Arial"/>
        </w:rPr>
      </w:pPr>
    </w:p>
    <w:p w14:paraId="588C1322"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normaltextrun"/>
          <w:rFonts w:asciiTheme="minorHAnsi" w:hAnsiTheme="minorHAnsi" w:cstheme="minorHAnsi"/>
          <w:b/>
          <w:bCs/>
          <w:sz w:val="18"/>
          <w:szCs w:val="18"/>
        </w:rPr>
        <w:t xml:space="preserve">Bilgi için: </w:t>
      </w:r>
      <w:r w:rsidRPr="004D64F2">
        <w:rPr>
          <w:rStyle w:val="tabchar"/>
          <w:rFonts w:asciiTheme="minorHAnsi" w:hAnsiTheme="minorHAnsi" w:cstheme="minorHAnsi"/>
          <w:sz w:val="18"/>
          <w:szCs w:val="18"/>
        </w:rPr>
        <w:tab/>
      </w:r>
      <w:r w:rsidRPr="004D64F2">
        <w:rPr>
          <w:rStyle w:val="eop"/>
          <w:rFonts w:asciiTheme="minorHAnsi" w:hAnsiTheme="minorHAnsi" w:cstheme="minorHAnsi"/>
          <w:sz w:val="18"/>
          <w:szCs w:val="18"/>
        </w:rPr>
        <w:t> </w:t>
      </w:r>
    </w:p>
    <w:p w14:paraId="10C6D7B2"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normaltextrun"/>
          <w:rFonts w:asciiTheme="minorHAnsi" w:hAnsiTheme="minorHAnsi" w:cstheme="minorHAnsi"/>
          <w:color w:val="000000"/>
          <w:sz w:val="18"/>
          <w:szCs w:val="18"/>
        </w:rPr>
        <w:t>Ceren Moral Aru</w:t>
      </w:r>
      <w:r w:rsidRPr="004D64F2">
        <w:rPr>
          <w:rStyle w:val="eop"/>
          <w:rFonts w:asciiTheme="minorHAnsi" w:hAnsiTheme="minorHAnsi" w:cstheme="minorHAnsi"/>
          <w:color w:val="000000"/>
          <w:sz w:val="18"/>
          <w:szCs w:val="18"/>
        </w:rPr>
        <w:t> </w:t>
      </w:r>
    </w:p>
    <w:p w14:paraId="374D810F"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normaltextrun"/>
          <w:rFonts w:asciiTheme="minorHAnsi" w:hAnsiTheme="minorHAnsi" w:cstheme="minorHAnsi"/>
          <w:color w:val="000000"/>
          <w:sz w:val="18"/>
          <w:szCs w:val="18"/>
        </w:rPr>
        <w:t>0533 921 43 53</w:t>
      </w:r>
      <w:r w:rsidRPr="004D64F2">
        <w:rPr>
          <w:rStyle w:val="eop"/>
          <w:rFonts w:asciiTheme="minorHAnsi" w:hAnsiTheme="minorHAnsi" w:cstheme="minorHAnsi"/>
          <w:color w:val="000000"/>
          <w:sz w:val="18"/>
          <w:szCs w:val="18"/>
        </w:rPr>
        <w:t> </w:t>
      </w:r>
    </w:p>
    <w:p w14:paraId="335CFB89"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normaltextrun"/>
          <w:rFonts w:asciiTheme="minorHAnsi" w:hAnsiTheme="minorHAnsi" w:cstheme="minorHAnsi"/>
          <w:color w:val="000000"/>
          <w:sz w:val="18"/>
          <w:szCs w:val="18"/>
        </w:rPr>
        <w:t>cerenm@marjinal.com.tr</w:t>
      </w:r>
      <w:r w:rsidRPr="004D64F2">
        <w:rPr>
          <w:rStyle w:val="eop"/>
          <w:rFonts w:asciiTheme="minorHAnsi" w:hAnsiTheme="minorHAnsi" w:cstheme="minorHAnsi"/>
          <w:color w:val="000000"/>
          <w:sz w:val="18"/>
          <w:szCs w:val="18"/>
        </w:rPr>
        <w:t> </w:t>
      </w:r>
    </w:p>
    <w:p w14:paraId="112A7D81" w14:textId="77777777" w:rsidR="008E1CCE" w:rsidRPr="004D64F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4D64F2">
        <w:rPr>
          <w:rStyle w:val="eop"/>
          <w:rFonts w:asciiTheme="minorHAnsi" w:hAnsiTheme="minorHAnsi" w:cstheme="minorHAnsi"/>
          <w:sz w:val="18"/>
          <w:szCs w:val="18"/>
        </w:rPr>
        <w:t> </w:t>
      </w:r>
    </w:p>
    <w:p w14:paraId="261D8353" w14:textId="77777777" w:rsidR="008E1CCE" w:rsidRPr="004D64F2" w:rsidRDefault="008E1CCE" w:rsidP="008E1CCE">
      <w:pPr>
        <w:pStyle w:val="paragraph"/>
        <w:spacing w:before="0" w:beforeAutospacing="0" w:after="0" w:afterAutospacing="0"/>
        <w:contextualSpacing/>
        <w:jc w:val="both"/>
        <w:textAlignment w:val="baseline"/>
        <w:rPr>
          <w:rFonts w:asciiTheme="minorHAnsi" w:hAnsiTheme="minorHAnsi" w:cstheme="minorHAnsi"/>
          <w:sz w:val="18"/>
          <w:szCs w:val="18"/>
        </w:rPr>
      </w:pPr>
      <w:r w:rsidRPr="004D64F2">
        <w:rPr>
          <w:rStyle w:val="normaltextrun"/>
          <w:rFonts w:asciiTheme="minorHAnsi" w:hAnsiTheme="minorHAnsi" w:cstheme="minorHAnsi"/>
          <w:b/>
          <w:bCs/>
          <w:sz w:val="18"/>
          <w:szCs w:val="18"/>
          <w:u w:val="single"/>
        </w:rPr>
        <w:t>KPMG Hakkında</w:t>
      </w:r>
      <w:r w:rsidRPr="004D64F2">
        <w:rPr>
          <w:rStyle w:val="eop"/>
          <w:rFonts w:asciiTheme="minorHAnsi" w:hAnsiTheme="minorHAnsi" w:cstheme="minorHAnsi"/>
          <w:sz w:val="18"/>
          <w:szCs w:val="18"/>
        </w:rPr>
        <w:t> </w:t>
      </w:r>
    </w:p>
    <w:p w14:paraId="5543C93D" w14:textId="77777777" w:rsidR="008E1CCE" w:rsidRDefault="008E1CCE" w:rsidP="008E1CCE">
      <w:pPr>
        <w:pStyle w:val="paragraph"/>
        <w:spacing w:after="0"/>
        <w:contextualSpacing/>
        <w:jc w:val="both"/>
        <w:textAlignment w:val="baseline"/>
      </w:pPr>
      <w:r w:rsidRPr="004D64F2">
        <w:rPr>
          <w:rStyle w:val="normaltextrun"/>
          <w:rFonts w:asciiTheme="minorHAnsi" w:hAnsiTheme="minorHAnsi" w:cstheme="minorHAnsi"/>
          <w:color w:val="000000"/>
          <w:sz w:val="18"/>
          <w:szCs w:val="18"/>
        </w:rPr>
        <w:t xml:space="preserve">KPMG, geçmişi 1867 yılına dayanan, üye firmalar ağı sistemiyle 143 ülkede 265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yaklaşık 1.800 çalışanıyla her sektörden 4 binin üzerinde firmaya sektörler özelinde hizmet veriyor. 2020 yılında küresel ağın </w:t>
      </w:r>
      <w:proofErr w:type="spellStart"/>
      <w:r w:rsidRPr="004D64F2">
        <w:rPr>
          <w:rStyle w:val="normaltextrun"/>
          <w:rFonts w:asciiTheme="minorHAnsi" w:hAnsiTheme="minorHAnsi" w:cstheme="minorHAnsi"/>
          <w:color w:val="000000"/>
          <w:sz w:val="18"/>
          <w:szCs w:val="18"/>
        </w:rPr>
        <w:t>Lighthouse</w:t>
      </w:r>
      <w:proofErr w:type="spellEnd"/>
      <w:r w:rsidRPr="004D64F2">
        <w:rPr>
          <w:rStyle w:val="normaltextrun"/>
          <w:rFonts w:asciiTheme="minorHAnsi" w:hAnsiTheme="minorHAnsi" w:cstheme="minorHAnsi"/>
          <w:color w:val="000000"/>
          <w:sz w:val="18"/>
          <w:szCs w:val="18"/>
        </w:rPr>
        <w:t xml:space="preserve"> lisansını alarak yeni teknolojilerde dünyadaki mükemmeliyet merkezleri arasına giren KPMG Türkiye, müşterilerine değer yaratan çözümler sunuyor. Detaylı bilgi için </w:t>
      </w:r>
      <w:hyperlink r:id="rId12" w:history="1">
        <w:r w:rsidRPr="004D64F2">
          <w:rPr>
            <w:rStyle w:val="Kpr"/>
            <w:rFonts w:asciiTheme="minorHAnsi" w:hAnsiTheme="minorHAnsi" w:cstheme="minorHAnsi"/>
            <w:sz w:val="18"/>
            <w:szCs w:val="18"/>
          </w:rPr>
          <w:t>www.kpmg.com.tr</w:t>
        </w:r>
      </w:hyperlink>
      <w:r w:rsidRPr="004D64F2">
        <w:rPr>
          <w:rStyle w:val="normaltextrun"/>
          <w:rFonts w:asciiTheme="minorHAnsi" w:hAnsiTheme="minorHAnsi" w:cstheme="minorHAnsi"/>
          <w:color w:val="000000"/>
          <w:sz w:val="18"/>
          <w:szCs w:val="18"/>
        </w:rPr>
        <w:t xml:space="preserve"> adresine başvurabilirsiniz.</w:t>
      </w:r>
      <w:r w:rsidRPr="00540BBF">
        <w:t xml:space="preserve"> </w:t>
      </w:r>
    </w:p>
    <w:sectPr w:rsidR="008E1CCE" w:rsidSect="00D322B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4F27" w14:textId="77777777" w:rsidR="00AA6B47" w:rsidRDefault="00AA6B47" w:rsidP="00D322B8">
      <w:pPr>
        <w:spacing w:after="0" w:line="240" w:lineRule="auto"/>
      </w:pPr>
      <w:r>
        <w:separator/>
      </w:r>
    </w:p>
  </w:endnote>
  <w:endnote w:type="continuationSeparator" w:id="0">
    <w:p w14:paraId="4F8489E9" w14:textId="77777777" w:rsidR="00AA6B47" w:rsidRDefault="00AA6B47" w:rsidP="00D322B8">
      <w:pPr>
        <w:spacing w:after="0" w:line="240" w:lineRule="auto"/>
      </w:pPr>
      <w:r>
        <w:continuationSeparator/>
      </w:r>
    </w:p>
  </w:endnote>
  <w:endnote w:type="continuationNotice" w:id="1">
    <w:p w14:paraId="11D48B13" w14:textId="77777777" w:rsidR="00AA6B47" w:rsidRDefault="00AA6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C98F" w14:textId="77777777" w:rsidR="006A2510" w:rsidRDefault="006A25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432A" w14:textId="77777777" w:rsidR="00AA6B47" w:rsidRDefault="00AA6B47" w:rsidP="00D322B8">
      <w:pPr>
        <w:spacing w:after="0" w:line="240" w:lineRule="auto"/>
      </w:pPr>
      <w:r>
        <w:separator/>
      </w:r>
    </w:p>
  </w:footnote>
  <w:footnote w:type="continuationSeparator" w:id="0">
    <w:p w14:paraId="55D6AA34" w14:textId="77777777" w:rsidR="00AA6B47" w:rsidRDefault="00AA6B47" w:rsidP="00D322B8">
      <w:pPr>
        <w:spacing w:after="0" w:line="240" w:lineRule="auto"/>
      </w:pPr>
      <w:r>
        <w:continuationSeparator/>
      </w:r>
    </w:p>
  </w:footnote>
  <w:footnote w:type="continuationNotice" w:id="1">
    <w:p w14:paraId="39F9A677" w14:textId="77777777" w:rsidR="00AA6B47" w:rsidRDefault="00AA6B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Resim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EB6"/>
    <w:multiLevelType w:val="hybridMultilevel"/>
    <w:tmpl w:val="9B64B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B3B70"/>
    <w:multiLevelType w:val="hybridMultilevel"/>
    <w:tmpl w:val="DF9E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089098">
    <w:abstractNumId w:val="2"/>
  </w:num>
  <w:num w:numId="2" w16cid:durableId="87704357">
    <w:abstractNumId w:val="4"/>
  </w:num>
  <w:num w:numId="3" w16cid:durableId="1361082010">
    <w:abstractNumId w:val="3"/>
  </w:num>
  <w:num w:numId="4" w16cid:durableId="1420984115">
    <w:abstractNumId w:val="5"/>
  </w:num>
  <w:num w:numId="5" w16cid:durableId="357317334">
    <w:abstractNumId w:val="1"/>
  </w:num>
  <w:num w:numId="6" w16cid:durableId="112350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9A"/>
    <w:rsid w:val="00011454"/>
    <w:rsid w:val="000271D2"/>
    <w:rsid w:val="00065A4B"/>
    <w:rsid w:val="00073870"/>
    <w:rsid w:val="0008122D"/>
    <w:rsid w:val="000859AF"/>
    <w:rsid w:val="000B037E"/>
    <w:rsid w:val="000C46F9"/>
    <w:rsid w:val="000C4E2B"/>
    <w:rsid w:val="000C5B2E"/>
    <w:rsid w:val="001007D9"/>
    <w:rsid w:val="00113973"/>
    <w:rsid w:val="00113D8D"/>
    <w:rsid w:val="0013228F"/>
    <w:rsid w:val="00137590"/>
    <w:rsid w:val="00147319"/>
    <w:rsid w:val="0017373B"/>
    <w:rsid w:val="00181FEB"/>
    <w:rsid w:val="00191BCB"/>
    <w:rsid w:val="001A11D2"/>
    <w:rsid w:val="001B55F3"/>
    <w:rsid w:val="001C64F9"/>
    <w:rsid w:val="001D7018"/>
    <w:rsid w:val="001E4F15"/>
    <w:rsid w:val="001E6E5B"/>
    <w:rsid w:val="001F682E"/>
    <w:rsid w:val="0022416D"/>
    <w:rsid w:val="0022721D"/>
    <w:rsid w:val="00281304"/>
    <w:rsid w:val="002A54DC"/>
    <w:rsid w:val="002C1784"/>
    <w:rsid w:val="002C69A1"/>
    <w:rsid w:val="002D584F"/>
    <w:rsid w:val="002E1634"/>
    <w:rsid w:val="002F3948"/>
    <w:rsid w:val="0031765C"/>
    <w:rsid w:val="00320E15"/>
    <w:rsid w:val="0033122E"/>
    <w:rsid w:val="00375FBB"/>
    <w:rsid w:val="00376117"/>
    <w:rsid w:val="00376CAF"/>
    <w:rsid w:val="00376E1E"/>
    <w:rsid w:val="00377A44"/>
    <w:rsid w:val="00392BF8"/>
    <w:rsid w:val="00393938"/>
    <w:rsid w:val="003942D8"/>
    <w:rsid w:val="003A7662"/>
    <w:rsid w:val="003B622F"/>
    <w:rsid w:val="003B673F"/>
    <w:rsid w:val="003C439A"/>
    <w:rsid w:val="003C6440"/>
    <w:rsid w:val="003C7904"/>
    <w:rsid w:val="003C7EA2"/>
    <w:rsid w:val="003D7A57"/>
    <w:rsid w:val="003F5B88"/>
    <w:rsid w:val="00401F5B"/>
    <w:rsid w:val="004136C3"/>
    <w:rsid w:val="004270D8"/>
    <w:rsid w:val="00443895"/>
    <w:rsid w:val="00451B1C"/>
    <w:rsid w:val="0046013E"/>
    <w:rsid w:val="00477A58"/>
    <w:rsid w:val="00492F82"/>
    <w:rsid w:val="00493016"/>
    <w:rsid w:val="004A0495"/>
    <w:rsid w:val="004A17A6"/>
    <w:rsid w:val="004A399D"/>
    <w:rsid w:val="004D64F2"/>
    <w:rsid w:val="004F2DB6"/>
    <w:rsid w:val="00511475"/>
    <w:rsid w:val="00511A4F"/>
    <w:rsid w:val="00515CFF"/>
    <w:rsid w:val="00534FA2"/>
    <w:rsid w:val="00551841"/>
    <w:rsid w:val="00551879"/>
    <w:rsid w:val="00554A60"/>
    <w:rsid w:val="005A0087"/>
    <w:rsid w:val="005B1116"/>
    <w:rsid w:val="005C2E52"/>
    <w:rsid w:val="005C472D"/>
    <w:rsid w:val="005C6118"/>
    <w:rsid w:val="005C7F0D"/>
    <w:rsid w:val="005F0E8D"/>
    <w:rsid w:val="005F5B05"/>
    <w:rsid w:val="005F66E8"/>
    <w:rsid w:val="00606AD7"/>
    <w:rsid w:val="00611493"/>
    <w:rsid w:val="006336D0"/>
    <w:rsid w:val="006426E7"/>
    <w:rsid w:val="00664709"/>
    <w:rsid w:val="00670ED5"/>
    <w:rsid w:val="00675F0B"/>
    <w:rsid w:val="006840AC"/>
    <w:rsid w:val="00685A79"/>
    <w:rsid w:val="006914F7"/>
    <w:rsid w:val="00691774"/>
    <w:rsid w:val="00693178"/>
    <w:rsid w:val="006950C3"/>
    <w:rsid w:val="006A2510"/>
    <w:rsid w:val="006B5C80"/>
    <w:rsid w:val="006C0CC3"/>
    <w:rsid w:val="006C764C"/>
    <w:rsid w:val="006C7AAF"/>
    <w:rsid w:val="006F7AF2"/>
    <w:rsid w:val="00732F42"/>
    <w:rsid w:val="00737D9D"/>
    <w:rsid w:val="00745D55"/>
    <w:rsid w:val="007462CD"/>
    <w:rsid w:val="00766E69"/>
    <w:rsid w:val="00774FF2"/>
    <w:rsid w:val="00783AE9"/>
    <w:rsid w:val="00784114"/>
    <w:rsid w:val="007B59CD"/>
    <w:rsid w:val="007C5C32"/>
    <w:rsid w:val="007D16C4"/>
    <w:rsid w:val="007D3441"/>
    <w:rsid w:val="007D428A"/>
    <w:rsid w:val="00812B22"/>
    <w:rsid w:val="008264E0"/>
    <w:rsid w:val="00846E63"/>
    <w:rsid w:val="008A0814"/>
    <w:rsid w:val="008A7BC2"/>
    <w:rsid w:val="008B255B"/>
    <w:rsid w:val="008D4B37"/>
    <w:rsid w:val="008E1CCE"/>
    <w:rsid w:val="008F5F78"/>
    <w:rsid w:val="009073F9"/>
    <w:rsid w:val="00912EF3"/>
    <w:rsid w:val="00914A5F"/>
    <w:rsid w:val="009156C2"/>
    <w:rsid w:val="00917AD1"/>
    <w:rsid w:val="009307A7"/>
    <w:rsid w:val="0093489B"/>
    <w:rsid w:val="00940D8A"/>
    <w:rsid w:val="00943AED"/>
    <w:rsid w:val="00946E34"/>
    <w:rsid w:val="0095123B"/>
    <w:rsid w:val="00952D46"/>
    <w:rsid w:val="00955B7B"/>
    <w:rsid w:val="00960BB3"/>
    <w:rsid w:val="0097526A"/>
    <w:rsid w:val="0097662B"/>
    <w:rsid w:val="00990FFA"/>
    <w:rsid w:val="009D1304"/>
    <w:rsid w:val="009D7FBB"/>
    <w:rsid w:val="00A61764"/>
    <w:rsid w:val="00A64CAB"/>
    <w:rsid w:val="00A76CA9"/>
    <w:rsid w:val="00A97A31"/>
    <w:rsid w:val="00AA5D89"/>
    <w:rsid w:val="00AA6B47"/>
    <w:rsid w:val="00AB428B"/>
    <w:rsid w:val="00AB5A5D"/>
    <w:rsid w:val="00AC4401"/>
    <w:rsid w:val="00AD1559"/>
    <w:rsid w:val="00AD337D"/>
    <w:rsid w:val="00AE5173"/>
    <w:rsid w:val="00AF5D95"/>
    <w:rsid w:val="00B41012"/>
    <w:rsid w:val="00B41214"/>
    <w:rsid w:val="00B47104"/>
    <w:rsid w:val="00B639B1"/>
    <w:rsid w:val="00B90A10"/>
    <w:rsid w:val="00B97D91"/>
    <w:rsid w:val="00BA1F99"/>
    <w:rsid w:val="00BA2B2C"/>
    <w:rsid w:val="00BB0308"/>
    <w:rsid w:val="00BB0E6C"/>
    <w:rsid w:val="00BC72CA"/>
    <w:rsid w:val="00BD5E0A"/>
    <w:rsid w:val="00BD7DC2"/>
    <w:rsid w:val="00BE1CA0"/>
    <w:rsid w:val="00BF5F40"/>
    <w:rsid w:val="00C03BF9"/>
    <w:rsid w:val="00C333D6"/>
    <w:rsid w:val="00C36793"/>
    <w:rsid w:val="00C55430"/>
    <w:rsid w:val="00C66C8D"/>
    <w:rsid w:val="00C77633"/>
    <w:rsid w:val="00C80D55"/>
    <w:rsid w:val="00C836CC"/>
    <w:rsid w:val="00C84601"/>
    <w:rsid w:val="00C87E24"/>
    <w:rsid w:val="00C93B6F"/>
    <w:rsid w:val="00CB65E3"/>
    <w:rsid w:val="00CC4F23"/>
    <w:rsid w:val="00CE67D2"/>
    <w:rsid w:val="00D14152"/>
    <w:rsid w:val="00D16F7C"/>
    <w:rsid w:val="00D322B8"/>
    <w:rsid w:val="00D45DB2"/>
    <w:rsid w:val="00D65A96"/>
    <w:rsid w:val="00D778F5"/>
    <w:rsid w:val="00DC6FDB"/>
    <w:rsid w:val="00DD1909"/>
    <w:rsid w:val="00DD6E3B"/>
    <w:rsid w:val="00DE379A"/>
    <w:rsid w:val="00DF1D3C"/>
    <w:rsid w:val="00DF3A7E"/>
    <w:rsid w:val="00E253EF"/>
    <w:rsid w:val="00E474F8"/>
    <w:rsid w:val="00E533B4"/>
    <w:rsid w:val="00E57B5B"/>
    <w:rsid w:val="00E6506C"/>
    <w:rsid w:val="00E83E4D"/>
    <w:rsid w:val="00E95096"/>
    <w:rsid w:val="00EA793F"/>
    <w:rsid w:val="00EB668D"/>
    <w:rsid w:val="00ED793F"/>
    <w:rsid w:val="00EE14DE"/>
    <w:rsid w:val="00F00CB2"/>
    <w:rsid w:val="00F14548"/>
    <w:rsid w:val="00F375D1"/>
    <w:rsid w:val="00F569BC"/>
    <w:rsid w:val="00F704C4"/>
    <w:rsid w:val="00FB099A"/>
    <w:rsid w:val="00FE4671"/>
    <w:rsid w:val="00FF6C55"/>
    <w:rsid w:val="00FF7D9C"/>
    <w:rsid w:val="02BD7A2E"/>
    <w:rsid w:val="04A32E60"/>
    <w:rsid w:val="0CCC2DFF"/>
    <w:rsid w:val="157284E0"/>
    <w:rsid w:val="2978FB61"/>
    <w:rsid w:val="5C042AE0"/>
    <w:rsid w:val="617E7ED0"/>
    <w:rsid w:val="75E58A75"/>
    <w:rsid w:val="7F562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customStyle="1" w:styleId="UnresolvedMention1">
    <w:name w:val="Unresolved Mention1"/>
    <w:basedOn w:val="VarsaylanParagrafYazTipi"/>
    <w:uiPriority w:val="99"/>
    <w:semiHidden/>
    <w:unhideWhenUsed/>
    <w:rsid w:val="00BA1F99"/>
    <w:rPr>
      <w:color w:val="605E5C"/>
      <w:shd w:val="clear" w:color="auto" w:fill="E1DFDD"/>
    </w:rPr>
  </w:style>
  <w:style w:type="paragraph" w:customStyle="1" w:styleId="paragraph">
    <w:name w:val="paragraph"/>
    <w:basedOn w:val="Normal"/>
    <w:rsid w:val="001B5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B55F3"/>
  </w:style>
  <w:style w:type="character" w:customStyle="1" w:styleId="tabchar">
    <w:name w:val="tabchar"/>
    <w:basedOn w:val="VarsaylanParagrafYazTipi"/>
    <w:rsid w:val="001B55F3"/>
  </w:style>
  <w:style w:type="character" w:customStyle="1" w:styleId="eop">
    <w:name w:val="eop"/>
    <w:basedOn w:val="VarsaylanParagrafYazTipi"/>
    <w:rsid w:val="001B55F3"/>
  </w:style>
  <w:style w:type="character" w:customStyle="1" w:styleId="spellingerror">
    <w:name w:val="spellingerror"/>
    <w:basedOn w:val="VarsaylanParagrafYazTipi"/>
    <w:rsid w:val="001B55F3"/>
  </w:style>
  <w:style w:type="character" w:styleId="zmlenmeyenBahsetme">
    <w:name w:val="Unresolved Mention"/>
    <w:basedOn w:val="VarsaylanParagrafYazTipi"/>
    <w:uiPriority w:val="99"/>
    <w:semiHidden/>
    <w:unhideWhenUsed/>
    <w:rsid w:val="001B55F3"/>
    <w:rPr>
      <w:color w:val="605E5C"/>
      <w:shd w:val="clear" w:color="auto" w:fill="E1DFDD"/>
    </w:rPr>
  </w:style>
  <w:style w:type="paragraph" w:styleId="NormalWeb">
    <w:name w:val="Normal (Web)"/>
    <w:basedOn w:val="Normal"/>
    <w:uiPriority w:val="99"/>
    <w:semiHidden/>
    <w:unhideWhenUsed/>
    <w:rsid w:val="00ED79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B1116"/>
    <w:rPr>
      <w:color w:val="954F72" w:themeColor="followedHyperlink"/>
      <w:u w:val="single"/>
    </w:rPr>
  </w:style>
  <w:style w:type="table" w:styleId="TabloKlavuzu">
    <w:name w:val="Table Grid"/>
    <w:basedOn w:val="NormalTablo"/>
    <w:uiPriority w:val="39"/>
    <w:rsid w:val="004A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410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41012"/>
    <w:rPr>
      <w:sz w:val="20"/>
      <w:szCs w:val="20"/>
    </w:rPr>
  </w:style>
  <w:style w:type="character" w:styleId="DipnotBavurusu">
    <w:name w:val="footnote reference"/>
    <w:basedOn w:val="VarsaylanParagrafYazTipi"/>
    <w:uiPriority w:val="99"/>
    <w:semiHidden/>
    <w:unhideWhenUsed/>
    <w:rsid w:val="00B41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293905085">
      <w:bodyDiv w:val="1"/>
      <w:marLeft w:val="0"/>
      <w:marRight w:val="0"/>
      <w:marTop w:val="0"/>
      <w:marBottom w:val="0"/>
      <w:divBdr>
        <w:top w:val="none" w:sz="0" w:space="0" w:color="auto"/>
        <w:left w:val="none" w:sz="0" w:space="0" w:color="auto"/>
        <w:bottom w:val="none" w:sz="0" w:space="0" w:color="auto"/>
        <w:right w:val="none" w:sz="0" w:space="0" w:color="auto"/>
      </w:divBdr>
      <w:divsChild>
        <w:div w:id="2082099716">
          <w:marLeft w:val="0"/>
          <w:marRight w:val="0"/>
          <w:marTop w:val="0"/>
          <w:marBottom w:val="0"/>
          <w:divBdr>
            <w:top w:val="none" w:sz="0" w:space="0" w:color="auto"/>
            <w:left w:val="none" w:sz="0" w:space="0" w:color="auto"/>
            <w:bottom w:val="none" w:sz="0" w:space="0" w:color="auto"/>
            <w:right w:val="none" w:sz="0" w:space="0" w:color="auto"/>
          </w:divBdr>
        </w:div>
        <w:div w:id="238291473">
          <w:marLeft w:val="0"/>
          <w:marRight w:val="0"/>
          <w:marTop w:val="0"/>
          <w:marBottom w:val="0"/>
          <w:divBdr>
            <w:top w:val="none" w:sz="0" w:space="0" w:color="auto"/>
            <w:left w:val="none" w:sz="0" w:space="0" w:color="auto"/>
            <w:bottom w:val="none" w:sz="0" w:space="0" w:color="auto"/>
            <w:right w:val="none" w:sz="0" w:space="0" w:color="auto"/>
          </w:divBdr>
        </w:div>
        <w:div w:id="1036854505">
          <w:marLeft w:val="0"/>
          <w:marRight w:val="0"/>
          <w:marTop w:val="0"/>
          <w:marBottom w:val="0"/>
          <w:divBdr>
            <w:top w:val="none" w:sz="0" w:space="0" w:color="auto"/>
            <w:left w:val="none" w:sz="0" w:space="0" w:color="auto"/>
            <w:bottom w:val="none" w:sz="0" w:space="0" w:color="auto"/>
            <w:right w:val="none" w:sz="0" w:space="0" w:color="auto"/>
          </w:divBdr>
        </w:div>
        <w:div w:id="162203053">
          <w:marLeft w:val="0"/>
          <w:marRight w:val="0"/>
          <w:marTop w:val="0"/>
          <w:marBottom w:val="0"/>
          <w:divBdr>
            <w:top w:val="none" w:sz="0" w:space="0" w:color="auto"/>
            <w:left w:val="none" w:sz="0" w:space="0" w:color="auto"/>
            <w:bottom w:val="none" w:sz="0" w:space="0" w:color="auto"/>
            <w:right w:val="none" w:sz="0" w:space="0" w:color="auto"/>
          </w:divBdr>
        </w:div>
        <w:div w:id="927734067">
          <w:marLeft w:val="0"/>
          <w:marRight w:val="0"/>
          <w:marTop w:val="0"/>
          <w:marBottom w:val="0"/>
          <w:divBdr>
            <w:top w:val="none" w:sz="0" w:space="0" w:color="auto"/>
            <w:left w:val="none" w:sz="0" w:space="0" w:color="auto"/>
            <w:bottom w:val="none" w:sz="0" w:space="0" w:color="auto"/>
            <w:right w:val="none" w:sz="0" w:space="0" w:color="auto"/>
          </w:divBdr>
        </w:div>
        <w:div w:id="1390347504">
          <w:marLeft w:val="0"/>
          <w:marRight w:val="0"/>
          <w:marTop w:val="0"/>
          <w:marBottom w:val="0"/>
          <w:divBdr>
            <w:top w:val="none" w:sz="0" w:space="0" w:color="auto"/>
            <w:left w:val="none" w:sz="0" w:space="0" w:color="auto"/>
            <w:bottom w:val="none" w:sz="0" w:space="0" w:color="auto"/>
            <w:right w:val="none" w:sz="0" w:space="0" w:color="auto"/>
          </w:divBdr>
        </w:div>
        <w:div w:id="100731223">
          <w:marLeft w:val="0"/>
          <w:marRight w:val="0"/>
          <w:marTop w:val="0"/>
          <w:marBottom w:val="0"/>
          <w:divBdr>
            <w:top w:val="none" w:sz="0" w:space="0" w:color="auto"/>
            <w:left w:val="none" w:sz="0" w:space="0" w:color="auto"/>
            <w:bottom w:val="none" w:sz="0" w:space="0" w:color="auto"/>
            <w:right w:val="none" w:sz="0" w:space="0" w:color="auto"/>
          </w:divBdr>
        </w:div>
      </w:divsChild>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 w:id="20935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pmg.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pmg.com/tr/tr/home/gorusler/2023/04/gemi-insa-sektorel-bakis-202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2.xml><?xml version="1.0" encoding="utf-8"?>
<b:Sources xmlns:b="http://schemas.openxmlformats.org/officeDocument/2006/bibliography" xmlns="http://schemas.openxmlformats.org/officeDocument/2006/bibliography" SelectedStyle="\ISO690.XSL" StyleName="ISO 690 - İlk Öğe ve Tarih" Version="1987"/>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7EEE9-E2CC-4F9D-B4C2-870F3A1B06B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E31D17C3-D377-4B37-AC3E-455F5C718453}">
  <ds:schemaRefs>
    <ds:schemaRef ds:uri="http://schemas.openxmlformats.org/officeDocument/2006/bibliography"/>
  </ds:schemaRefs>
</ds:datastoreItem>
</file>

<file path=customXml/itemProps3.xml><?xml version="1.0" encoding="utf-8"?>
<ds:datastoreItem xmlns:ds="http://schemas.openxmlformats.org/officeDocument/2006/customXml" ds:itemID="{950A1212-8E56-4663-ABF7-366B38D4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A5539-B5DB-4264-8B7E-5662E82D2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919</Words>
  <Characters>5241</Characters>
  <Application>Microsoft Office Word</Application>
  <DocSecurity>0</DocSecurity>
  <Lines>43</Lines>
  <Paragraphs>12</Paragraphs>
  <ScaleCrop>false</ScaleCrop>
  <Company>KPMG</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7</cp:revision>
  <dcterms:created xsi:type="dcterms:W3CDTF">2023-03-30T07:28:00Z</dcterms:created>
  <dcterms:modified xsi:type="dcterms:W3CDTF">2023-04-20T07:14:00Z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