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5301" w:rsidR="00002007" w:rsidP="2A4334E4" w:rsidRDefault="00002007" w14:paraId="0E13F0D1" w14:textId="6367A390">
      <w:pPr>
        <w:pBdr>
          <w:bottom w:val="single" w:color="FF000000" w:sz="6" w:space="1"/>
        </w:pBdr>
        <w:rPr>
          <w:rFonts w:ascii="Tahoma" w:hAnsi="Tahoma"/>
          <w:b w:val="1"/>
          <w:bCs w:val="1"/>
        </w:rPr>
      </w:pPr>
      <w:r w:rsidRPr="2A4334E4" w:rsidR="00002007">
        <w:rPr>
          <w:rFonts w:ascii="Tahoma" w:hAnsi="Tahoma" w:eastAsia="Tahoma" w:cs="Tahoma"/>
          <w:b w:val="1"/>
          <w:bCs w:val="1"/>
        </w:rPr>
        <w:t>BASIN BÜLTENİ</w:t>
      </w:r>
      <w:r>
        <w:tab/>
      </w:r>
      <w:r>
        <w:tab/>
      </w:r>
      <w:r>
        <w:tab/>
      </w:r>
      <w:r>
        <w:tab/>
      </w:r>
      <w:r w:rsidRPr="2A4334E4" w:rsidR="00002007">
        <w:rPr>
          <w:rFonts w:ascii="Tahoma" w:hAnsi="Tahoma" w:eastAsia="Tahoma" w:cs="Tahoma"/>
          <w:b w:val="1"/>
          <w:bCs w:val="1"/>
        </w:rPr>
        <w:t xml:space="preserve">                                            </w:t>
      </w:r>
      <w:r>
        <w:tab/>
      </w:r>
      <w:r w:rsidRPr="2A4334E4" w:rsidR="4B5B2F23">
        <w:rPr>
          <w:rFonts w:ascii="Tahoma" w:hAnsi="Tahoma" w:eastAsia="Tahoma" w:cs="Tahoma"/>
          <w:b w:val="1"/>
          <w:bCs w:val="1"/>
        </w:rPr>
        <w:t>05</w:t>
      </w:r>
      <w:r w:rsidRPr="2A4334E4" w:rsidR="00002007">
        <w:rPr>
          <w:rFonts w:ascii="Tahoma" w:hAnsi="Tahoma" w:eastAsia="Tahoma" w:cs="Tahoma"/>
          <w:b w:val="1"/>
          <w:bCs w:val="1"/>
        </w:rPr>
        <w:t>.</w:t>
      </w:r>
      <w:r w:rsidRPr="2A4334E4" w:rsidR="00352D7A">
        <w:rPr>
          <w:rFonts w:ascii="Tahoma" w:hAnsi="Tahoma"/>
          <w:b w:val="1"/>
          <w:bCs w:val="1"/>
        </w:rPr>
        <w:t>0</w:t>
      </w:r>
      <w:r w:rsidRPr="2A4334E4" w:rsidR="16F8D96B">
        <w:rPr>
          <w:rFonts w:ascii="Tahoma" w:hAnsi="Tahoma"/>
          <w:b w:val="1"/>
          <w:bCs w:val="1"/>
        </w:rPr>
        <w:t>4</w:t>
      </w:r>
      <w:r w:rsidRPr="2A4334E4" w:rsidR="00002007">
        <w:rPr>
          <w:rFonts w:ascii="Tahoma" w:hAnsi="Tahoma"/>
          <w:b w:val="1"/>
          <w:bCs w:val="1"/>
        </w:rPr>
        <w:t>.202</w:t>
      </w:r>
      <w:r w:rsidRPr="2A4334E4" w:rsidR="00352D7A">
        <w:rPr>
          <w:rFonts w:ascii="Tahoma" w:hAnsi="Tahoma"/>
          <w:b w:val="1"/>
          <w:bCs w:val="1"/>
        </w:rPr>
        <w:t>4</w:t>
      </w:r>
    </w:p>
    <w:p w:rsidRPr="00105301" w:rsidR="00D322B8" w:rsidP="00FB099A" w:rsidRDefault="00D322B8" w14:paraId="335CEAF7" w14:textId="77777777">
      <w:pPr>
        <w:rPr>
          <w:rFonts w:ascii="Arial" w:hAnsi="Arial" w:cs="Arial"/>
          <w:b/>
          <w:bCs/>
        </w:rPr>
      </w:pPr>
    </w:p>
    <w:p w:rsidRPr="007377DB" w:rsidR="008D3988" w:rsidP="00434392" w:rsidRDefault="007377DB" w14:paraId="7DE252BD" w14:textId="49521063">
      <w:pPr>
        <w:spacing w:after="0" w:line="240" w:lineRule="auto"/>
        <w:contextualSpacing/>
        <w:jc w:val="center"/>
        <w:rPr>
          <w:rFonts w:ascii="Arial" w:hAnsi="Arial" w:cs="Arial"/>
          <w:b/>
          <w:bCs/>
          <w:sz w:val="48"/>
          <w:szCs w:val="48"/>
        </w:rPr>
      </w:pPr>
      <w:r w:rsidRPr="007377DB">
        <w:rPr>
          <w:rFonts w:ascii="Arial" w:hAnsi="Arial" w:cs="Arial"/>
          <w:b/>
          <w:bCs/>
          <w:sz w:val="48"/>
          <w:szCs w:val="48"/>
        </w:rPr>
        <w:t>2023 yılında k</w:t>
      </w:r>
      <w:r w:rsidRPr="007377DB" w:rsidR="00710A73">
        <w:rPr>
          <w:rFonts w:ascii="Arial" w:hAnsi="Arial" w:cs="Arial"/>
          <w:b/>
          <w:bCs/>
          <w:sz w:val="48"/>
          <w:szCs w:val="48"/>
        </w:rPr>
        <w:t xml:space="preserve">üresel fintech finansmanı </w:t>
      </w:r>
      <w:r w:rsidRPr="007377DB">
        <w:rPr>
          <w:rFonts w:ascii="Arial" w:hAnsi="Arial" w:cs="Arial"/>
          <w:b/>
          <w:bCs/>
          <w:sz w:val="48"/>
          <w:szCs w:val="48"/>
        </w:rPr>
        <w:t xml:space="preserve">113 </w:t>
      </w:r>
      <w:r w:rsidRPr="007377DB" w:rsidR="00710A73">
        <w:rPr>
          <w:rFonts w:ascii="Arial" w:hAnsi="Arial" w:cs="Arial"/>
          <w:b/>
          <w:bCs/>
          <w:sz w:val="48"/>
          <w:szCs w:val="48"/>
        </w:rPr>
        <w:t>milyar dolara geriledi</w:t>
      </w:r>
      <w:r w:rsidRPr="007377DB" w:rsidR="00434392">
        <w:rPr>
          <w:rFonts w:ascii="Arial" w:hAnsi="Arial" w:cs="Arial"/>
          <w:b/>
          <w:bCs/>
          <w:sz w:val="48"/>
          <w:szCs w:val="48"/>
        </w:rPr>
        <w:t xml:space="preserve"> </w:t>
      </w:r>
    </w:p>
    <w:p w:rsidRPr="00105301" w:rsidR="00D322B8" w:rsidP="00D322B8" w:rsidRDefault="00D322B8" w14:paraId="0704C3D2" w14:textId="77777777">
      <w:pPr>
        <w:spacing w:after="0" w:line="300" w:lineRule="auto"/>
        <w:contextualSpacing/>
        <w:jc w:val="both"/>
        <w:rPr>
          <w:rFonts w:ascii="Arial" w:hAnsi="Arial" w:cs="Arial"/>
          <w:highlight w:val="yellow"/>
        </w:rPr>
      </w:pPr>
    </w:p>
    <w:p w:rsidR="000E7072" w:rsidP="0047202C" w:rsidRDefault="007A2937" w14:paraId="5FC6A201" w14:textId="41C76ADA">
      <w:pPr>
        <w:spacing w:after="0" w:line="300" w:lineRule="auto"/>
        <w:contextualSpacing/>
        <w:jc w:val="center"/>
        <w:rPr>
          <w:rFonts w:ascii="Arial" w:hAnsi="Arial" w:cs="Arial"/>
          <w:b/>
          <w:bCs/>
          <w:sz w:val="24"/>
          <w:szCs w:val="24"/>
        </w:rPr>
      </w:pPr>
      <w:r w:rsidRPr="002256D3">
        <w:rPr>
          <w:rFonts w:ascii="Arial" w:hAnsi="Arial" w:cs="Arial"/>
          <w:b/>
          <w:bCs/>
          <w:sz w:val="24"/>
          <w:szCs w:val="24"/>
        </w:rPr>
        <w:t xml:space="preserve">KPMG’nin 2023 </w:t>
      </w:r>
      <w:r w:rsidR="002256D3">
        <w:rPr>
          <w:rFonts w:ascii="Arial" w:hAnsi="Arial" w:cs="Arial"/>
          <w:b/>
          <w:bCs/>
          <w:sz w:val="24"/>
          <w:szCs w:val="24"/>
        </w:rPr>
        <w:t xml:space="preserve">yılında </w:t>
      </w:r>
      <w:r w:rsidRPr="002256D3">
        <w:rPr>
          <w:rFonts w:ascii="Arial" w:hAnsi="Arial" w:cs="Arial"/>
          <w:b/>
          <w:bCs/>
          <w:sz w:val="24"/>
          <w:szCs w:val="24"/>
        </w:rPr>
        <w:t xml:space="preserve">küresel çapta fintech’lere </w:t>
      </w:r>
      <w:r w:rsidRPr="002256D3" w:rsidR="001F0504">
        <w:rPr>
          <w:rFonts w:ascii="Arial" w:hAnsi="Arial" w:cs="Arial"/>
          <w:b/>
          <w:bCs/>
          <w:sz w:val="24"/>
          <w:szCs w:val="24"/>
        </w:rPr>
        <w:t xml:space="preserve">yapılan </w:t>
      </w:r>
      <w:r w:rsidRPr="002256D3">
        <w:rPr>
          <w:rFonts w:ascii="Arial" w:hAnsi="Arial" w:cs="Arial"/>
          <w:b/>
          <w:bCs/>
          <w:sz w:val="24"/>
          <w:szCs w:val="24"/>
        </w:rPr>
        <w:t xml:space="preserve">yatırımları </w:t>
      </w:r>
      <w:r w:rsidRPr="002256D3" w:rsidR="001F0504">
        <w:rPr>
          <w:rFonts w:ascii="Arial" w:hAnsi="Arial" w:cs="Arial"/>
          <w:b/>
          <w:bCs/>
          <w:sz w:val="24"/>
          <w:szCs w:val="24"/>
        </w:rPr>
        <w:t xml:space="preserve">incelediği </w:t>
      </w:r>
      <w:r w:rsidRPr="002256D3">
        <w:rPr>
          <w:rFonts w:ascii="Arial" w:hAnsi="Arial" w:cs="Arial"/>
          <w:b/>
          <w:bCs/>
          <w:sz w:val="24"/>
          <w:szCs w:val="24"/>
        </w:rPr>
        <w:t>“Pulse of Fintech” raporuna göre</w:t>
      </w:r>
      <w:r w:rsidRPr="002256D3" w:rsidR="001F0504">
        <w:rPr>
          <w:rFonts w:ascii="Arial" w:hAnsi="Arial" w:cs="Arial"/>
          <w:b/>
          <w:bCs/>
          <w:sz w:val="24"/>
          <w:szCs w:val="24"/>
        </w:rPr>
        <w:t xml:space="preserve"> fintech’lere yapılan yatırım miktarı </w:t>
      </w:r>
      <w:r w:rsidR="002256D3">
        <w:rPr>
          <w:rFonts w:ascii="Arial" w:hAnsi="Arial" w:cs="Arial"/>
          <w:b/>
          <w:bCs/>
          <w:sz w:val="24"/>
          <w:szCs w:val="24"/>
        </w:rPr>
        <w:t xml:space="preserve">113,7 </w:t>
      </w:r>
      <w:r w:rsidRPr="002256D3" w:rsidR="001F0504">
        <w:rPr>
          <w:rFonts w:ascii="Arial" w:hAnsi="Arial" w:cs="Arial"/>
          <w:b/>
          <w:bCs/>
          <w:sz w:val="24"/>
          <w:szCs w:val="24"/>
        </w:rPr>
        <w:t xml:space="preserve">milyar dolara, anlaşma sayısı ise </w:t>
      </w:r>
      <w:r w:rsidR="002256D3">
        <w:rPr>
          <w:rFonts w:ascii="Arial" w:hAnsi="Arial" w:cs="Arial"/>
          <w:b/>
          <w:bCs/>
          <w:sz w:val="24"/>
          <w:szCs w:val="24"/>
        </w:rPr>
        <w:t xml:space="preserve">4 </w:t>
      </w:r>
      <w:r w:rsidRPr="002256D3" w:rsidR="001F0504">
        <w:rPr>
          <w:rFonts w:ascii="Arial" w:hAnsi="Arial" w:cs="Arial"/>
          <w:b/>
          <w:bCs/>
          <w:sz w:val="24"/>
          <w:szCs w:val="24"/>
        </w:rPr>
        <w:t xml:space="preserve">bin </w:t>
      </w:r>
      <w:r w:rsidR="002256D3">
        <w:rPr>
          <w:rFonts w:ascii="Arial" w:hAnsi="Arial" w:cs="Arial"/>
          <w:b/>
          <w:bCs/>
          <w:sz w:val="24"/>
          <w:szCs w:val="24"/>
        </w:rPr>
        <w:t xml:space="preserve">547’ye </w:t>
      </w:r>
      <w:r w:rsidRPr="002256D3" w:rsidR="001F0504">
        <w:rPr>
          <w:rFonts w:ascii="Arial" w:hAnsi="Arial" w:cs="Arial"/>
          <w:b/>
          <w:bCs/>
          <w:sz w:val="24"/>
          <w:szCs w:val="24"/>
        </w:rPr>
        <w:t>geriledi.</w:t>
      </w:r>
      <w:r w:rsidRPr="002256D3" w:rsidR="00486C21">
        <w:rPr>
          <w:rFonts w:ascii="Arial" w:hAnsi="Arial" w:cs="Arial"/>
          <w:b/>
          <w:bCs/>
          <w:sz w:val="24"/>
          <w:szCs w:val="24"/>
        </w:rPr>
        <w:t xml:space="preserve"> </w:t>
      </w:r>
      <w:r w:rsidRPr="002256D3" w:rsidR="002256D3">
        <w:rPr>
          <w:rFonts w:ascii="Arial" w:hAnsi="Arial" w:cs="Arial"/>
          <w:b/>
          <w:bCs/>
          <w:sz w:val="24"/>
          <w:szCs w:val="24"/>
        </w:rPr>
        <w:t xml:space="preserve">Gayrimenkul teknolojisi </w:t>
      </w:r>
      <w:r w:rsidR="002256D3">
        <w:rPr>
          <w:rFonts w:ascii="Arial" w:hAnsi="Arial" w:cs="Arial"/>
          <w:b/>
          <w:bCs/>
          <w:sz w:val="24"/>
          <w:szCs w:val="24"/>
        </w:rPr>
        <w:t>alanı</w:t>
      </w:r>
      <w:r w:rsidRPr="002256D3" w:rsidR="002256D3">
        <w:rPr>
          <w:rFonts w:ascii="Arial" w:hAnsi="Arial" w:cs="Arial"/>
          <w:b/>
          <w:bCs/>
          <w:sz w:val="24"/>
          <w:szCs w:val="24"/>
        </w:rPr>
        <w:t xml:space="preserve"> 2023 yılında 13,4 milyar doların üzerinde yatırım ile yeni bir zirve </w:t>
      </w:r>
      <w:r w:rsidR="002256D3">
        <w:rPr>
          <w:rFonts w:ascii="Arial" w:hAnsi="Arial" w:cs="Arial"/>
          <w:b/>
          <w:bCs/>
          <w:sz w:val="24"/>
          <w:szCs w:val="24"/>
        </w:rPr>
        <w:t xml:space="preserve">yaparken </w:t>
      </w:r>
      <w:r w:rsidRPr="002256D3" w:rsidR="002256D3">
        <w:rPr>
          <w:rFonts w:ascii="Arial" w:hAnsi="Arial" w:cs="Arial"/>
          <w:b/>
          <w:bCs/>
          <w:sz w:val="24"/>
          <w:szCs w:val="24"/>
        </w:rPr>
        <w:t>ödemeler alanı 20,7 milyar dolar yatırım ile fintech yatırımlarından en büyük payı almaya devam etti.</w:t>
      </w:r>
      <w:r w:rsidR="002256D3">
        <w:rPr>
          <w:rFonts w:ascii="Arial" w:hAnsi="Arial" w:cs="Arial"/>
          <w:b/>
          <w:bCs/>
          <w:sz w:val="24"/>
          <w:szCs w:val="24"/>
        </w:rPr>
        <w:t xml:space="preserve"> </w:t>
      </w:r>
    </w:p>
    <w:p w:rsidRPr="00105301" w:rsidR="00D322B8" w:rsidP="004A399D" w:rsidRDefault="00D322B8" w14:paraId="78FFFAB0" w14:textId="77777777">
      <w:pPr>
        <w:spacing w:after="0" w:line="300" w:lineRule="auto"/>
        <w:contextualSpacing/>
        <w:jc w:val="both"/>
        <w:rPr>
          <w:rFonts w:ascii="Arial" w:hAnsi="Arial" w:cs="Arial"/>
        </w:rPr>
      </w:pPr>
    </w:p>
    <w:p w:rsidR="003017FF" w:rsidP="00434392" w:rsidRDefault="007A2937" w14:paraId="415BCF29" w14:textId="57CCC6AC">
      <w:pPr>
        <w:spacing w:after="0" w:line="300" w:lineRule="auto"/>
        <w:contextualSpacing/>
        <w:jc w:val="both"/>
        <w:rPr>
          <w:rFonts w:ascii="Arial" w:hAnsi="Arial" w:cs="Arial"/>
        </w:rPr>
      </w:pPr>
      <w:r w:rsidRPr="00105301">
        <w:rPr>
          <w:rFonts w:ascii="Arial" w:hAnsi="Arial" w:cs="Arial"/>
        </w:rPr>
        <w:t>KPMG’nin küresel çapta fintech’lere yatırımları mercek altına aldığı “Pulse of Fintech” raporuna göre</w:t>
      </w:r>
      <w:r w:rsidRPr="00105301" w:rsidR="000E7072">
        <w:rPr>
          <w:rFonts w:ascii="Arial" w:hAnsi="Arial" w:cs="Arial"/>
        </w:rPr>
        <w:t>;</w:t>
      </w:r>
      <w:r w:rsidRPr="00105301">
        <w:rPr>
          <w:rFonts w:ascii="Arial" w:hAnsi="Arial" w:cs="Arial"/>
        </w:rPr>
        <w:t xml:space="preserve"> </w:t>
      </w:r>
      <w:r w:rsidRPr="003017FF" w:rsidR="003017FF">
        <w:rPr>
          <w:rFonts w:ascii="Arial" w:hAnsi="Arial" w:cs="Arial"/>
        </w:rPr>
        <w:t xml:space="preserve">2023 yılı, hem toplam fintech yatırımı (113,7 milyar </w:t>
      </w:r>
      <w:r w:rsidR="007A76B6">
        <w:rPr>
          <w:rFonts w:ascii="Arial" w:hAnsi="Arial" w:cs="Arial"/>
        </w:rPr>
        <w:t>dolar</w:t>
      </w:r>
      <w:r w:rsidRPr="003017FF" w:rsidR="003017FF">
        <w:rPr>
          <w:rFonts w:ascii="Arial" w:hAnsi="Arial" w:cs="Arial"/>
        </w:rPr>
        <w:t xml:space="preserve">) hem de fintech anlaşmalarının sayısı (4.547) </w:t>
      </w:r>
      <w:r w:rsidR="007A76B6">
        <w:rPr>
          <w:rFonts w:ascii="Arial" w:hAnsi="Arial" w:cs="Arial"/>
        </w:rPr>
        <w:t xml:space="preserve">bakımından </w:t>
      </w:r>
      <w:r w:rsidRPr="003017FF" w:rsidR="003017FF">
        <w:rPr>
          <w:rFonts w:ascii="Arial" w:hAnsi="Arial" w:cs="Arial"/>
        </w:rPr>
        <w:t xml:space="preserve">2017'den bu yana en zayıf sonuçların </w:t>
      </w:r>
      <w:r w:rsidR="007A76B6">
        <w:rPr>
          <w:rFonts w:ascii="Arial" w:hAnsi="Arial" w:cs="Arial"/>
        </w:rPr>
        <w:t xml:space="preserve">görüldü yıl oldu. </w:t>
      </w:r>
      <w:r w:rsidRPr="003017FF" w:rsidR="003017FF">
        <w:rPr>
          <w:rFonts w:ascii="Arial" w:hAnsi="Arial" w:cs="Arial"/>
        </w:rPr>
        <w:t>Yüksek faiz ortamı ve birçok ülkede yüksek seyreden enflasyondan Ukrayna ve Orta Doğu'daki çatışmalara kadar bir dizi küresel zorluk, değerlemelerle ilgili endişeler</w:t>
      </w:r>
      <w:r w:rsidR="007A76B6">
        <w:rPr>
          <w:rFonts w:ascii="Arial" w:hAnsi="Arial" w:cs="Arial"/>
        </w:rPr>
        <w:t xml:space="preserve">le </w:t>
      </w:r>
      <w:r w:rsidRPr="003017FF" w:rsidR="003017FF">
        <w:rPr>
          <w:rFonts w:ascii="Arial" w:hAnsi="Arial" w:cs="Arial"/>
        </w:rPr>
        <w:t>birleşince fintech yatırımcıları yatırımlarında giderek daha temkinli davranmaya başladı.</w:t>
      </w:r>
    </w:p>
    <w:p w:rsidR="00105301" w:rsidP="00434392" w:rsidRDefault="00105301" w14:paraId="390BEC26" w14:textId="77777777">
      <w:pPr>
        <w:spacing w:after="0" w:line="300" w:lineRule="auto"/>
        <w:contextualSpacing/>
        <w:jc w:val="both"/>
        <w:rPr>
          <w:rFonts w:ascii="Arial" w:hAnsi="Arial" w:cs="Arial"/>
        </w:rPr>
      </w:pPr>
    </w:p>
    <w:p w:rsidRPr="00105301" w:rsidR="00105301" w:rsidP="007A76B6" w:rsidRDefault="007A76B6" w14:paraId="717D7D2A" w14:textId="1446EA56">
      <w:pPr>
        <w:spacing w:after="0" w:line="300" w:lineRule="auto"/>
        <w:contextualSpacing/>
        <w:jc w:val="both"/>
        <w:rPr>
          <w:rFonts w:ascii="Arial" w:hAnsi="Arial" w:cs="Arial"/>
        </w:rPr>
      </w:pPr>
      <w:r w:rsidRPr="007A76B6">
        <w:rPr>
          <w:rFonts w:ascii="Arial" w:hAnsi="Arial" w:cs="Arial"/>
        </w:rPr>
        <w:t xml:space="preserve">Fintech yatırımlarında </w:t>
      </w:r>
      <w:r>
        <w:rPr>
          <w:rFonts w:ascii="Arial" w:hAnsi="Arial" w:cs="Arial"/>
        </w:rPr>
        <w:t xml:space="preserve">yıllık </w:t>
      </w:r>
      <w:r w:rsidRPr="007A76B6">
        <w:rPr>
          <w:rFonts w:ascii="Arial" w:hAnsi="Arial" w:cs="Arial"/>
        </w:rPr>
        <w:t>düşüş tüm bölgelerde gerçekleşirken Asya Pasifik bölgesi (</w:t>
      </w:r>
      <w:proofErr w:type="spellStart"/>
      <w:r w:rsidRPr="007A76B6">
        <w:rPr>
          <w:rFonts w:ascii="Arial" w:hAnsi="Arial" w:cs="Arial"/>
        </w:rPr>
        <w:t>ASPAC</w:t>
      </w:r>
      <w:proofErr w:type="spellEnd"/>
      <w:r w:rsidRPr="007A76B6">
        <w:rPr>
          <w:rFonts w:ascii="Arial" w:hAnsi="Arial" w:cs="Arial"/>
        </w:rPr>
        <w:t>) en büyük düşüşü yaşa</w:t>
      </w:r>
      <w:r>
        <w:rPr>
          <w:rFonts w:ascii="Arial" w:hAnsi="Arial" w:cs="Arial"/>
        </w:rPr>
        <w:t xml:space="preserve">yan bölge oldu. Burada </w:t>
      </w:r>
      <w:r w:rsidRPr="007A76B6">
        <w:rPr>
          <w:rFonts w:ascii="Arial" w:hAnsi="Arial" w:cs="Arial"/>
        </w:rPr>
        <w:t>2022'de 51,3 milyar dolar</w:t>
      </w:r>
      <w:r>
        <w:rPr>
          <w:rFonts w:ascii="Arial" w:hAnsi="Arial" w:cs="Arial"/>
        </w:rPr>
        <w:t xml:space="preserve"> olan yatırımlar</w:t>
      </w:r>
      <w:r w:rsidRPr="007A76B6">
        <w:rPr>
          <w:rFonts w:ascii="Arial" w:hAnsi="Arial" w:cs="Arial"/>
        </w:rPr>
        <w:t xml:space="preserve"> 2023'te 10,8 milyar dolara</w:t>
      </w:r>
      <w:r>
        <w:rPr>
          <w:rFonts w:ascii="Arial" w:hAnsi="Arial" w:cs="Arial"/>
        </w:rPr>
        <w:t xml:space="preserve"> kadar geriledi</w:t>
      </w:r>
      <w:r w:rsidRPr="007A76B6">
        <w:rPr>
          <w:rFonts w:ascii="Arial" w:hAnsi="Arial" w:cs="Arial"/>
        </w:rPr>
        <w:t xml:space="preserve">. Avrupa, Orta Doğu ve Afrika'da (EMEA) </w:t>
      </w:r>
      <w:r>
        <w:rPr>
          <w:rFonts w:ascii="Arial" w:hAnsi="Arial" w:cs="Arial"/>
        </w:rPr>
        <w:t xml:space="preserve">ise </w:t>
      </w:r>
      <w:r w:rsidRPr="007A76B6">
        <w:rPr>
          <w:rFonts w:ascii="Arial" w:hAnsi="Arial" w:cs="Arial"/>
        </w:rPr>
        <w:t xml:space="preserve">yatırımlar aynı </w:t>
      </w:r>
      <w:r>
        <w:rPr>
          <w:rFonts w:ascii="Arial" w:hAnsi="Arial" w:cs="Arial"/>
        </w:rPr>
        <w:t xml:space="preserve">dönemde </w:t>
      </w:r>
      <w:r w:rsidRPr="007A76B6">
        <w:rPr>
          <w:rFonts w:ascii="Arial" w:hAnsi="Arial" w:cs="Arial"/>
        </w:rPr>
        <w:t xml:space="preserve">49,6 milyar dolardan 24,5 milyar dolara </w:t>
      </w:r>
      <w:r>
        <w:rPr>
          <w:rFonts w:ascii="Arial" w:hAnsi="Arial" w:cs="Arial"/>
        </w:rPr>
        <w:t>düştü</w:t>
      </w:r>
      <w:r w:rsidRPr="007A76B6">
        <w:rPr>
          <w:rFonts w:ascii="Arial" w:hAnsi="Arial" w:cs="Arial"/>
        </w:rPr>
        <w:t>. Amerika kıtası</w:t>
      </w:r>
      <w:r>
        <w:rPr>
          <w:rFonts w:ascii="Arial" w:hAnsi="Arial" w:cs="Arial"/>
        </w:rPr>
        <w:t xml:space="preserve">nda </w:t>
      </w:r>
      <w:r w:rsidRPr="007A76B6">
        <w:rPr>
          <w:rFonts w:ascii="Arial" w:hAnsi="Arial" w:cs="Arial"/>
        </w:rPr>
        <w:t>2022'de 95,4 milyar dolar olan fintech yatırımı 2023'te 78,3 milyar dolara</w:t>
      </w:r>
      <w:r>
        <w:rPr>
          <w:rFonts w:ascii="Arial" w:hAnsi="Arial" w:cs="Arial"/>
        </w:rPr>
        <w:t xml:space="preserve"> geriledi. </w:t>
      </w:r>
    </w:p>
    <w:p w:rsidRPr="00105301" w:rsidR="00105301" w:rsidP="00434392" w:rsidRDefault="00105301" w14:paraId="4F4CE47B" w14:textId="77777777">
      <w:pPr>
        <w:spacing w:after="0" w:line="300" w:lineRule="auto"/>
        <w:contextualSpacing/>
        <w:jc w:val="both"/>
        <w:rPr>
          <w:rFonts w:ascii="Arial" w:hAnsi="Arial" w:cs="Arial"/>
        </w:rPr>
      </w:pPr>
    </w:p>
    <w:p w:rsidRPr="00105301" w:rsidR="000D51BF" w:rsidP="00434392" w:rsidRDefault="002B6279" w14:paraId="65A0DD2A" w14:textId="139917A7">
      <w:pPr>
        <w:spacing w:after="0" w:line="300" w:lineRule="auto"/>
        <w:contextualSpacing/>
        <w:jc w:val="both"/>
        <w:rPr>
          <w:rFonts w:ascii="Arial" w:hAnsi="Arial" w:cs="Arial"/>
        </w:rPr>
      </w:pPr>
      <w:r w:rsidRPr="00105301">
        <w:rPr>
          <w:rFonts w:ascii="Arial" w:hAnsi="Arial" w:cs="Arial"/>
        </w:rPr>
        <w:t xml:space="preserve">Konuyla ilgili açıklamada bulunan </w:t>
      </w:r>
      <w:r w:rsidRPr="00105301">
        <w:rPr>
          <w:rFonts w:ascii="Arial" w:hAnsi="Arial" w:cs="Arial"/>
          <w:b/>
          <w:bCs/>
        </w:rPr>
        <w:t>KPMG Türkiye Fintech ve Dijital Finans Lideri Sinem Cantürk</w:t>
      </w:r>
      <w:r w:rsidRPr="00105301">
        <w:rPr>
          <w:rFonts w:ascii="Arial" w:hAnsi="Arial" w:cs="Arial"/>
        </w:rPr>
        <w:t xml:space="preserve">, </w:t>
      </w:r>
      <w:r w:rsidRPr="00105301" w:rsidR="000D51BF">
        <w:rPr>
          <w:rFonts w:ascii="Arial" w:hAnsi="Arial" w:cs="Arial"/>
        </w:rPr>
        <w:t>“</w:t>
      </w:r>
      <w:r w:rsidRPr="008F7AB6" w:rsidR="008F7AB6">
        <w:rPr>
          <w:rFonts w:ascii="Arial" w:hAnsi="Arial" w:cs="Arial"/>
        </w:rPr>
        <w:t>Fintech piyasası 2023'te oldukça zor</w:t>
      </w:r>
      <w:r w:rsidR="007D08E0">
        <w:rPr>
          <w:rFonts w:ascii="Arial" w:hAnsi="Arial" w:cs="Arial"/>
        </w:rPr>
        <w:t xml:space="preserve"> bir geçirdik. </w:t>
      </w:r>
      <w:r w:rsidRPr="008F7AB6" w:rsidR="008F7AB6">
        <w:rPr>
          <w:rFonts w:ascii="Arial" w:hAnsi="Arial" w:cs="Arial"/>
        </w:rPr>
        <w:t xml:space="preserve">İyi anlaşmalar olsa da fintech yatırımcıları iş modellerinin uygulanabilirliğine ve kârlılığa keskin bir şekilde odaklanarak potansiyel anlaşmalara yönelik incelemelerini artırdı. Hem 2023'ün tamamına hem de özellikle </w:t>
      </w:r>
      <w:r w:rsidR="007D08E0">
        <w:rPr>
          <w:rFonts w:ascii="Arial" w:hAnsi="Arial" w:cs="Arial"/>
        </w:rPr>
        <w:t xml:space="preserve">ikinci yarısına </w:t>
      </w:r>
      <w:r w:rsidRPr="008F7AB6" w:rsidR="008F7AB6">
        <w:rPr>
          <w:rFonts w:ascii="Arial" w:hAnsi="Arial" w:cs="Arial"/>
        </w:rPr>
        <w:t>bakıldığında, fintech yatırımcı</w:t>
      </w:r>
      <w:r w:rsidR="007D08E0">
        <w:rPr>
          <w:rFonts w:ascii="Arial" w:hAnsi="Arial" w:cs="Arial"/>
        </w:rPr>
        <w:t>larının</w:t>
      </w:r>
      <w:r w:rsidRPr="008F7AB6" w:rsidR="008F7AB6">
        <w:rPr>
          <w:rFonts w:ascii="Arial" w:hAnsi="Arial" w:cs="Arial"/>
        </w:rPr>
        <w:t xml:space="preserve"> duyarlılığı </w:t>
      </w:r>
      <w:r w:rsidR="007D08E0">
        <w:rPr>
          <w:rFonts w:ascii="Arial" w:hAnsi="Arial" w:cs="Arial"/>
        </w:rPr>
        <w:t xml:space="preserve">temkinli </w:t>
      </w:r>
      <w:r w:rsidRPr="008F7AB6" w:rsidR="008F7AB6">
        <w:rPr>
          <w:rFonts w:ascii="Arial" w:hAnsi="Arial" w:cs="Arial"/>
        </w:rPr>
        <w:t>olarak nitelendirilebilir.</w:t>
      </w:r>
      <w:r w:rsidR="007D08E0">
        <w:rPr>
          <w:rFonts w:ascii="Arial" w:hAnsi="Arial" w:cs="Arial"/>
        </w:rPr>
        <w:t xml:space="preserve"> </w:t>
      </w:r>
      <w:r w:rsidRPr="008F7AB6" w:rsidR="008F7AB6">
        <w:rPr>
          <w:rFonts w:ascii="Arial" w:hAnsi="Arial" w:cs="Arial"/>
        </w:rPr>
        <w:t>2024'ün ilk yarısına bakıldığında</w:t>
      </w:r>
      <w:r w:rsidR="007D08E0">
        <w:rPr>
          <w:rFonts w:ascii="Arial" w:hAnsi="Arial" w:cs="Arial"/>
        </w:rPr>
        <w:t xml:space="preserve"> ise </w:t>
      </w:r>
      <w:r w:rsidRPr="008F7AB6" w:rsidR="008F7AB6">
        <w:rPr>
          <w:rFonts w:ascii="Arial" w:hAnsi="Arial" w:cs="Arial"/>
        </w:rPr>
        <w:t>küresel olarak fintech sektörüne yatırım</w:t>
      </w:r>
      <w:r w:rsidR="007D08E0">
        <w:rPr>
          <w:rFonts w:ascii="Arial" w:hAnsi="Arial" w:cs="Arial"/>
        </w:rPr>
        <w:t>ların</w:t>
      </w:r>
      <w:r w:rsidRPr="008F7AB6" w:rsidR="008F7AB6">
        <w:rPr>
          <w:rFonts w:ascii="Arial" w:hAnsi="Arial" w:cs="Arial"/>
        </w:rPr>
        <w:t xml:space="preserve"> nispeten </w:t>
      </w:r>
      <w:r w:rsidR="007D08E0">
        <w:rPr>
          <w:rFonts w:ascii="Arial" w:hAnsi="Arial" w:cs="Arial"/>
        </w:rPr>
        <w:t xml:space="preserve">ılımlı </w:t>
      </w:r>
      <w:r w:rsidRPr="008F7AB6" w:rsidR="008F7AB6">
        <w:rPr>
          <w:rFonts w:ascii="Arial" w:hAnsi="Arial" w:cs="Arial"/>
        </w:rPr>
        <w:t>kalması</w:t>
      </w:r>
      <w:r w:rsidR="007D08E0">
        <w:rPr>
          <w:rFonts w:ascii="Arial" w:hAnsi="Arial" w:cs="Arial"/>
        </w:rPr>
        <w:t>nı</w:t>
      </w:r>
      <w:r w:rsidRPr="008F7AB6" w:rsidR="008F7AB6">
        <w:rPr>
          <w:rFonts w:ascii="Arial" w:hAnsi="Arial" w:cs="Arial"/>
        </w:rPr>
        <w:t xml:space="preserve"> beklenmekle birlikte, faiz oranları düştükçe yatırımın artmaya başlayacağı</w:t>
      </w:r>
      <w:r w:rsidR="007D08E0">
        <w:rPr>
          <w:rFonts w:ascii="Arial" w:hAnsi="Arial" w:cs="Arial"/>
        </w:rPr>
        <w:t>nı</w:t>
      </w:r>
      <w:r w:rsidRPr="008F7AB6" w:rsidR="008F7AB6">
        <w:rPr>
          <w:rFonts w:ascii="Arial" w:hAnsi="Arial" w:cs="Arial"/>
        </w:rPr>
        <w:t xml:space="preserve"> </w:t>
      </w:r>
      <w:r w:rsidR="007D08E0">
        <w:rPr>
          <w:rFonts w:ascii="Arial" w:hAnsi="Arial" w:cs="Arial"/>
        </w:rPr>
        <w:t>tahmin ediyoruz</w:t>
      </w:r>
      <w:r w:rsidRPr="008F7AB6" w:rsidR="008F7AB6">
        <w:rPr>
          <w:rFonts w:ascii="Arial" w:hAnsi="Arial" w:cs="Arial"/>
        </w:rPr>
        <w:t xml:space="preserve">. </w:t>
      </w:r>
      <w:r w:rsidR="007D08E0">
        <w:rPr>
          <w:rFonts w:ascii="Arial" w:hAnsi="Arial" w:cs="Arial"/>
        </w:rPr>
        <w:t>Yatırımlarda y</w:t>
      </w:r>
      <w:r w:rsidRPr="008F7AB6" w:rsidR="008F7AB6">
        <w:rPr>
          <w:rFonts w:ascii="Arial" w:hAnsi="Arial" w:cs="Arial"/>
        </w:rPr>
        <w:t xml:space="preserve">apay </w:t>
      </w:r>
      <w:r w:rsidR="007D08E0">
        <w:rPr>
          <w:rFonts w:ascii="Arial" w:hAnsi="Arial" w:cs="Arial"/>
        </w:rPr>
        <w:t>zekâ</w:t>
      </w:r>
      <w:r w:rsidRPr="008F7AB6" w:rsidR="008F7AB6">
        <w:rPr>
          <w:rFonts w:ascii="Arial" w:hAnsi="Arial" w:cs="Arial"/>
        </w:rPr>
        <w:t>, B2B çözümlerine ek olarak muhtemelen önemli bir odak noktası olmaya devam edecek.</w:t>
      </w:r>
      <w:r w:rsidR="007D08E0">
        <w:rPr>
          <w:rFonts w:ascii="Arial" w:hAnsi="Arial" w:cs="Arial"/>
        </w:rPr>
        <w:t>” dedi.</w:t>
      </w:r>
    </w:p>
    <w:p w:rsidR="002B6279" w:rsidP="00434392" w:rsidRDefault="002B6279" w14:paraId="16BD0F9A" w14:textId="77777777">
      <w:pPr>
        <w:spacing w:after="0" w:line="300" w:lineRule="auto"/>
        <w:contextualSpacing/>
        <w:jc w:val="both"/>
        <w:rPr>
          <w:rFonts w:ascii="Arial" w:hAnsi="Arial" w:cs="Arial"/>
        </w:rPr>
      </w:pPr>
    </w:p>
    <w:p w:rsidRPr="007377DB" w:rsidR="007377DB" w:rsidP="002B6279" w:rsidRDefault="007D08E0" w14:paraId="213CF974" w14:textId="7AB29ADA">
      <w:pPr>
        <w:spacing w:after="0" w:line="300" w:lineRule="auto"/>
        <w:contextualSpacing/>
        <w:jc w:val="both"/>
        <w:rPr>
          <w:rFonts w:ascii="Arial" w:hAnsi="Arial" w:cs="Arial"/>
          <w:b/>
        </w:rPr>
      </w:pPr>
      <w:r>
        <w:rPr>
          <w:rFonts w:ascii="Arial" w:hAnsi="Arial" w:cs="Arial"/>
          <w:b/>
        </w:rPr>
        <w:t xml:space="preserve">İkinci yarıda </w:t>
      </w:r>
      <w:r w:rsidRPr="007D08E0">
        <w:rPr>
          <w:rFonts w:ascii="Arial" w:hAnsi="Arial" w:cs="Arial"/>
          <w:b/>
        </w:rPr>
        <w:t xml:space="preserve">küresel fintech yatırımlarında 1 milyar </w:t>
      </w:r>
      <w:r>
        <w:rPr>
          <w:rFonts w:ascii="Arial" w:hAnsi="Arial" w:cs="Arial"/>
          <w:b/>
        </w:rPr>
        <w:t xml:space="preserve">doların üzerinde altı </w:t>
      </w:r>
      <w:r w:rsidRPr="007D08E0">
        <w:rPr>
          <w:rFonts w:ascii="Arial" w:hAnsi="Arial" w:cs="Arial"/>
          <w:b/>
        </w:rPr>
        <w:t xml:space="preserve">anlaşma </w:t>
      </w:r>
      <w:r>
        <w:rPr>
          <w:rFonts w:ascii="Arial" w:hAnsi="Arial" w:cs="Arial"/>
          <w:b/>
        </w:rPr>
        <w:t>yapıldı</w:t>
      </w:r>
    </w:p>
    <w:p w:rsidR="002B6279" w:rsidP="002B6279" w:rsidRDefault="007D08E0" w14:paraId="78A694CF" w14:textId="568BE7F2">
      <w:pPr>
        <w:spacing w:after="0" w:line="300" w:lineRule="auto"/>
        <w:contextualSpacing/>
        <w:jc w:val="both"/>
        <w:rPr>
          <w:rFonts w:ascii="Arial" w:hAnsi="Arial" w:cs="Arial"/>
          <w:bCs/>
        </w:rPr>
      </w:pPr>
      <w:r w:rsidRPr="007D08E0">
        <w:rPr>
          <w:rFonts w:ascii="Arial" w:hAnsi="Arial" w:cs="Arial"/>
          <w:bCs/>
        </w:rPr>
        <w:t xml:space="preserve">Fintech yatırımları küresel </w:t>
      </w:r>
      <w:r>
        <w:rPr>
          <w:rFonts w:ascii="Arial" w:hAnsi="Arial" w:cs="Arial"/>
          <w:bCs/>
        </w:rPr>
        <w:t xml:space="preserve">çapta </w:t>
      </w:r>
      <w:r>
        <w:rPr>
          <w:rFonts w:ascii="Arial" w:hAnsi="Arial" w:cs="Arial"/>
          <w:bCs/>
        </w:rPr>
        <w:t xml:space="preserve">geçen yılın </w:t>
      </w:r>
      <w:r w:rsidRPr="007D08E0">
        <w:rPr>
          <w:rFonts w:ascii="Arial" w:hAnsi="Arial" w:cs="Arial"/>
          <w:bCs/>
        </w:rPr>
        <w:t xml:space="preserve">ilk ve ikinci yarısı arasında </w:t>
      </w:r>
      <w:r w:rsidR="002256D3">
        <w:rPr>
          <w:rFonts w:ascii="Arial" w:hAnsi="Arial" w:cs="Arial"/>
          <w:bCs/>
        </w:rPr>
        <w:t xml:space="preserve">ise </w:t>
      </w:r>
      <w:r w:rsidRPr="007D08E0">
        <w:rPr>
          <w:rFonts w:ascii="Arial" w:hAnsi="Arial" w:cs="Arial"/>
          <w:bCs/>
        </w:rPr>
        <w:t xml:space="preserve">hafif bir artış </w:t>
      </w:r>
      <w:r>
        <w:rPr>
          <w:rFonts w:ascii="Arial" w:hAnsi="Arial" w:cs="Arial"/>
          <w:bCs/>
        </w:rPr>
        <w:t xml:space="preserve">gösterdi. Yılın ilk yarısında </w:t>
      </w:r>
      <w:r w:rsidRPr="007D08E0">
        <w:rPr>
          <w:rFonts w:ascii="Arial" w:hAnsi="Arial" w:cs="Arial"/>
          <w:bCs/>
        </w:rPr>
        <w:t>55,5 milyar dolar</w:t>
      </w:r>
      <w:r>
        <w:rPr>
          <w:rFonts w:ascii="Arial" w:hAnsi="Arial" w:cs="Arial"/>
          <w:bCs/>
        </w:rPr>
        <w:t xml:space="preserve"> olan yatırımlar</w:t>
      </w:r>
      <w:r w:rsidRPr="007D08E0">
        <w:rPr>
          <w:rFonts w:ascii="Arial" w:hAnsi="Arial" w:cs="Arial"/>
          <w:bCs/>
        </w:rPr>
        <w:t xml:space="preserve"> </w:t>
      </w:r>
      <w:r>
        <w:rPr>
          <w:rFonts w:ascii="Arial" w:hAnsi="Arial" w:cs="Arial"/>
          <w:bCs/>
        </w:rPr>
        <w:t xml:space="preserve">ikinci yarıda </w:t>
      </w:r>
      <w:r w:rsidRPr="007D08E0">
        <w:rPr>
          <w:rFonts w:ascii="Arial" w:hAnsi="Arial" w:cs="Arial"/>
          <w:bCs/>
        </w:rPr>
        <w:t>58,2 milyar dolara yükseldi.</w:t>
      </w:r>
      <w:r>
        <w:rPr>
          <w:rFonts w:ascii="Arial" w:hAnsi="Arial" w:cs="Arial"/>
          <w:bCs/>
        </w:rPr>
        <w:t xml:space="preserve"> </w:t>
      </w:r>
      <w:r w:rsidRPr="007D08E0">
        <w:rPr>
          <w:rFonts w:ascii="Arial" w:hAnsi="Arial" w:cs="Arial"/>
          <w:bCs/>
        </w:rPr>
        <w:t xml:space="preserve">ABD merkezli Black Knight'ın </w:t>
      </w:r>
      <w:proofErr w:type="spellStart"/>
      <w:r w:rsidRPr="007D08E0">
        <w:rPr>
          <w:rFonts w:ascii="Arial" w:hAnsi="Arial" w:cs="Arial"/>
          <w:bCs/>
        </w:rPr>
        <w:t>Intercontinental</w:t>
      </w:r>
      <w:proofErr w:type="spellEnd"/>
      <w:r w:rsidRPr="007D08E0">
        <w:rPr>
          <w:rFonts w:ascii="Arial" w:hAnsi="Arial" w:cs="Arial"/>
          <w:bCs/>
        </w:rPr>
        <w:t xml:space="preserve"> Exchange tarafından 11,7 milyar dolara satın alınması, ABD merkezli </w:t>
      </w:r>
      <w:proofErr w:type="spellStart"/>
      <w:r w:rsidRPr="007D08E0">
        <w:rPr>
          <w:rFonts w:ascii="Arial" w:hAnsi="Arial" w:cs="Arial"/>
          <w:bCs/>
        </w:rPr>
        <w:t>Adenza'nın</w:t>
      </w:r>
      <w:proofErr w:type="spellEnd"/>
      <w:r w:rsidRPr="007D08E0">
        <w:rPr>
          <w:rFonts w:ascii="Arial" w:hAnsi="Arial" w:cs="Arial"/>
          <w:bCs/>
        </w:rPr>
        <w:t xml:space="preserve"> </w:t>
      </w:r>
      <w:proofErr w:type="spellStart"/>
      <w:r w:rsidRPr="007D08E0">
        <w:rPr>
          <w:rFonts w:ascii="Arial" w:hAnsi="Arial" w:cs="Arial"/>
          <w:bCs/>
        </w:rPr>
        <w:t>Nasdaq</w:t>
      </w:r>
      <w:proofErr w:type="spellEnd"/>
      <w:r w:rsidRPr="007D08E0">
        <w:rPr>
          <w:rFonts w:ascii="Arial" w:hAnsi="Arial" w:cs="Arial"/>
          <w:bCs/>
        </w:rPr>
        <w:t xml:space="preserve"> tarafından 10,5 milyar dolara satın alınması, İngiltere merkezli </w:t>
      </w:r>
      <w:proofErr w:type="spellStart"/>
      <w:r w:rsidRPr="007D08E0">
        <w:rPr>
          <w:rFonts w:ascii="Arial" w:hAnsi="Arial" w:cs="Arial"/>
          <w:bCs/>
        </w:rPr>
        <w:t>Finastra'nın</w:t>
      </w:r>
      <w:proofErr w:type="spellEnd"/>
      <w:r w:rsidRPr="007D08E0">
        <w:rPr>
          <w:rFonts w:ascii="Arial" w:hAnsi="Arial" w:cs="Arial"/>
          <w:bCs/>
        </w:rPr>
        <w:t xml:space="preserve"> 6,9 milyar dolarlık </w:t>
      </w:r>
      <w:r>
        <w:rPr>
          <w:rFonts w:ascii="Arial" w:hAnsi="Arial" w:cs="Arial"/>
          <w:bCs/>
        </w:rPr>
        <w:t xml:space="preserve">özel sermaye </w:t>
      </w:r>
      <w:r w:rsidRPr="007D08E0">
        <w:rPr>
          <w:rFonts w:ascii="Arial" w:hAnsi="Arial" w:cs="Arial"/>
          <w:bCs/>
        </w:rPr>
        <w:t xml:space="preserve">artırımı, ABD merkezli </w:t>
      </w:r>
      <w:proofErr w:type="spellStart"/>
      <w:r w:rsidRPr="007D08E0">
        <w:rPr>
          <w:rFonts w:ascii="Arial" w:hAnsi="Arial" w:cs="Arial"/>
          <w:bCs/>
        </w:rPr>
        <w:lastRenderedPageBreak/>
        <w:t>Avantax'ın</w:t>
      </w:r>
      <w:proofErr w:type="spellEnd"/>
      <w:r w:rsidRPr="007D08E0">
        <w:rPr>
          <w:rFonts w:ascii="Arial" w:hAnsi="Arial" w:cs="Arial"/>
          <w:bCs/>
        </w:rPr>
        <w:t xml:space="preserve"> </w:t>
      </w:r>
      <w:proofErr w:type="spellStart"/>
      <w:r w:rsidRPr="007D08E0">
        <w:rPr>
          <w:rFonts w:ascii="Arial" w:hAnsi="Arial" w:cs="Arial"/>
          <w:bCs/>
        </w:rPr>
        <w:t>Cetera</w:t>
      </w:r>
      <w:proofErr w:type="spellEnd"/>
      <w:r w:rsidRPr="007D08E0">
        <w:rPr>
          <w:rFonts w:ascii="Arial" w:hAnsi="Arial" w:cs="Arial"/>
          <w:bCs/>
        </w:rPr>
        <w:t xml:space="preserve"> tarafından 1,2 milyar dolara satın alınması, Kaliforniya merkezli </w:t>
      </w:r>
      <w:proofErr w:type="spellStart"/>
      <w:r w:rsidRPr="007D08E0">
        <w:rPr>
          <w:rFonts w:ascii="Arial" w:hAnsi="Arial" w:cs="Arial"/>
          <w:bCs/>
        </w:rPr>
        <w:t>Generate'in</w:t>
      </w:r>
      <w:proofErr w:type="spellEnd"/>
      <w:r w:rsidRPr="007D08E0">
        <w:rPr>
          <w:rFonts w:ascii="Arial" w:hAnsi="Arial" w:cs="Arial"/>
          <w:bCs/>
        </w:rPr>
        <w:t xml:space="preserve"> 1 milyar dolarlık </w:t>
      </w:r>
      <w:r>
        <w:rPr>
          <w:rFonts w:ascii="Arial" w:hAnsi="Arial" w:cs="Arial"/>
          <w:bCs/>
        </w:rPr>
        <w:t xml:space="preserve">girişim sermayesi </w:t>
      </w:r>
      <w:r w:rsidRPr="007D08E0">
        <w:rPr>
          <w:rFonts w:ascii="Arial" w:hAnsi="Arial" w:cs="Arial"/>
          <w:bCs/>
        </w:rPr>
        <w:t xml:space="preserve">artırımı ve Brezilya merkezli </w:t>
      </w:r>
      <w:proofErr w:type="spellStart"/>
      <w:r w:rsidRPr="007D08E0">
        <w:rPr>
          <w:rFonts w:ascii="Arial" w:hAnsi="Arial" w:cs="Arial"/>
          <w:bCs/>
        </w:rPr>
        <w:t>Pismo'nun</w:t>
      </w:r>
      <w:proofErr w:type="spellEnd"/>
      <w:r w:rsidRPr="007D08E0">
        <w:rPr>
          <w:rFonts w:ascii="Arial" w:hAnsi="Arial" w:cs="Arial"/>
          <w:bCs/>
        </w:rPr>
        <w:t xml:space="preserve"> Visa tarafından 1 milyar dolara satın alınması </w:t>
      </w:r>
      <w:r>
        <w:rPr>
          <w:rFonts w:ascii="Arial" w:hAnsi="Arial" w:cs="Arial"/>
          <w:bCs/>
        </w:rPr>
        <w:t xml:space="preserve">dâhil </w:t>
      </w:r>
      <w:r w:rsidRPr="007D08E0">
        <w:rPr>
          <w:rFonts w:ascii="Arial" w:hAnsi="Arial" w:cs="Arial"/>
          <w:bCs/>
        </w:rPr>
        <w:t xml:space="preserve">olmak üzere </w:t>
      </w:r>
      <w:r>
        <w:rPr>
          <w:rFonts w:ascii="Arial" w:hAnsi="Arial" w:cs="Arial"/>
          <w:bCs/>
        </w:rPr>
        <w:t xml:space="preserve">yılın ikinci yarısında bir </w:t>
      </w:r>
      <w:r w:rsidRPr="007D08E0">
        <w:rPr>
          <w:rFonts w:ascii="Arial" w:hAnsi="Arial" w:cs="Arial"/>
          <w:bCs/>
        </w:rPr>
        <w:t xml:space="preserve">milyar doların üzerinde </w:t>
      </w:r>
      <w:r>
        <w:rPr>
          <w:rFonts w:ascii="Arial" w:hAnsi="Arial" w:cs="Arial"/>
          <w:bCs/>
        </w:rPr>
        <w:t xml:space="preserve">altı </w:t>
      </w:r>
      <w:r w:rsidRPr="007D08E0">
        <w:rPr>
          <w:rFonts w:ascii="Arial" w:hAnsi="Arial" w:cs="Arial"/>
          <w:bCs/>
        </w:rPr>
        <w:t xml:space="preserve">anlaşma </w:t>
      </w:r>
      <w:r>
        <w:rPr>
          <w:rFonts w:ascii="Arial" w:hAnsi="Arial" w:cs="Arial"/>
          <w:bCs/>
        </w:rPr>
        <w:t>gerçekleşti</w:t>
      </w:r>
      <w:r w:rsidRPr="007D08E0">
        <w:rPr>
          <w:rFonts w:ascii="Arial" w:hAnsi="Arial" w:cs="Arial"/>
          <w:bCs/>
        </w:rPr>
        <w:t>.</w:t>
      </w:r>
    </w:p>
    <w:p w:rsidR="007377DB" w:rsidP="002B6279" w:rsidRDefault="007377DB" w14:paraId="0448EF9E" w14:textId="77777777">
      <w:pPr>
        <w:spacing w:after="0" w:line="300" w:lineRule="auto"/>
        <w:contextualSpacing/>
        <w:jc w:val="both"/>
        <w:rPr>
          <w:rFonts w:ascii="Arial" w:hAnsi="Arial" w:cs="Arial"/>
          <w:bCs/>
        </w:rPr>
      </w:pPr>
    </w:p>
    <w:p w:rsidRPr="007377DB" w:rsidR="007377DB" w:rsidP="002B6279" w:rsidRDefault="00782D3F" w14:paraId="3D9A6059" w14:textId="21931086">
      <w:pPr>
        <w:spacing w:after="0" w:line="300" w:lineRule="auto"/>
        <w:contextualSpacing/>
        <w:jc w:val="both"/>
        <w:rPr>
          <w:rFonts w:ascii="Arial" w:hAnsi="Arial" w:cs="Arial"/>
          <w:b/>
        </w:rPr>
      </w:pPr>
      <w:r>
        <w:rPr>
          <w:rFonts w:ascii="Arial" w:hAnsi="Arial" w:cs="Arial"/>
          <w:b/>
        </w:rPr>
        <w:t>Küresel fintech yatırımları 2023 yılında sert düştü</w:t>
      </w:r>
    </w:p>
    <w:p w:rsidR="007377DB" w:rsidP="00782D3F" w:rsidRDefault="00782D3F" w14:paraId="4FEA60D0" w14:textId="32C906BC">
      <w:pPr>
        <w:spacing w:after="0" w:line="300" w:lineRule="auto"/>
        <w:contextualSpacing/>
        <w:jc w:val="both"/>
        <w:rPr>
          <w:rFonts w:ascii="Arial" w:hAnsi="Arial" w:cs="Arial"/>
          <w:bCs/>
        </w:rPr>
      </w:pPr>
      <w:r w:rsidRPr="00782D3F">
        <w:rPr>
          <w:rFonts w:ascii="Arial" w:hAnsi="Arial" w:cs="Arial"/>
          <w:bCs/>
        </w:rPr>
        <w:t>Fintech'e yapılan küresel girişim sermayesi yatırım</w:t>
      </w:r>
      <w:r>
        <w:rPr>
          <w:rFonts w:ascii="Arial" w:hAnsi="Arial" w:cs="Arial"/>
          <w:bCs/>
        </w:rPr>
        <w:t>ları</w:t>
      </w:r>
      <w:r w:rsidRPr="00782D3F">
        <w:rPr>
          <w:rFonts w:ascii="Arial" w:hAnsi="Arial" w:cs="Arial"/>
          <w:bCs/>
        </w:rPr>
        <w:t xml:space="preserve"> hem bir önceki yıla göre (2022'de 88,8 milyar dolardan 2023'te 46,3 milyar dolara) hem de </w:t>
      </w:r>
      <w:r>
        <w:rPr>
          <w:rFonts w:ascii="Arial" w:hAnsi="Arial" w:cs="Arial"/>
          <w:bCs/>
        </w:rPr>
        <w:t xml:space="preserve">2023 yılının ilk yarısı </w:t>
      </w:r>
      <w:r w:rsidRPr="00782D3F">
        <w:rPr>
          <w:rFonts w:ascii="Arial" w:hAnsi="Arial" w:cs="Arial"/>
          <w:bCs/>
        </w:rPr>
        <w:t xml:space="preserve">(27,5 milyar dolar) ile </w:t>
      </w:r>
      <w:r>
        <w:rPr>
          <w:rFonts w:ascii="Arial" w:hAnsi="Arial" w:cs="Arial"/>
          <w:bCs/>
        </w:rPr>
        <w:t xml:space="preserve">ikinci yarısı </w:t>
      </w:r>
      <w:r w:rsidRPr="00782D3F">
        <w:rPr>
          <w:rFonts w:ascii="Arial" w:hAnsi="Arial" w:cs="Arial"/>
          <w:bCs/>
        </w:rPr>
        <w:t xml:space="preserve">(18,8 milyar dolar) arasında önemli ölçüde </w:t>
      </w:r>
      <w:r>
        <w:rPr>
          <w:rFonts w:ascii="Arial" w:hAnsi="Arial" w:cs="Arial"/>
          <w:bCs/>
        </w:rPr>
        <w:t>düştü</w:t>
      </w:r>
      <w:r w:rsidRPr="00782D3F">
        <w:rPr>
          <w:rFonts w:ascii="Arial" w:hAnsi="Arial" w:cs="Arial"/>
          <w:bCs/>
        </w:rPr>
        <w:t xml:space="preserve">. Risk sermayesi yatırımları tüm anlaşma aşamalarında </w:t>
      </w:r>
      <w:r>
        <w:rPr>
          <w:rFonts w:ascii="Arial" w:hAnsi="Arial" w:cs="Arial"/>
          <w:bCs/>
        </w:rPr>
        <w:t xml:space="preserve">azalsa da en fazla düşüş ileri aşama </w:t>
      </w:r>
      <w:r w:rsidRPr="00782D3F">
        <w:rPr>
          <w:rFonts w:ascii="Arial" w:hAnsi="Arial" w:cs="Arial"/>
          <w:bCs/>
        </w:rPr>
        <w:t>anlaşmalar</w:t>
      </w:r>
      <w:r>
        <w:rPr>
          <w:rFonts w:ascii="Arial" w:hAnsi="Arial" w:cs="Arial"/>
          <w:bCs/>
        </w:rPr>
        <w:t xml:space="preserve">da yaşandı ve </w:t>
      </w:r>
      <w:r w:rsidRPr="00782D3F">
        <w:rPr>
          <w:rFonts w:ascii="Arial" w:hAnsi="Arial" w:cs="Arial"/>
          <w:bCs/>
        </w:rPr>
        <w:t xml:space="preserve">2022'de 37,4 milyar dolardan 2023'te 14,1 milyar dolara geriledi. </w:t>
      </w:r>
      <w:r>
        <w:rPr>
          <w:rFonts w:ascii="Arial" w:hAnsi="Arial" w:cs="Arial"/>
          <w:bCs/>
        </w:rPr>
        <w:t>K</w:t>
      </w:r>
      <w:r w:rsidRPr="00782D3F">
        <w:rPr>
          <w:rFonts w:ascii="Arial" w:hAnsi="Arial" w:cs="Arial"/>
          <w:bCs/>
        </w:rPr>
        <w:t xml:space="preserve">üresel </w:t>
      </w:r>
      <w:r>
        <w:rPr>
          <w:rFonts w:ascii="Arial" w:hAnsi="Arial" w:cs="Arial"/>
          <w:bCs/>
        </w:rPr>
        <w:t xml:space="preserve">çapta girişim sermayesi </w:t>
      </w:r>
      <w:r w:rsidRPr="00782D3F">
        <w:rPr>
          <w:rFonts w:ascii="Arial" w:hAnsi="Arial" w:cs="Arial"/>
          <w:bCs/>
        </w:rPr>
        <w:t xml:space="preserve">yatırımcıları, başta yapay </w:t>
      </w:r>
      <w:r>
        <w:rPr>
          <w:rFonts w:ascii="Arial" w:hAnsi="Arial" w:cs="Arial"/>
          <w:bCs/>
        </w:rPr>
        <w:t xml:space="preserve">zekâ </w:t>
      </w:r>
      <w:r w:rsidRPr="00782D3F">
        <w:rPr>
          <w:rFonts w:ascii="Arial" w:hAnsi="Arial" w:cs="Arial"/>
          <w:bCs/>
        </w:rPr>
        <w:t>odaklı fintech çözümleri olmak üzere bir dizi alana ilgi göstermeye devam etti.</w:t>
      </w:r>
    </w:p>
    <w:p w:rsidR="007377DB" w:rsidP="002B6279" w:rsidRDefault="007377DB" w14:paraId="003C489F" w14:textId="77777777">
      <w:pPr>
        <w:spacing w:after="0" w:line="300" w:lineRule="auto"/>
        <w:contextualSpacing/>
        <w:jc w:val="both"/>
        <w:rPr>
          <w:rFonts w:ascii="Arial" w:hAnsi="Arial" w:cs="Arial"/>
          <w:bCs/>
        </w:rPr>
      </w:pPr>
    </w:p>
    <w:p w:rsidRPr="007377DB" w:rsidR="007377DB" w:rsidP="002B6279" w:rsidRDefault="00782D3F" w14:paraId="0E1F97D0" w14:textId="7ECDBD9E">
      <w:pPr>
        <w:spacing w:after="0" w:line="300" w:lineRule="auto"/>
        <w:contextualSpacing/>
        <w:jc w:val="both"/>
        <w:rPr>
          <w:rFonts w:ascii="Arial" w:hAnsi="Arial" w:cs="Arial"/>
          <w:b/>
        </w:rPr>
      </w:pPr>
      <w:r w:rsidRPr="00782D3F">
        <w:rPr>
          <w:rFonts w:ascii="Arial" w:hAnsi="Arial" w:cs="Arial"/>
          <w:b/>
        </w:rPr>
        <w:t>Gayrimenkul teknolojisi yatırımlarda rekor seviyeye ulaştı</w:t>
      </w:r>
    </w:p>
    <w:p w:rsidR="007377DB" w:rsidP="00782D3F" w:rsidRDefault="00782D3F" w14:paraId="4F3F08F9" w14:textId="5FC65F07">
      <w:pPr>
        <w:spacing w:after="0" w:line="300" w:lineRule="auto"/>
        <w:contextualSpacing/>
        <w:jc w:val="both"/>
        <w:rPr>
          <w:rFonts w:ascii="Arial" w:hAnsi="Arial" w:cs="Arial"/>
          <w:bCs/>
        </w:rPr>
      </w:pPr>
      <w:r w:rsidRPr="00782D3F">
        <w:rPr>
          <w:rFonts w:ascii="Arial" w:hAnsi="Arial" w:cs="Arial"/>
          <w:bCs/>
        </w:rPr>
        <w:t xml:space="preserve">Gayrimenkul teknolojisi sektörü 2023 yılında 13,4 milyar doların üzerinde </w:t>
      </w:r>
      <w:r>
        <w:rPr>
          <w:rFonts w:ascii="Arial" w:hAnsi="Arial" w:cs="Arial"/>
          <w:bCs/>
        </w:rPr>
        <w:t xml:space="preserve">yatırım </w:t>
      </w:r>
      <w:r w:rsidRPr="00782D3F">
        <w:rPr>
          <w:rFonts w:ascii="Arial" w:hAnsi="Arial" w:cs="Arial"/>
          <w:bCs/>
        </w:rPr>
        <w:t xml:space="preserve">ile yeni bir zirve yaptı. Bu </w:t>
      </w:r>
      <w:r>
        <w:rPr>
          <w:rFonts w:ascii="Arial" w:hAnsi="Arial" w:cs="Arial"/>
          <w:bCs/>
        </w:rPr>
        <w:t xml:space="preserve">artış </w:t>
      </w:r>
      <w:r w:rsidRPr="00782D3F">
        <w:rPr>
          <w:rFonts w:ascii="Arial" w:hAnsi="Arial" w:cs="Arial"/>
          <w:bCs/>
        </w:rPr>
        <w:t>esas olarak Black Knight'ın 11,7 milyar dolarlık satın alımından kaynaklan</w:t>
      </w:r>
      <w:r>
        <w:rPr>
          <w:rFonts w:ascii="Arial" w:hAnsi="Arial" w:cs="Arial"/>
          <w:bCs/>
        </w:rPr>
        <w:t xml:space="preserve">dı. </w:t>
      </w:r>
      <w:r w:rsidRPr="00782D3F">
        <w:rPr>
          <w:rFonts w:ascii="Arial" w:hAnsi="Arial" w:cs="Arial"/>
          <w:bCs/>
        </w:rPr>
        <w:t>Gayrimenkul teknolojisi</w:t>
      </w:r>
      <w:r>
        <w:rPr>
          <w:rFonts w:ascii="Arial" w:hAnsi="Arial" w:cs="Arial"/>
          <w:bCs/>
        </w:rPr>
        <w:t xml:space="preserve"> </w:t>
      </w:r>
      <w:r w:rsidRPr="00782D3F">
        <w:rPr>
          <w:rFonts w:ascii="Arial" w:hAnsi="Arial" w:cs="Arial"/>
          <w:bCs/>
        </w:rPr>
        <w:t xml:space="preserve">hem mülk yönetimi perspektifinden hem de ESG </w:t>
      </w:r>
      <w:r>
        <w:rPr>
          <w:rFonts w:ascii="Arial" w:hAnsi="Arial" w:cs="Arial"/>
          <w:bCs/>
        </w:rPr>
        <w:t xml:space="preserve">(çevresel, sosyal, yönetişim) </w:t>
      </w:r>
      <w:r w:rsidRPr="00782D3F">
        <w:rPr>
          <w:rFonts w:ascii="Arial" w:hAnsi="Arial" w:cs="Arial"/>
          <w:bCs/>
        </w:rPr>
        <w:t>ve iklim değişikliğinin azaltılması perspektifinden yatırımcıların ilgisini çeken bir alan</w:t>
      </w:r>
      <w:r>
        <w:rPr>
          <w:rFonts w:ascii="Arial" w:hAnsi="Arial" w:cs="Arial"/>
          <w:bCs/>
        </w:rPr>
        <w:t xml:space="preserve"> oldu</w:t>
      </w:r>
      <w:r w:rsidRPr="00782D3F">
        <w:rPr>
          <w:rFonts w:ascii="Arial" w:hAnsi="Arial" w:cs="Arial"/>
          <w:bCs/>
        </w:rPr>
        <w:t xml:space="preserve">. </w:t>
      </w:r>
      <w:r>
        <w:rPr>
          <w:rFonts w:ascii="Arial" w:hAnsi="Arial" w:cs="Arial"/>
          <w:bCs/>
        </w:rPr>
        <w:t xml:space="preserve">Öte yandan </w:t>
      </w:r>
      <w:r w:rsidRPr="00782D3F">
        <w:rPr>
          <w:rFonts w:ascii="Arial" w:hAnsi="Arial" w:cs="Arial"/>
          <w:bCs/>
        </w:rPr>
        <w:t xml:space="preserve">ödemeler </w:t>
      </w:r>
      <w:r>
        <w:rPr>
          <w:rFonts w:ascii="Arial" w:hAnsi="Arial" w:cs="Arial"/>
          <w:bCs/>
        </w:rPr>
        <w:t xml:space="preserve">alanı ise </w:t>
      </w:r>
      <w:r w:rsidRPr="00782D3F">
        <w:rPr>
          <w:rFonts w:ascii="Arial" w:hAnsi="Arial" w:cs="Arial"/>
          <w:bCs/>
        </w:rPr>
        <w:t>20,7 milyar dolar</w:t>
      </w:r>
      <w:r>
        <w:rPr>
          <w:rFonts w:ascii="Arial" w:hAnsi="Arial" w:cs="Arial"/>
          <w:bCs/>
        </w:rPr>
        <w:t xml:space="preserve"> yatırım ile </w:t>
      </w:r>
      <w:r w:rsidRPr="00782D3F">
        <w:rPr>
          <w:rFonts w:ascii="Arial" w:hAnsi="Arial" w:cs="Arial"/>
          <w:bCs/>
        </w:rPr>
        <w:t xml:space="preserve">2023 yılında fintech </w:t>
      </w:r>
      <w:r>
        <w:rPr>
          <w:rFonts w:ascii="Arial" w:hAnsi="Arial" w:cs="Arial"/>
          <w:bCs/>
        </w:rPr>
        <w:t xml:space="preserve">yatırımlarından </w:t>
      </w:r>
      <w:r w:rsidRPr="00782D3F">
        <w:rPr>
          <w:rFonts w:ascii="Arial" w:hAnsi="Arial" w:cs="Arial"/>
          <w:bCs/>
        </w:rPr>
        <w:t>en büyük pay</w:t>
      </w:r>
      <w:r>
        <w:rPr>
          <w:rFonts w:ascii="Arial" w:hAnsi="Arial" w:cs="Arial"/>
          <w:bCs/>
        </w:rPr>
        <w:t xml:space="preserve">ı almaya </w:t>
      </w:r>
      <w:r w:rsidRPr="00782D3F">
        <w:rPr>
          <w:rFonts w:ascii="Arial" w:hAnsi="Arial" w:cs="Arial"/>
          <w:bCs/>
        </w:rPr>
        <w:t>devam etti</w:t>
      </w:r>
      <w:r>
        <w:rPr>
          <w:rFonts w:ascii="Arial" w:hAnsi="Arial" w:cs="Arial"/>
          <w:bCs/>
        </w:rPr>
        <w:t>.</w:t>
      </w:r>
    </w:p>
    <w:p w:rsidR="007377DB" w:rsidP="002B6279" w:rsidRDefault="007377DB" w14:paraId="1174AB62" w14:textId="77777777">
      <w:pPr>
        <w:spacing w:after="0" w:line="300" w:lineRule="auto"/>
        <w:contextualSpacing/>
        <w:jc w:val="both"/>
        <w:rPr>
          <w:rFonts w:ascii="Arial" w:hAnsi="Arial" w:cs="Arial"/>
          <w:bCs/>
        </w:rPr>
      </w:pPr>
    </w:p>
    <w:p w:rsidRPr="007377DB" w:rsidR="007377DB" w:rsidP="00782D3F" w:rsidRDefault="00782D3F" w14:paraId="4C57A807" w14:textId="5BFF28C8">
      <w:pPr>
        <w:spacing w:after="0" w:line="300" w:lineRule="auto"/>
        <w:contextualSpacing/>
        <w:jc w:val="both"/>
        <w:rPr>
          <w:rFonts w:ascii="Arial" w:hAnsi="Arial" w:cs="Arial"/>
          <w:b/>
        </w:rPr>
      </w:pPr>
      <w:r w:rsidRPr="00782D3F">
        <w:rPr>
          <w:rFonts w:ascii="Arial" w:hAnsi="Arial" w:cs="Arial"/>
          <w:b/>
        </w:rPr>
        <w:t xml:space="preserve">Fintech odaklı yapay </w:t>
      </w:r>
      <w:r>
        <w:rPr>
          <w:rFonts w:ascii="Arial" w:hAnsi="Arial" w:cs="Arial"/>
          <w:b/>
        </w:rPr>
        <w:t xml:space="preserve">zekâ, </w:t>
      </w:r>
      <w:r w:rsidRPr="00782D3F">
        <w:rPr>
          <w:rFonts w:ascii="Arial" w:hAnsi="Arial" w:cs="Arial"/>
          <w:b/>
        </w:rPr>
        <w:t xml:space="preserve">2023'te 12,1 milyar dolar yatırım </w:t>
      </w:r>
      <w:r>
        <w:rPr>
          <w:rFonts w:ascii="Arial" w:hAnsi="Arial" w:cs="Arial"/>
          <w:b/>
        </w:rPr>
        <w:t>çekti</w:t>
      </w:r>
    </w:p>
    <w:p w:rsidR="007377DB" w:rsidP="002256D3" w:rsidRDefault="00782D3F" w14:paraId="713A832D" w14:textId="6AA44EBB">
      <w:pPr>
        <w:spacing w:after="0" w:line="300" w:lineRule="auto"/>
        <w:contextualSpacing/>
        <w:jc w:val="both"/>
        <w:rPr>
          <w:rFonts w:ascii="Arial" w:hAnsi="Arial" w:cs="Arial"/>
          <w:bCs/>
        </w:rPr>
      </w:pPr>
      <w:r>
        <w:rPr>
          <w:rFonts w:ascii="Arial" w:hAnsi="Arial" w:cs="Arial"/>
          <w:bCs/>
        </w:rPr>
        <w:t>Geçen yıl y</w:t>
      </w:r>
      <w:r w:rsidRPr="00782D3F">
        <w:rPr>
          <w:rFonts w:ascii="Arial" w:hAnsi="Arial" w:cs="Arial"/>
          <w:bCs/>
        </w:rPr>
        <w:t xml:space="preserve">apay </w:t>
      </w:r>
      <w:r>
        <w:rPr>
          <w:rFonts w:ascii="Arial" w:hAnsi="Arial" w:cs="Arial"/>
          <w:bCs/>
        </w:rPr>
        <w:t>zekâ</w:t>
      </w:r>
      <w:r w:rsidRPr="00782D3F">
        <w:rPr>
          <w:rFonts w:ascii="Arial" w:hAnsi="Arial" w:cs="Arial"/>
          <w:bCs/>
        </w:rPr>
        <w:t>, fintech pazarındaki yatırımcılar</w:t>
      </w:r>
      <w:r>
        <w:rPr>
          <w:rFonts w:ascii="Arial" w:hAnsi="Arial" w:cs="Arial"/>
          <w:bCs/>
        </w:rPr>
        <w:t xml:space="preserve">ın </w:t>
      </w:r>
      <w:r w:rsidR="002256D3">
        <w:rPr>
          <w:rFonts w:ascii="Arial" w:hAnsi="Arial" w:cs="Arial"/>
          <w:bCs/>
        </w:rPr>
        <w:t xml:space="preserve">büyük </w:t>
      </w:r>
      <w:r>
        <w:rPr>
          <w:rFonts w:ascii="Arial" w:hAnsi="Arial" w:cs="Arial"/>
          <w:bCs/>
        </w:rPr>
        <w:t xml:space="preserve">ilgisini çekti. </w:t>
      </w:r>
      <w:r w:rsidRPr="00782D3F" w:rsidR="002256D3">
        <w:rPr>
          <w:rFonts w:ascii="Arial" w:hAnsi="Arial" w:cs="Arial"/>
          <w:bCs/>
        </w:rPr>
        <w:t xml:space="preserve">Yıl boyunca, yapay </w:t>
      </w:r>
      <w:r w:rsidR="002256D3">
        <w:rPr>
          <w:rFonts w:ascii="Arial" w:hAnsi="Arial" w:cs="Arial"/>
          <w:bCs/>
        </w:rPr>
        <w:t xml:space="preserve">zekâ </w:t>
      </w:r>
      <w:r w:rsidRPr="00782D3F" w:rsidR="002256D3">
        <w:rPr>
          <w:rFonts w:ascii="Arial" w:hAnsi="Arial" w:cs="Arial"/>
          <w:bCs/>
        </w:rPr>
        <w:t xml:space="preserve">odaklı fintech şirketleri 12,1 milyar dolar yatırım </w:t>
      </w:r>
      <w:r w:rsidR="002256D3">
        <w:rPr>
          <w:rFonts w:ascii="Arial" w:hAnsi="Arial" w:cs="Arial"/>
          <w:bCs/>
        </w:rPr>
        <w:t>aldı</w:t>
      </w:r>
      <w:r w:rsidRPr="00782D3F" w:rsidR="002256D3">
        <w:rPr>
          <w:rFonts w:ascii="Arial" w:hAnsi="Arial" w:cs="Arial"/>
          <w:bCs/>
        </w:rPr>
        <w:t xml:space="preserve">. </w:t>
      </w:r>
      <w:r>
        <w:rPr>
          <w:rFonts w:ascii="Arial" w:hAnsi="Arial" w:cs="Arial"/>
          <w:bCs/>
        </w:rPr>
        <w:t>Ç</w:t>
      </w:r>
      <w:r w:rsidRPr="00782D3F">
        <w:rPr>
          <w:rFonts w:ascii="Arial" w:hAnsi="Arial" w:cs="Arial"/>
          <w:bCs/>
        </w:rPr>
        <w:t xml:space="preserve">ok sayıda şirket, yapay </w:t>
      </w:r>
      <w:r>
        <w:rPr>
          <w:rFonts w:ascii="Arial" w:hAnsi="Arial" w:cs="Arial"/>
          <w:bCs/>
        </w:rPr>
        <w:t xml:space="preserve">zekâyı </w:t>
      </w:r>
      <w:r w:rsidRPr="00782D3F">
        <w:rPr>
          <w:rFonts w:ascii="Arial" w:hAnsi="Arial" w:cs="Arial"/>
          <w:bCs/>
        </w:rPr>
        <w:t>ilgili ürün ve hizmet</w:t>
      </w:r>
      <w:r>
        <w:rPr>
          <w:rFonts w:ascii="Arial" w:hAnsi="Arial" w:cs="Arial"/>
          <w:bCs/>
        </w:rPr>
        <w:t xml:space="preserve">lerine </w:t>
      </w:r>
      <w:r w:rsidRPr="00782D3F">
        <w:rPr>
          <w:rFonts w:ascii="Arial" w:hAnsi="Arial" w:cs="Arial"/>
          <w:bCs/>
        </w:rPr>
        <w:t xml:space="preserve">- özellikle siber güvenlik ve </w:t>
      </w:r>
      <w:r>
        <w:rPr>
          <w:rFonts w:ascii="Arial" w:hAnsi="Arial" w:cs="Arial"/>
          <w:bCs/>
        </w:rPr>
        <w:t>r</w:t>
      </w:r>
      <w:r w:rsidRPr="00782D3F">
        <w:rPr>
          <w:rFonts w:ascii="Arial" w:hAnsi="Arial" w:cs="Arial"/>
          <w:bCs/>
        </w:rPr>
        <w:t xml:space="preserve">egülasyon </w:t>
      </w:r>
      <w:r>
        <w:rPr>
          <w:rFonts w:ascii="Arial" w:hAnsi="Arial" w:cs="Arial"/>
          <w:bCs/>
        </w:rPr>
        <w:t>t</w:t>
      </w:r>
      <w:r w:rsidRPr="00782D3F">
        <w:rPr>
          <w:rFonts w:ascii="Arial" w:hAnsi="Arial" w:cs="Arial"/>
          <w:bCs/>
        </w:rPr>
        <w:t xml:space="preserve">eknolojileri ile ilgili olanlara </w:t>
      </w:r>
      <w:r>
        <w:rPr>
          <w:rFonts w:ascii="Arial" w:hAnsi="Arial" w:cs="Arial"/>
          <w:bCs/>
        </w:rPr>
        <w:t>–</w:t>
      </w:r>
      <w:r w:rsidRPr="00782D3F">
        <w:rPr>
          <w:rFonts w:ascii="Arial" w:hAnsi="Arial" w:cs="Arial"/>
          <w:bCs/>
        </w:rPr>
        <w:t xml:space="preserve"> </w:t>
      </w:r>
      <w:r>
        <w:rPr>
          <w:rFonts w:ascii="Arial" w:hAnsi="Arial" w:cs="Arial"/>
          <w:bCs/>
        </w:rPr>
        <w:t xml:space="preserve">entegre etmenin </w:t>
      </w:r>
      <w:r w:rsidRPr="00782D3F">
        <w:rPr>
          <w:rFonts w:ascii="Arial" w:hAnsi="Arial" w:cs="Arial"/>
          <w:bCs/>
        </w:rPr>
        <w:t xml:space="preserve">yollarını aradı. </w:t>
      </w:r>
    </w:p>
    <w:p w:rsidR="007377DB" w:rsidP="002B6279" w:rsidRDefault="007377DB" w14:paraId="5B71C6A7" w14:textId="77777777">
      <w:pPr>
        <w:spacing w:after="0" w:line="300" w:lineRule="auto"/>
        <w:contextualSpacing/>
        <w:jc w:val="both"/>
        <w:rPr>
          <w:rFonts w:ascii="Arial" w:hAnsi="Arial" w:cs="Arial"/>
          <w:bCs/>
        </w:rPr>
      </w:pPr>
    </w:p>
    <w:p w:rsidR="002256D3" w:rsidP="002B6279" w:rsidRDefault="002256D3" w14:paraId="37375F91" w14:textId="47C8311A">
      <w:pPr>
        <w:spacing w:after="0" w:line="300" w:lineRule="auto"/>
        <w:contextualSpacing/>
        <w:jc w:val="both"/>
        <w:rPr>
          <w:rFonts w:ascii="Arial" w:hAnsi="Arial" w:cs="Arial"/>
          <w:b/>
        </w:rPr>
      </w:pPr>
      <w:r w:rsidRPr="002256D3">
        <w:rPr>
          <w:rFonts w:ascii="Arial" w:hAnsi="Arial" w:cs="Arial"/>
          <w:b/>
        </w:rPr>
        <w:t xml:space="preserve">Kurumsal çözümler fintech pazarında en önemli öncelik </w:t>
      </w:r>
      <w:r>
        <w:rPr>
          <w:rFonts w:ascii="Arial" w:hAnsi="Arial" w:cs="Arial"/>
          <w:b/>
        </w:rPr>
        <w:t>oldu</w:t>
      </w:r>
    </w:p>
    <w:p w:rsidR="007377DB" w:rsidP="002B6279" w:rsidRDefault="002256D3" w14:paraId="20DD290C" w14:textId="29081368">
      <w:pPr>
        <w:spacing w:after="0" w:line="300" w:lineRule="auto"/>
        <w:contextualSpacing/>
        <w:jc w:val="both"/>
        <w:rPr>
          <w:rFonts w:ascii="Arial" w:hAnsi="Arial" w:cs="Arial"/>
          <w:bCs/>
        </w:rPr>
      </w:pPr>
      <w:r>
        <w:rPr>
          <w:rFonts w:ascii="Arial" w:hAnsi="Arial" w:cs="Arial"/>
          <w:bCs/>
        </w:rPr>
        <w:t>D</w:t>
      </w:r>
      <w:r>
        <w:rPr>
          <w:rFonts w:ascii="Arial" w:hAnsi="Arial" w:cs="Arial"/>
          <w:bCs/>
        </w:rPr>
        <w:t>oğrudan tüketiciye</w:t>
      </w:r>
      <w:r w:rsidRPr="002256D3">
        <w:rPr>
          <w:rFonts w:ascii="Arial" w:hAnsi="Arial" w:cs="Arial"/>
          <w:bCs/>
        </w:rPr>
        <w:t xml:space="preserve"> </w:t>
      </w:r>
      <w:r>
        <w:rPr>
          <w:rFonts w:ascii="Arial" w:hAnsi="Arial" w:cs="Arial"/>
          <w:bCs/>
        </w:rPr>
        <w:t xml:space="preserve">yönelik </w:t>
      </w:r>
      <w:r w:rsidRPr="002256D3">
        <w:rPr>
          <w:rFonts w:ascii="Arial" w:hAnsi="Arial" w:cs="Arial"/>
          <w:bCs/>
        </w:rPr>
        <w:t xml:space="preserve">D2C çözümleri fintech'in birçok alt sektöründe hala zorlanırken, toptan kurumsal çözümler 2023'te fintech yatırımları için ana odak noktası olmaya devam etti. Hem yerleşik finans kurumları hem de fintech'ler sürekli olarak yenilik yapma, daha verimli hale gelme ve her </w:t>
      </w:r>
      <w:r>
        <w:rPr>
          <w:rFonts w:ascii="Arial" w:hAnsi="Arial" w:cs="Arial"/>
          <w:bCs/>
        </w:rPr>
        <w:t>kuruştan</w:t>
      </w:r>
      <w:r w:rsidRPr="002256D3">
        <w:rPr>
          <w:rFonts w:ascii="Arial" w:hAnsi="Arial" w:cs="Arial"/>
          <w:bCs/>
        </w:rPr>
        <w:t xml:space="preserve"> en iyi şekilde yararlanma baskısı altında olduğundan, </w:t>
      </w:r>
      <w:r>
        <w:rPr>
          <w:rFonts w:ascii="Arial" w:hAnsi="Arial" w:cs="Arial"/>
          <w:bCs/>
        </w:rPr>
        <w:t xml:space="preserve">bu </w:t>
      </w:r>
      <w:r w:rsidRPr="002256D3">
        <w:rPr>
          <w:rFonts w:ascii="Arial" w:hAnsi="Arial" w:cs="Arial"/>
          <w:bCs/>
        </w:rPr>
        <w:t xml:space="preserve">dönüşümü sağlayabilecek girişimlere </w:t>
      </w:r>
      <w:r>
        <w:rPr>
          <w:rFonts w:ascii="Arial" w:hAnsi="Arial" w:cs="Arial"/>
          <w:bCs/>
        </w:rPr>
        <w:t xml:space="preserve">oldukça </w:t>
      </w:r>
      <w:r w:rsidRPr="002256D3">
        <w:rPr>
          <w:rFonts w:ascii="Arial" w:hAnsi="Arial" w:cs="Arial"/>
          <w:bCs/>
        </w:rPr>
        <w:t xml:space="preserve">ilgi </w:t>
      </w:r>
      <w:r>
        <w:rPr>
          <w:rFonts w:ascii="Arial" w:hAnsi="Arial" w:cs="Arial"/>
          <w:bCs/>
        </w:rPr>
        <w:t>gösterildi</w:t>
      </w:r>
      <w:r w:rsidRPr="002256D3">
        <w:rPr>
          <w:rFonts w:ascii="Arial" w:hAnsi="Arial" w:cs="Arial"/>
          <w:bCs/>
        </w:rPr>
        <w:t>.</w:t>
      </w:r>
    </w:p>
    <w:p w:rsidRPr="00105301" w:rsidR="007377DB" w:rsidP="002B6279" w:rsidRDefault="007377DB" w14:paraId="4D175450" w14:textId="77777777">
      <w:pPr>
        <w:spacing w:after="0" w:line="300" w:lineRule="auto"/>
        <w:contextualSpacing/>
        <w:jc w:val="both"/>
        <w:rPr>
          <w:rFonts w:ascii="Arial" w:hAnsi="Arial" w:cs="Arial"/>
          <w:bCs/>
        </w:rPr>
      </w:pPr>
    </w:p>
    <w:p w:rsidRPr="00105301" w:rsidR="002B6279" w:rsidP="002B6279" w:rsidRDefault="002B6279" w14:paraId="0378DA45" w14:textId="4DFF420E">
      <w:pPr>
        <w:spacing w:after="0" w:line="300" w:lineRule="auto"/>
        <w:contextualSpacing/>
        <w:jc w:val="both"/>
        <w:rPr>
          <w:rFonts w:ascii="Arial" w:hAnsi="Arial" w:cs="Arial"/>
          <w:b/>
          <w:bCs/>
        </w:rPr>
      </w:pPr>
      <w:r w:rsidRPr="00105301">
        <w:rPr>
          <w:rFonts w:ascii="Arial" w:hAnsi="Arial" w:cs="Arial"/>
          <w:b/>
          <w:bCs/>
        </w:rPr>
        <w:t>2023 yılın</w:t>
      </w:r>
      <w:r w:rsidR="002256D3">
        <w:rPr>
          <w:rFonts w:ascii="Arial" w:hAnsi="Arial" w:cs="Arial"/>
          <w:b/>
          <w:bCs/>
        </w:rPr>
        <w:t xml:space="preserve">da </w:t>
      </w:r>
      <w:r w:rsidRPr="00105301">
        <w:rPr>
          <w:rFonts w:ascii="Arial" w:hAnsi="Arial" w:cs="Arial"/>
          <w:b/>
          <w:bCs/>
        </w:rPr>
        <w:t xml:space="preserve">gerçekleşen en büyük 10 küresel fintech yatırımı </w:t>
      </w:r>
    </w:p>
    <w:p w:rsidRPr="00105301" w:rsidR="002B6279" w:rsidP="002B6279" w:rsidRDefault="002B6279" w14:paraId="4E5A3918" w14:textId="77777777">
      <w:pPr>
        <w:spacing w:after="0" w:line="300" w:lineRule="auto"/>
        <w:contextualSpacing/>
        <w:jc w:val="both"/>
        <w:rPr>
          <w:rFonts w:ascii="Arial" w:hAnsi="Arial" w:cs="Arial"/>
          <w:b/>
          <w:bCs/>
        </w:rPr>
      </w:pPr>
    </w:p>
    <w:tbl>
      <w:tblPr>
        <w:tblStyle w:val="TabloKlavuzu"/>
        <w:tblW w:w="9634" w:type="dxa"/>
        <w:tblLook w:val="04A0" w:firstRow="1" w:lastRow="0" w:firstColumn="1" w:lastColumn="0" w:noHBand="0" w:noVBand="1"/>
      </w:tblPr>
      <w:tblGrid>
        <w:gridCol w:w="704"/>
        <w:gridCol w:w="2977"/>
        <w:gridCol w:w="1843"/>
        <w:gridCol w:w="2268"/>
        <w:gridCol w:w="1842"/>
      </w:tblGrid>
      <w:tr w:rsidRPr="00105301" w:rsidR="002B6279" w:rsidTr="002B6279" w14:paraId="419CAAEB" w14:textId="77777777">
        <w:tc>
          <w:tcPr>
            <w:tcW w:w="704" w:type="dxa"/>
          </w:tcPr>
          <w:p w:rsidRPr="00105301" w:rsidR="002B6279" w:rsidP="008912A6" w:rsidRDefault="002B6279" w14:paraId="764D381D"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Sıra</w:t>
            </w:r>
          </w:p>
        </w:tc>
        <w:tc>
          <w:tcPr>
            <w:tcW w:w="2977" w:type="dxa"/>
          </w:tcPr>
          <w:p w:rsidRPr="00105301" w:rsidR="002B6279" w:rsidP="008912A6" w:rsidRDefault="002B6279" w14:paraId="0B6EAE0B"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Şirket</w:t>
            </w:r>
          </w:p>
        </w:tc>
        <w:tc>
          <w:tcPr>
            <w:tcW w:w="1843" w:type="dxa"/>
          </w:tcPr>
          <w:p w:rsidRPr="00105301" w:rsidR="002B6279" w:rsidP="008912A6" w:rsidRDefault="002B6279" w14:paraId="30179910"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Yatırım Miktarı</w:t>
            </w:r>
          </w:p>
        </w:tc>
        <w:tc>
          <w:tcPr>
            <w:tcW w:w="2268" w:type="dxa"/>
          </w:tcPr>
          <w:p w:rsidRPr="00105301" w:rsidR="002B6279" w:rsidP="008912A6" w:rsidRDefault="002B6279" w14:paraId="1457D614"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Merkez</w:t>
            </w:r>
          </w:p>
        </w:tc>
        <w:tc>
          <w:tcPr>
            <w:tcW w:w="1842" w:type="dxa"/>
          </w:tcPr>
          <w:p w:rsidRPr="00105301" w:rsidR="002B6279" w:rsidP="008912A6" w:rsidRDefault="002B6279" w14:paraId="08BC79E3"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Sektör</w:t>
            </w:r>
          </w:p>
        </w:tc>
      </w:tr>
      <w:tr w:rsidRPr="00105301" w:rsidR="002B6279" w:rsidTr="002B6279" w14:paraId="4AA88E9D" w14:textId="77777777">
        <w:tc>
          <w:tcPr>
            <w:tcW w:w="704" w:type="dxa"/>
          </w:tcPr>
          <w:p w:rsidRPr="00105301" w:rsidR="002B6279" w:rsidP="008912A6" w:rsidRDefault="002B6279" w14:paraId="3255CEB7"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1</w:t>
            </w:r>
          </w:p>
        </w:tc>
        <w:tc>
          <w:tcPr>
            <w:tcW w:w="2977" w:type="dxa"/>
          </w:tcPr>
          <w:p w:rsidRPr="00105301" w:rsidR="002B6279" w:rsidP="008912A6" w:rsidRDefault="00BE15E3" w14:paraId="20E8180D" w14:textId="48F69878">
            <w:pPr>
              <w:spacing w:line="300" w:lineRule="auto"/>
              <w:contextualSpacing/>
              <w:jc w:val="both"/>
              <w:rPr>
                <w:rFonts w:ascii="Arial" w:hAnsi="Arial" w:cs="Arial"/>
                <w:sz w:val="18"/>
                <w:szCs w:val="18"/>
              </w:rPr>
            </w:pPr>
            <w:r w:rsidRPr="00105301">
              <w:rPr>
                <w:rFonts w:ascii="Arial" w:hAnsi="Arial" w:cs="Arial"/>
                <w:sz w:val="18"/>
                <w:szCs w:val="18"/>
              </w:rPr>
              <w:t>Black Knight</w:t>
            </w:r>
          </w:p>
        </w:tc>
        <w:tc>
          <w:tcPr>
            <w:tcW w:w="1843" w:type="dxa"/>
          </w:tcPr>
          <w:p w:rsidRPr="00105301" w:rsidR="002B6279" w:rsidP="008912A6" w:rsidRDefault="00BE15E3" w14:paraId="02EF6ED6" w14:textId="7E6E5433">
            <w:pPr>
              <w:spacing w:line="300" w:lineRule="auto"/>
              <w:contextualSpacing/>
              <w:jc w:val="both"/>
              <w:rPr>
                <w:rFonts w:ascii="Arial" w:hAnsi="Arial" w:cs="Arial"/>
                <w:sz w:val="18"/>
                <w:szCs w:val="18"/>
              </w:rPr>
            </w:pPr>
            <w:r w:rsidRPr="00105301">
              <w:rPr>
                <w:rFonts w:ascii="Arial" w:hAnsi="Arial" w:cs="Arial"/>
                <w:sz w:val="18"/>
                <w:szCs w:val="18"/>
              </w:rPr>
              <w:t>11</w:t>
            </w:r>
            <w:r w:rsidRPr="00105301">
              <w:rPr>
                <w:rFonts w:ascii="Arial" w:hAnsi="Arial" w:cs="Arial"/>
                <w:sz w:val="18"/>
                <w:szCs w:val="18"/>
              </w:rPr>
              <w:t>,</w:t>
            </w:r>
            <w:r w:rsidRPr="00105301">
              <w:rPr>
                <w:rFonts w:ascii="Arial" w:hAnsi="Arial" w:cs="Arial"/>
                <w:sz w:val="18"/>
                <w:szCs w:val="18"/>
              </w:rPr>
              <w:t>7</w:t>
            </w:r>
            <w:r w:rsidRPr="00105301" w:rsidR="002B6279">
              <w:rPr>
                <w:rFonts w:ascii="Arial" w:hAnsi="Arial" w:cs="Arial"/>
                <w:sz w:val="18"/>
                <w:szCs w:val="18"/>
              </w:rPr>
              <w:t xml:space="preserve"> milyar dolar</w:t>
            </w:r>
          </w:p>
        </w:tc>
        <w:tc>
          <w:tcPr>
            <w:tcW w:w="2268" w:type="dxa"/>
          </w:tcPr>
          <w:p w:rsidRPr="00105301" w:rsidR="002B6279" w:rsidP="008912A6" w:rsidRDefault="00BE15E3" w14:paraId="367BBF7D" w14:textId="263F0148">
            <w:pPr>
              <w:spacing w:line="300" w:lineRule="auto"/>
              <w:contextualSpacing/>
              <w:jc w:val="both"/>
              <w:rPr>
                <w:rFonts w:ascii="Arial" w:hAnsi="Arial" w:cs="Arial"/>
                <w:sz w:val="18"/>
                <w:szCs w:val="18"/>
              </w:rPr>
            </w:pPr>
            <w:proofErr w:type="spellStart"/>
            <w:r w:rsidRPr="00105301">
              <w:rPr>
                <w:rFonts w:ascii="Arial" w:hAnsi="Arial" w:cs="Arial"/>
                <w:sz w:val="18"/>
                <w:szCs w:val="18"/>
              </w:rPr>
              <w:t>Jacksonville</w:t>
            </w:r>
            <w:proofErr w:type="spellEnd"/>
            <w:r w:rsidRPr="00105301">
              <w:rPr>
                <w:rFonts w:ascii="Arial" w:hAnsi="Arial" w:cs="Arial"/>
                <w:sz w:val="18"/>
                <w:szCs w:val="18"/>
              </w:rPr>
              <w:t xml:space="preserve">, </w:t>
            </w:r>
            <w:r w:rsidRPr="00105301">
              <w:rPr>
                <w:rFonts w:ascii="Arial" w:hAnsi="Arial" w:cs="Arial"/>
                <w:sz w:val="18"/>
                <w:szCs w:val="18"/>
              </w:rPr>
              <w:t>ABD</w:t>
            </w:r>
          </w:p>
        </w:tc>
        <w:tc>
          <w:tcPr>
            <w:tcW w:w="1842" w:type="dxa"/>
          </w:tcPr>
          <w:p w:rsidRPr="00105301" w:rsidR="002B6279" w:rsidP="008912A6" w:rsidRDefault="002B6279" w14:paraId="446DFDA5" w14:textId="3B34E3BB">
            <w:pPr>
              <w:spacing w:line="300" w:lineRule="auto"/>
              <w:contextualSpacing/>
              <w:jc w:val="both"/>
              <w:rPr>
                <w:rFonts w:ascii="Arial" w:hAnsi="Arial" w:cs="Arial"/>
                <w:sz w:val="18"/>
                <w:szCs w:val="18"/>
              </w:rPr>
            </w:pPr>
            <w:r w:rsidRPr="00105301">
              <w:rPr>
                <w:rFonts w:ascii="Arial" w:hAnsi="Arial" w:cs="Arial"/>
                <w:sz w:val="18"/>
                <w:szCs w:val="18"/>
              </w:rPr>
              <w:t>Kurumsal/B2B</w:t>
            </w:r>
          </w:p>
        </w:tc>
      </w:tr>
      <w:tr w:rsidRPr="00105301" w:rsidR="002B6279" w:rsidTr="002B6279" w14:paraId="7CDC5C89" w14:textId="77777777">
        <w:tc>
          <w:tcPr>
            <w:tcW w:w="704" w:type="dxa"/>
          </w:tcPr>
          <w:p w:rsidRPr="00105301" w:rsidR="002B6279" w:rsidP="008912A6" w:rsidRDefault="002B6279" w14:paraId="3F73F78D"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2</w:t>
            </w:r>
          </w:p>
        </w:tc>
        <w:tc>
          <w:tcPr>
            <w:tcW w:w="2977" w:type="dxa"/>
          </w:tcPr>
          <w:p w:rsidRPr="00105301" w:rsidR="002B6279" w:rsidP="008912A6" w:rsidRDefault="00BE15E3" w14:paraId="5EEC9FE2" w14:textId="72613D6D">
            <w:pPr>
              <w:spacing w:line="300" w:lineRule="auto"/>
              <w:contextualSpacing/>
              <w:jc w:val="both"/>
              <w:rPr>
                <w:rFonts w:ascii="Arial" w:hAnsi="Arial" w:cs="Arial"/>
                <w:sz w:val="18"/>
                <w:szCs w:val="18"/>
              </w:rPr>
            </w:pPr>
            <w:proofErr w:type="spellStart"/>
            <w:r w:rsidRPr="00105301">
              <w:rPr>
                <w:rFonts w:ascii="Arial" w:hAnsi="Arial" w:cs="Arial"/>
                <w:sz w:val="18"/>
                <w:szCs w:val="18"/>
              </w:rPr>
              <w:t>Adenza</w:t>
            </w:r>
            <w:proofErr w:type="spellEnd"/>
          </w:p>
        </w:tc>
        <w:tc>
          <w:tcPr>
            <w:tcW w:w="1843" w:type="dxa"/>
          </w:tcPr>
          <w:p w:rsidRPr="00105301" w:rsidR="002B6279" w:rsidP="008912A6" w:rsidRDefault="00BE15E3" w14:paraId="36BE7BC4" w14:textId="7D42558F">
            <w:pPr>
              <w:spacing w:line="300" w:lineRule="auto"/>
              <w:contextualSpacing/>
              <w:jc w:val="both"/>
              <w:rPr>
                <w:rFonts w:ascii="Arial" w:hAnsi="Arial" w:cs="Arial"/>
                <w:sz w:val="18"/>
                <w:szCs w:val="18"/>
              </w:rPr>
            </w:pPr>
            <w:r w:rsidRPr="00105301">
              <w:rPr>
                <w:rFonts w:ascii="Arial" w:hAnsi="Arial" w:cs="Arial"/>
                <w:sz w:val="18"/>
                <w:szCs w:val="18"/>
              </w:rPr>
              <w:t>10,5</w:t>
            </w:r>
            <w:r w:rsidRPr="00105301" w:rsidR="002B6279">
              <w:rPr>
                <w:rFonts w:ascii="Arial" w:hAnsi="Arial" w:cs="Arial"/>
                <w:sz w:val="18"/>
                <w:szCs w:val="18"/>
              </w:rPr>
              <w:t xml:space="preserve"> milyar dolar</w:t>
            </w:r>
          </w:p>
        </w:tc>
        <w:tc>
          <w:tcPr>
            <w:tcW w:w="2268" w:type="dxa"/>
          </w:tcPr>
          <w:p w:rsidRPr="00105301" w:rsidR="002B6279" w:rsidP="008912A6" w:rsidRDefault="00BE15E3" w14:paraId="449EDFCD" w14:textId="111BA10D">
            <w:pPr>
              <w:spacing w:line="300" w:lineRule="auto"/>
              <w:contextualSpacing/>
              <w:jc w:val="both"/>
              <w:rPr>
                <w:rFonts w:ascii="Arial" w:hAnsi="Arial" w:cs="Arial"/>
                <w:sz w:val="18"/>
                <w:szCs w:val="18"/>
              </w:rPr>
            </w:pPr>
            <w:r w:rsidRPr="00105301">
              <w:rPr>
                <w:rFonts w:ascii="Arial" w:hAnsi="Arial" w:cs="Arial"/>
                <w:sz w:val="18"/>
                <w:szCs w:val="18"/>
              </w:rPr>
              <w:t xml:space="preserve">New York, </w:t>
            </w:r>
            <w:r w:rsidRPr="00105301">
              <w:rPr>
                <w:rFonts w:ascii="Arial" w:hAnsi="Arial" w:cs="Arial"/>
                <w:sz w:val="18"/>
                <w:szCs w:val="18"/>
              </w:rPr>
              <w:t>ABD</w:t>
            </w:r>
          </w:p>
        </w:tc>
        <w:tc>
          <w:tcPr>
            <w:tcW w:w="1842" w:type="dxa"/>
          </w:tcPr>
          <w:p w:rsidRPr="00105301" w:rsidR="002B6279" w:rsidP="008912A6" w:rsidRDefault="00BE15E3" w14:paraId="1DFC8DE5" w14:textId="76509367">
            <w:pPr>
              <w:spacing w:line="300" w:lineRule="auto"/>
              <w:contextualSpacing/>
              <w:jc w:val="both"/>
              <w:rPr>
                <w:rFonts w:ascii="Arial" w:hAnsi="Arial" w:cs="Arial"/>
                <w:sz w:val="18"/>
                <w:szCs w:val="18"/>
              </w:rPr>
            </w:pPr>
            <w:r w:rsidRPr="00105301">
              <w:rPr>
                <w:rFonts w:ascii="Arial" w:hAnsi="Arial" w:cs="Arial"/>
                <w:sz w:val="18"/>
                <w:szCs w:val="18"/>
              </w:rPr>
              <w:t>Kurumsal/</w:t>
            </w:r>
            <w:r w:rsidRPr="00105301">
              <w:rPr>
                <w:rFonts w:ascii="Arial" w:hAnsi="Arial" w:cs="Arial"/>
                <w:sz w:val="18"/>
                <w:szCs w:val="18"/>
              </w:rPr>
              <w:t>A</w:t>
            </w:r>
            <w:r w:rsidRPr="00105301">
              <w:rPr>
                <w:rFonts w:ascii="Arial" w:hAnsi="Arial" w:cs="Arial"/>
                <w:sz w:val="18"/>
                <w:szCs w:val="18"/>
              </w:rPr>
              <w:t xml:space="preserve">rka </w:t>
            </w:r>
            <w:r w:rsidRPr="00105301">
              <w:rPr>
                <w:rFonts w:ascii="Arial" w:hAnsi="Arial" w:cs="Arial"/>
                <w:sz w:val="18"/>
                <w:szCs w:val="18"/>
              </w:rPr>
              <w:t>O</w:t>
            </w:r>
            <w:r w:rsidRPr="00105301">
              <w:rPr>
                <w:rFonts w:ascii="Arial" w:hAnsi="Arial" w:cs="Arial"/>
                <w:sz w:val="18"/>
                <w:szCs w:val="18"/>
              </w:rPr>
              <w:t>fis</w:t>
            </w:r>
          </w:p>
        </w:tc>
      </w:tr>
      <w:tr w:rsidRPr="00105301" w:rsidR="002B6279" w:rsidTr="002B6279" w14:paraId="3FF0CC31" w14:textId="77777777">
        <w:tc>
          <w:tcPr>
            <w:tcW w:w="704" w:type="dxa"/>
          </w:tcPr>
          <w:p w:rsidRPr="00105301" w:rsidR="002B6279" w:rsidP="008912A6" w:rsidRDefault="002B6279" w14:paraId="2CD6E583"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3</w:t>
            </w:r>
          </w:p>
        </w:tc>
        <w:tc>
          <w:tcPr>
            <w:tcW w:w="2977" w:type="dxa"/>
          </w:tcPr>
          <w:p w:rsidRPr="00105301" w:rsidR="002B6279" w:rsidP="008912A6" w:rsidRDefault="00BE15E3" w14:paraId="4B2FA23D" w14:textId="51168E8F">
            <w:pPr>
              <w:spacing w:line="300" w:lineRule="auto"/>
              <w:contextualSpacing/>
              <w:jc w:val="both"/>
              <w:rPr>
                <w:rFonts w:ascii="Arial" w:hAnsi="Arial" w:cs="Arial"/>
                <w:sz w:val="18"/>
                <w:szCs w:val="18"/>
              </w:rPr>
            </w:pPr>
            <w:proofErr w:type="spellStart"/>
            <w:r w:rsidRPr="00105301">
              <w:rPr>
                <w:rFonts w:ascii="Arial" w:hAnsi="Arial" w:cs="Arial"/>
                <w:sz w:val="18"/>
                <w:szCs w:val="18"/>
              </w:rPr>
              <w:t>Coupa</w:t>
            </w:r>
            <w:proofErr w:type="spellEnd"/>
          </w:p>
        </w:tc>
        <w:tc>
          <w:tcPr>
            <w:tcW w:w="1843" w:type="dxa"/>
          </w:tcPr>
          <w:p w:rsidRPr="00105301" w:rsidR="002B6279" w:rsidP="008912A6" w:rsidRDefault="00BE15E3" w14:paraId="7D6FDB38" w14:textId="518BF65B">
            <w:pPr>
              <w:spacing w:line="300" w:lineRule="auto"/>
              <w:contextualSpacing/>
              <w:jc w:val="both"/>
              <w:rPr>
                <w:rFonts w:ascii="Arial" w:hAnsi="Arial" w:cs="Arial"/>
                <w:sz w:val="18"/>
                <w:szCs w:val="18"/>
              </w:rPr>
            </w:pPr>
            <w:r w:rsidRPr="00105301">
              <w:rPr>
                <w:rFonts w:ascii="Arial" w:hAnsi="Arial" w:cs="Arial"/>
                <w:sz w:val="18"/>
                <w:szCs w:val="18"/>
              </w:rPr>
              <w:t>8</w:t>
            </w:r>
            <w:r w:rsidRPr="00105301" w:rsidR="002B6279">
              <w:rPr>
                <w:rFonts w:ascii="Arial" w:hAnsi="Arial" w:cs="Arial"/>
                <w:sz w:val="18"/>
                <w:szCs w:val="18"/>
              </w:rPr>
              <w:t xml:space="preserve"> milyar dolar</w:t>
            </w:r>
          </w:p>
        </w:tc>
        <w:tc>
          <w:tcPr>
            <w:tcW w:w="2268" w:type="dxa"/>
          </w:tcPr>
          <w:p w:rsidRPr="00105301" w:rsidR="002B6279" w:rsidP="008912A6" w:rsidRDefault="00BE15E3" w14:paraId="4739E41C" w14:textId="78A64675">
            <w:pPr>
              <w:spacing w:line="300" w:lineRule="auto"/>
              <w:contextualSpacing/>
              <w:jc w:val="both"/>
              <w:rPr>
                <w:rFonts w:ascii="Arial" w:hAnsi="Arial" w:cs="Arial"/>
                <w:sz w:val="18"/>
                <w:szCs w:val="18"/>
              </w:rPr>
            </w:pPr>
            <w:r w:rsidRPr="00105301">
              <w:rPr>
                <w:rFonts w:ascii="Arial" w:hAnsi="Arial" w:cs="Arial"/>
                <w:sz w:val="18"/>
                <w:szCs w:val="18"/>
              </w:rPr>
              <w:t xml:space="preserve">San </w:t>
            </w:r>
            <w:proofErr w:type="spellStart"/>
            <w:r w:rsidRPr="00105301">
              <w:rPr>
                <w:rFonts w:ascii="Arial" w:hAnsi="Arial" w:cs="Arial"/>
                <w:sz w:val="18"/>
                <w:szCs w:val="18"/>
              </w:rPr>
              <w:t>Mateo</w:t>
            </w:r>
            <w:proofErr w:type="spellEnd"/>
            <w:r w:rsidRPr="00105301" w:rsidR="002B6279">
              <w:rPr>
                <w:rFonts w:ascii="Arial" w:hAnsi="Arial" w:cs="Arial"/>
                <w:sz w:val="18"/>
                <w:szCs w:val="18"/>
              </w:rPr>
              <w:t>, ABD</w:t>
            </w:r>
          </w:p>
        </w:tc>
        <w:tc>
          <w:tcPr>
            <w:tcW w:w="1842" w:type="dxa"/>
          </w:tcPr>
          <w:p w:rsidRPr="00105301" w:rsidR="002B6279" w:rsidP="008912A6" w:rsidRDefault="00BE15E3" w14:paraId="12F0EE40" w14:textId="171839B8">
            <w:pPr>
              <w:spacing w:line="300" w:lineRule="auto"/>
              <w:contextualSpacing/>
              <w:jc w:val="both"/>
              <w:rPr>
                <w:rFonts w:ascii="Arial" w:hAnsi="Arial" w:cs="Arial"/>
                <w:sz w:val="18"/>
                <w:szCs w:val="18"/>
              </w:rPr>
            </w:pPr>
            <w:r w:rsidRPr="00105301">
              <w:rPr>
                <w:rFonts w:ascii="Arial" w:hAnsi="Arial" w:cs="Arial"/>
                <w:sz w:val="18"/>
                <w:szCs w:val="18"/>
              </w:rPr>
              <w:t>Kurumsal/B2B</w:t>
            </w:r>
          </w:p>
        </w:tc>
      </w:tr>
      <w:tr w:rsidRPr="00105301" w:rsidR="002B6279" w:rsidTr="002B6279" w14:paraId="6EF5D20A" w14:textId="77777777">
        <w:tc>
          <w:tcPr>
            <w:tcW w:w="704" w:type="dxa"/>
          </w:tcPr>
          <w:p w:rsidRPr="00105301" w:rsidR="002B6279" w:rsidP="008912A6" w:rsidRDefault="002B6279" w14:paraId="13D63D75"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4</w:t>
            </w:r>
          </w:p>
        </w:tc>
        <w:tc>
          <w:tcPr>
            <w:tcW w:w="2977" w:type="dxa"/>
          </w:tcPr>
          <w:p w:rsidRPr="00105301" w:rsidR="002B6279" w:rsidP="008912A6" w:rsidRDefault="00BE15E3" w14:paraId="1D007A30" w14:textId="6093BB8E">
            <w:pPr>
              <w:spacing w:line="300" w:lineRule="auto"/>
              <w:contextualSpacing/>
              <w:jc w:val="both"/>
              <w:rPr>
                <w:rFonts w:ascii="Arial" w:hAnsi="Arial" w:cs="Arial"/>
                <w:sz w:val="18"/>
                <w:szCs w:val="18"/>
              </w:rPr>
            </w:pPr>
            <w:proofErr w:type="spellStart"/>
            <w:r w:rsidRPr="00105301">
              <w:rPr>
                <w:rFonts w:ascii="Arial" w:hAnsi="Arial" w:cs="Arial"/>
                <w:sz w:val="18"/>
                <w:szCs w:val="18"/>
              </w:rPr>
              <w:t>Finastra</w:t>
            </w:r>
            <w:proofErr w:type="spellEnd"/>
          </w:p>
        </w:tc>
        <w:tc>
          <w:tcPr>
            <w:tcW w:w="1843" w:type="dxa"/>
          </w:tcPr>
          <w:p w:rsidRPr="00105301" w:rsidR="002B6279" w:rsidP="008912A6" w:rsidRDefault="00BE15E3" w14:paraId="365C3E42" w14:textId="1898703E">
            <w:pPr>
              <w:spacing w:line="300" w:lineRule="auto"/>
              <w:contextualSpacing/>
              <w:jc w:val="both"/>
              <w:rPr>
                <w:rFonts w:ascii="Arial" w:hAnsi="Arial" w:cs="Arial"/>
                <w:sz w:val="18"/>
                <w:szCs w:val="18"/>
              </w:rPr>
            </w:pPr>
            <w:r w:rsidRPr="00105301">
              <w:rPr>
                <w:rFonts w:ascii="Arial" w:hAnsi="Arial" w:cs="Arial"/>
                <w:sz w:val="18"/>
                <w:szCs w:val="18"/>
              </w:rPr>
              <w:t>6,9</w:t>
            </w:r>
            <w:r w:rsidRPr="00105301" w:rsidR="002B6279">
              <w:rPr>
                <w:rFonts w:ascii="Arial" w:hAnsi="Arial" w:cs="Arial"/>
                <w:sz w:val="18"/>
                <w:szCs w:val="18"/>
              </w:rPr>
              <w:t xml:space="preserve"> milyar dolar</w:t>
            </w:r>
          </w:p>
        </w:tc>
        <w:tc>
          <w:tcPr>
            <w:tcW w:w="2268" w:type="dxa"/>
          </w:tcPr>
          <w:p w:rsidRPr="00105301" w:rsidR="002B6279" w:rsidP="008912A6" w:rsidRDefault="00BE15E3" w14:paraId="0BCD3402" w14:textId="6F3CDC3A">
            <w:pPr>
              <w:spacing w:line="300" w:lineRule="auto"/>
              <w:contextualSpacing/>
              <w:jc w:val="both"/>
              <w:rPr>
                <w:rFonts w:ascii="Arial" w:hAnsi="Arial" w:cs="Arial"/>
                <w:sz w:val="18"/>
                <w:szCs w:val="18"/>
              </w:rPr>
            </w:pPr>
            <w:r w:rsidRPr="00105301">
              <w:rPr>
                <w:rFonts w:ascii="Arial" w:hAnsi="Arial" w:cs="Arial"/>
                <w:sz w:val="18"/>
                <w:szCs w:val="18"/>
              </w:rPr>
              <w:t>Londra</w:t>
            </w:r>
            <w:r w:rsidRPr="00105301" w:rsidR="002B6279">
              <w:rPr>
                <w:rFonts w:ascii="Arial" w:hAnsi="Arial" w:cs="Arial"/>
                <w:sz w:val="18"/>
                <w:szCs w:val="18"/>
              </w:rPr>
              <w:t>, Birleşik Krallık</w:t>
            </w:r>
          </w:p>
        </w:tc>
        <w:tc>
          <w:tcPr>
            <w:tcW w:w="1842" w:type="dxa"/>
          </w:tcPr>
          <w:p w:rsidRPr="00105301" w:rsidR="002B6279" w:rsidP="008912A6" w:rsidRDefault="00BE15E3" w14:paraId="5A50F5E2" w14:textId="49F1153E">
            <w:pPr>
              <w:spacing w:line="300" w:lineRule="auto"/>
              <w:contextualSpacing/>
              <w:jc w:val="both"/>
              <w:rPr>
                <w:rFonts w:ascii="Arial" w:hAnsi="Arial" w:cs="Arial"/>
                <w:sz w:val="18"/>
                <w:szCs w:val="18"/>
              </w:rPr>
            </w:pPr>
            <w:r w:rsidRPr="00105301">
              <w:rPr>
                <w:rFonts w:ascii="Arial" w:hAnsi="Arial" w:cs="Arial"/>
                <w:sz w:val="18"/>
                <w:szCs w:val="18"/>
              </w:rPr>
              <w:t>Ödemeler</w:t>
            </w:r>
          </w:p>
        </w:tc>
      </w:tr>
      <w:tr w:rsidRPr="00105301" w:rsidR="002B6279" w:rsidTr="002B6279" w14:paraId="601332E4" w14:textId="77777777">
        <w:tc>
          <w:tcPr>
            <w:tcW w:w="704" w:type="dxa"/>
          </w:tcPr>
          <w:p w:rsidRPr="00105301" w:rsidR="002B6279" w:rsidP="008912A6" w:rsidRDefault="002B6279" w14:paraId="6787BBE5"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5</w:t>
            </w:r>
          </w:p>
        </w:tc>
        <w:tc>
          <w:tcPr>
            <w:tcW w:w="2977" w:type="dxa"/>
          </w:tcPr>
          <w:p w:rsidRPr="00105301" w:rsidR="002B6279" w:rsidP="008912A6" w:rsidRDefault="00BE15E3" w14:paraId="5D40408B" w14:textId="3D72033A">
            <w:pPr>
              <w:spacing w:line="300" w:lineRule="auto"/>
              <w:contextualSpacing/>
              <w:jc w:val="both"/>
              <w:rPr>
                <w:rFonts w:ascii="Arial" w:hAnsi="Arial" w:cs="Arial"/>
                <w:sz w:val="18"/>
                <w:szCs w:val="18"/>
              </w:rPr>
            </w:pPr>
            <w:proofErr w:type="spellStart"/>
            <w:r w:rsidRPr="00105301">
              <w:rPr>
                <w:rFonts w:ascii="Arial" w:hAnsi="Arial" w:cs="Arial"/>
                <w:sz w:val="18"/>
                <w:szCs w:val="18"/>
              </w:rPr>
              <w:t>Stripe</w:t>
            </w:r>
            <w:proofErr w:type="spellEnd"/>
          </w:p>
        </w:tc>
        <w:tc>
          <w:tcPr>
            <w:tcW w:w="1843" w:type="dxa"/>
          </w:tcPr>
          <w:p w:rsidRPr="00105301" w:rsidR="002B6279" w:rsidP="008912A6" w:rsidRDefault="00BE15E3" w14:paraId="04F8F41C" w14:textId="3EC5306A">
            <w:pPr>
              <w:spacing w:line="300" w:lineRule="auto"/>
              <w:contextualSpacing/>
              <w:jc w:val="both"/>
              <w:rPr>
                <w:rFonts w:ascii="Arial" w:hAnsi="Arial" w:cs="Arial"/>
                <w:sz w:val="18"/>
                <w:szCs w:val="18"/>
              </w:rPr>
            </w:pPr>
            <w:r w:rsidRPr="00105301">
              <w:rPr>
                <w:rFonts w:ascii="Arial" w:hAnsi="Arial" w:cs="Arial"/>
                <w:sz w:val="18"/>
                <w:szCs w:val="18"/>
              </w:rPr>
              <w:t>6,9</w:t>
            </w:r>
            <w:r w:rsidRPr="00105301" w:rsidR="002B6279">
              <w:rPr>
                <w:rFonts w:ascii="Arial" w:hAnsi="Arial" w:cs="Arial"/>
                <w:sz w:val="18"/>
                <w:szCs w:val="18"/>
              </w:rPr>
              <w:t xml:space="preserve"> milyar dolar</w:t>
            </w:r>
          </w:p>
        </w:tc>
        <w:tc>
          <w:tcPr>
            <w:tcW w:w="2268" w:type="dxa"/>
          </w:tcPr>
          <w:p w:rsidRPr="00105301" w:rsidR="002B6279" w:rsidP="008912A6" w:rsidRDefault="00BE15E3" w14:paraId="5DB980F4" w14:textId="3B1F8837">
            <w:pPr>
              <w:spacing w:line="300" w:lineRule="auto"/>
              <w:contextualSpacing/>
              <w:jc w:val="both"/>
              <w:rPr>
                <w:rFonts w:ascii="Arial" w:hAnsi="Arial" w:cs="Arial"/>
                <w:sz w:val="18"/>
                <w:szCs w:val="18"/>
              </w:rPr>
            </w:pPr>
            <w:r w:rsidRPr="00105301">
              <w:rPr>
                <w:rFonts w:ascii="Arial" w:hAnsi="Arial" w:cs="Arial"/>
                <w:sz w:val="18"/>
                <w:szCs w:val="18"/>
              </w:rPr>
              <w:t>San Francisco</w:t>
            </w:r>
            <w:r w:rsidRPr="00105301" w:rsidR="002B6279">
              <w:rPr>
                <w:rFonts w:ascii="Arial" w:hAnsi="Arial" w:cs="Arial"/>
                <w:sz w:val="18"/>
                <w:szCs w:val="18"/>
              </w:rPr>
              <w:t>, ABD</w:t>
            </w:r>
          </w:p>
        </w:tc>
        <w:tc>
          <w:tcPr>
            <w:tcW w:w="1842" w:type="dxa"/>
          </w:tcPr>
          <w:p w:rsidRPr="00105301" w:rsidR="002B6279" w:rsidP="008912A6" w:rsidRDefault="00BE15E3" w14:paraId="309505FB" w14:textId="37ACE22B">
            <w:pPr>
              <w:spacing w:line="300" w:lineRule="auto"/>
              <w:contextualSpacing/>
              <w:jc w:val="both"/>
              <w:rPr>
                <w:rFonts w:ascii="Arial" w:hAnsi="Arial" w:cs="Arial"/>
                <w:sz w:val="18"/>
                <w:szCs w:val="18"/>
              </w:rPr>
            </w:pPr>
            <w:r w:rsidRPr="00105301">
              <w:rPr>
                <w:rFonts w:ascii="Arial" w:hAnsi="Arial" w:cs="Arial"/>
                <w:sz w:val="18"/>
                <w:szCs w:val="18"/>
              </w:rPr>
              <w:t>Ödemeler</w:t>
            </w:r>
          </w:p>
        </w:tc>
      </w:tr>
      <w:tr w:rsidRPr="00105301" w:rsidR="002B6279" w:rsidTr="002B6279" w14:paraId="567C4546" w14:textId="77777777">
        <w:tc>
          <w:tcPr>
            <w:tcW w:w="704" w:type="dxa"/>
          </w:tcPr>
          <w:p w:rsidRPr="00105301" w:rsidR="002B6279" w:rsidP="008912A6" w:rsidRDefault="002B6279" w14:paraId="5B944452"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6</w:t>
            </w:r>
          </w:p>
        </w:tc>
        <w:tc>
          <w:tcPr>
            <w:tcW w:w="2977" w:type="dxa"/>
          </w:tcPr>
          <w:p w:rsidRPr="00105301" w:rsidR="002B6279" w:rsidP="008912A6" w:rsidRDefault="00BE15E3" w14:paraId="620DE26A" w14:textId="37339BCF">
            <w:pPr>
              <w:spacing w:line="300" w:lineRule="auto"/>
              <w:contextualSpacing/>
              <w:jc w:val="both"/>
              <w:rPr>
                <w:rFonts w:ascii="Arial" w:hAnsi="Arial" w:cs="Arial"/>
                <w:sz w:val="18"/>
                <w:szCs w:val="18"/>
              </w:rPr>
            </w:pPr>
            <w:proofErr w:type="spellStart"/>
            <w:r w:rsidRPr="00105301">
              <w:rPr>
                <w:rFonts w:ascii="Arial" w:hAnsi="Arial" w:cs="Arial"/>
                <w:sz w:val="18"/>
                <w:szCs w:val="18"/>
              </w:rPr>
              <w:t>EVO</w:t>
            </w:r>
            <w:proofErr w:type="spellEnd"/>
            <w:r w:rsidRPr="00105301">
              <w:rPr>
                <w:rFonts w:ascii="Arial" w:hAnsi="Arial" w:cs="Arial"/>
                <w:sz w:val="18"/>
                <w:szCs w:val="18"/>
              </w:rPr>
              <w:t xml:space="preserve"> </w:t>
            </w:r>
            <w:proofErr w:type="spellStart"/>
            <w:r w:rsidRPr="00105301">
              <w:rPr>
                <w:rFonts w:ascii="Arial" w:hAnsi="Arial" w:cs="Arial"/>
                <w:sz w:val="18"/>
                <w:szCs w:val="18"/>
              </w:rPr>
              <w:t>Payments</w:t>
            </w:r>
            <w:proofErr w:type="spellEnd"/>
          </w:p>
        </w:tc>
        <w:tc>
          <w:tcPr>
            <w:tcW w:w="1843" w:type="dxa"/>
          </w:tcPr>
          <w:p w:rsidRPr="00105301" w:rsidR="002B6279" w:rsidP="008912A6" w:rsidRDefault="00BE15E3" w14:paraId="49B3FA89" w14:textId="118518E5">
            <w:pPr>
              <w:spacing w:line="300" w:lineRule="auto"/>
              <w:contextualSpacing/>
              <w:jc w:val="both"/>
              <w:rPr>
                <w:rFonts w:ascii="Arial" w:hAnsi="Arial" w:cs="Arial"/>
                <w:sz w:val="18"/>
                <w:szCs w:val="18"/>
              </w:rPr>
            </w:pPr>
            <w:r w:rsidRPr="00105301">
              <w:rPr>
                <w:rFonts w:ascii="Arial" w:hAnsi="Arial" w:cs="Arial"/>
                <w:sz w:val="18"/>
                <w:szCs w:val="18"/>
              </w:rPr>
              <w:t>4</w:t>
            </w:r>
            <w:r w:rsidRPr="00105301" w:rsidR="002B6279">
              <w:rPr>
                <w:rFonts w:ascii="Arial" w:hAnsi="Arial" w:cs="Arial"/>
                <w:sz w:val="18"/>
                <w:szCs w:val="18"/>
              </w:rPr>
              <w:t xml:space="preserve"> milyar dolar</w:t>
            </w:r>
          </w:p>
        </w:tc>
        <w:tc>
          <w:tcPr>
            <w:tcW w:w="2268" w:type="dxa"/>
          </w:tcPr>
          <w:p w:rsidRPr="00105301" w:rsidR="002B6279" w:rsidP="008912A6" w:rsidRDefault="00BE15E3" w14:paraId="189F478B" w14:textId="423760FD">
            <w:pPr>
              <w:spacing w:line="300" w:lineRule="auto"/>
              <w:contextualSpacing/>
              <w:jc w:val="both"/>
              <w:rPr>
                <w:rFonts w:ascii="Arial" w:hAnsi="Arial" w:cs="Arial"/>
                <w:sz w:val="18"/>
                <w:szCs w:val="18"/>
              </w:rPr>
            </w:pPr>
            <w:r w:rsidRPr="00105301">
              <w:rPr>
                <w:rFonts w:ascii="Arial" w:hAnsi="Arial" w:cs="Arial"/>
                <w:sz w:val="18"/>
                <w:szCs w:val="18"/>
              </w:rPr>
              <w:t>Atlanta</w:t>
            </w:r>
            <w:r w:rsidRPr="00105301" w:rsidR="002B6279">
              <w:rPr>
                <w:rFonts w:ascii="Arial" w:hAnsi="Arial" w:cs="Arial"/>
                <w:sz w:val="18"/>
                <w:szCs w:val="18"/>
              </w:rPr>
              <w:t>, ABD</w:t>
            </w:r>
          </w:p>
        </w:tc>
        <w:tc>
          <w:tcPr>
            <w:tcW w:w="1842" w:type="dxa"/>
          </w:tcPr>
          <w:p w:rsidRPr="00105301" w:rsidR="002B6279" w:rsidP="008912A6" w:rsidRDefault="002B6279" w14:paraId="318856F2" w14:textId="29DB4FC7">
            <w:pPr>
              <w:spacing w:line="300" w:lineRule="auto"/>
              <w:contextualSpacing/>
              <w:jc w:val="both"/>
              <w:rPr>
                <w:rFonts w:ascii="Arial" w:hAnsi="Arial" w:cs="Arial"/>
                <w:sz w:val="18"/>
                <w:szCs w:val="18"/>
              </w:rPr>
            </w:pPr>
            <w:r w:rsidRPr="00105301">
              <w:rPr>
                <w:rFonts w:ascii="Arial" w:hAnsi="Arial" w:cs="Arial"/>
                <w:sz w:val="18"/>
                <w:szCs w:val="18"/>
              </w:rPr>
              <w:t>Ödemeler</w:t>
            </w:r>
          </w:p>
        </w:tc>
      </w:tr>
      <w:tr w:rsidRPr="00105301" w:rsidR="002B6279" w:rsidTr="002B6279" w14:paraId="66C4F008" w14:textId="77777777">
        <w:tc>
          <w:tcPr>
            <w:tcW w:w="704" w:type="dxa"/>
          </w:tcPr>
          <w:p w:rsidRPr="00105301" w:rsidR="002B6279" w:rsidP="008912A6" w:rsidRDefault="002B6279" w14:paraId="787A7394"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7</w:t>
            </w:r>
          </w:p>
        </w:tc>
        <w:tc>
          <w:tcPr>
            <w:tcW w:w="2977" w:type="dxa"/>
          </w:tcPr>
          <w:p w:rsidRPr="00105301" w:rsidR="002B6279" w:rsidP="008912A6" w:rsidRDefault="00BE15E3" w14:paraId="0CB0FD37" w14:textId="316D1EE8">
            <w:pPr>
              <w:spacing w:line="300" w:lineRule="auto"/>
              <w:contextualSpacing/>
              <w:jc w:val="both"/>
              <w:rPr>
                <w:rFonts w:ascii="Arial" w:hAnsi="Arial" w:cs="Arial"/>
                <w:sz w:val="18"/>
                <w:szCs w:val="18"/>
              </w:rPr>
            </w:pPr>
            <w:proofErr w:type="spellStart"/>
            <w:r w:rsidRPr="00105301">
              <w:rPr>
                <w:rFonts w:ascii="Arial" w:hAnsi="Arial" w:cs="Arial"/>
                <w:sz w:val="18"/>
                <w:szCs w:val="18"/>
              </w:rPr>
              <w:t>Duck</w:t>
            </w:r>
            <w:proofErr w:type="spellEnd"/>
            <w:r w:rsidRPr="00105301">
              <w:rPr>
                <w:rFonts w:ascii="Arial" w:hAnsi="Arial" w:cs="Arial"/>
                <w:sz w:val="18"/>
                <w:szCs w:val="18"/>
              </w:rPr>
              <w:t xml:space="preserve"> </w:t>
            </w:r>
            <w:proofErr w:type="spellStart"/>
            <w:r w:rsidRPr="00105301">
              <w:rPr>
                <w:rFonts w:ascii="Arial" w:hAnsi="Arial" w:cs="Arial"/>
                <w:sz w:val="18"/>
                <w:szCs w:val="18"/>
              </w:rPr>
              <w:t>Creek</w:t>
            </w:r>
            <w:proofErr w:type="spellEnd"/>
            <w:r w:rsidRPr="00105301">
              <w:rPr>
                <w:rFonts w:ascii="Arial" w:hAnsi="Arial" w:cs="Arial"/>
                <w:sz w:val="18"/>
                <w:szCs w:val="18"/>
              </w:rPr>
              <w:t xml:space="preserve"> Technologies</w:t>
            </w:r>
          </w:p>
        </w:tc>
        <w:tc>
          <w:tcPr>
            <w:tcW w:w="1843" w:type="dxa"/>
          </w:tcPr>
          <w:p w:rsidRPr="00105301" w:rsidR="002B6279" w:rsidP="008912A6" w:rsidRDefault="00BE15E3" w14:paraId="7CEED19C" w14:textId="7585FA65">
            <w:pPr>
              <w:spacing w:line="300" w:lineRule="auto"/>
              <w:contextualSpacing/>
              <w:jc w:val="both"/>
              <w:rPr>
                <w:rFonts w:ascii="Arial" w:hAnsi="Arial" w:cs="Arial"/>
                <w:sz w:val="18"/>
                <w:szCs w:val="18"/>
              </w:rPr>
            </w:pPr>
            <w:r w:rsidRPr="00105301">
              <w:rPr>
                <w:rFonts w:ascii="Arial" w:hAnsi="Arial" w:cs="Arial"/>
                <w:sz w:val="18"/>
                <w:szCs w:val="18"/>
              </w:rPr>
              <w:t>2,6</w:t>
            </w:r>
            <w:r w:rsidRPr="00105301" w:rsidR="002B6279">
              <w:rPr>
                <w:rFonts w:ascii="Arial" w:hAnsi="Arial" w:cs="Arial"/>
                <w:sz w:val="18"/>
                <w:szCs w:val="18"/>
              </w:rPr>
              <w:t xml:space="preserve"> milyar dolar</w:t>
            </w:r>
          </w:p>
        </w:tc>
        <w:tc>
          <w:tcPr>
            <w:tcW w:w="2268" w:type="dxa"/>
          </w:tcPr>
          <w:p w:rsidRPr="00105301" w:rsidR="002B6279" w:rsidP="008912A6" w:rsidRDefault="00BE15E3" w14:paraId="70EC5B6F" w14:textId="51FD2765">
            <w:pPr>
              <w:spacing w:line="300" w:lineRule="auto"/>
              <w:contextualSpacing/>
              <w:jc w:val="both"/>
              <w:rPr>
                <w:rFonts w:ascii="Arial" w:hAnsi="Arial" w:cs="Arial"/>
                <w:sz w:val="18"/>
                <w:szCs w:val="18"/>
              </w:rPr>
            </w:pPr>
            <w:r w:rsidRPr="00105301">
              <w:rPr>
                <w:rFonts w:ascii="Arial" w:hAnsi="Arial" w:cs="Arial"/>
                <w:sz w:val="18"/>
                <w:szCs w:val="18"/>
              </w:rPr>
              <w:t>Boston</w:t>
            </w:r>
            <w:r w:rsidRPr="00105301" w:rsidR="002B6279">
              <w:rPr>
                <w:rFonts w:ascii="Arial" w:hAnsi="Arial" w:cs="Arial"/>
                <w:sz w:val="18"/>
                <w:szCs w:val="18"/>
              </w:rPr>
              <w:t xml:space="preserve">, </w:t>
            </w:r>
            <w:r w:rsidRPr="00105301">
              <w:rPr>
                <w:rFonts w:ascii="Arial" w:hAnsi="Arial" w:cs="Arial"/>
                <w:sz w:val="18"/>
                <w:szCs w:val="18"/>
              </w:rPr>
              <w:t>ABD</w:t>
            </w:r>
          </w:p>
        </w:tc>
        <w:tc>
          <w:tcPr>
            <w:tcW w:w="1842" w:type="dxa"/>
          </w:tcPr>
          <w:p w:rsidRPr="00105301" w:rsidR="002B6279" w:rsidP="008912A6" w:rsidRDefault="00BE15E3" w14:paraId="367CA4A4" w14:textId="0275DA38">
            <w:pPr>
              <w:spacing w:line="300" w:lineRule="auto"/>
              <w:contextualSpacing/>
              <w:jc w:val="both"/>
              <w:rPr>
                <w:rFonts w:ascii="Arial" w:hAnsi="Arial" w:cs="Arial"/>
                <w:sz w:val="18"/>
                <w:szCs w:val="18"/>
              </w:rPr>
            </w:pPr>
            <w:r w:rsidRPr="00105301">
              <w:rPr>
                <w:rFonts w:ascii="Arial" w:hAnsi="Arial" w:cs="Arial"/>
                <w:sz w:val="18"/>
                <w:szCs w:val="18"/>
              </w:rPr>
              <w:t>Insurtech</w:t>
            </w:r>
          </w:p>
        </w:tc>
      </w:tr>
      <w:tr w:rsidRPr="00105301" w:rsidR="002B6279" w:rsidTr="002B6279" w14:paraId="3C02D7BB" w14:textId="77777777">
        <w:tc>
          <w:tcPr>
            <w:tcW w:w="704" w:type="dxa"/>
          </w:tcPr>
          <w:p w:rsidRPr="00105301" w:rsidR="002B6279" w:rsidP="008912A6" w:rsidRDefault="002B6279" w14:paraId="2C39558C"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lastRenderedPageBreak/>
              <w:t>8</w:t>
            </w:r>
          </w:p>
        </w:tc>
        <w:tc>
          <w:tcPr>
            <w:tcW w:w="2977" w:type="dxa"/>
          </w:tcPr>
          <w:p w:rsidRPr="00105301" w:rsidR="002B6279" w:rsidP="008912A6" w:rsidRDefault="00BE15E3" w14:paraId="2E93B241" w14:textId="70BEFB81">
            <w:pPr>
              <w:spacing w:line="300" w:lineRule="auto"/>
              <w:contextualSpacing/>
              <w:jc w:val="both"/>
              <w:rPr>
                <w:rFonts w:ascii="Arial" w:hAnsi="Arial" w:cs="Arial"/>
                <w:sz w:val="18"/>
                <w:szCs w:val="18"/>
              </w:rPr>
            </w:pPr>
            <w:proofErr w:type="spellStart"/>
            <w:r w:rsidRPr="00105301">
              <w:rPr>
                <w:rFonts w:ascii="Arial" w:hAnsi="Arial" w:cs="Arial"/>
                <w:sz w:val="18"/>
                <w:szCs w:val="18"/>
              </w:rPr>
              <w:t>Celsius</w:t>
            </w:r>
            <w:proofErr w:type="spellEnd"/>
            <w:r w:rsidRPr="00105301">
              <w:rPr>
                <w:rFonts w:ascii="Arial" w:hAnsi="Arial" w:cs="Arial"/>
                <w:sz w:val="18"/>
                <w:szCs w:val="18"/>
              </w:rPr>
              <w:t xml:space="preserve"> Network</w:t>
            </w:r>
          </w:p>
        </w:tc>
        <w:tc>
          <w:tcPr>
            <w:tcW w:w="1843" w:type="dxa"/>
          </w:tcPr>
          <w:p w:rsidRPr="00105301" w:rsidR="002B6279" w:rsidP="008912A6" w:rsidRDefault="00BE15E3" w14:paraId="732A2BA5" w14:textId="099AB55D">
            <w:pPr>
              <w:spacing w:line="300" w:lineRule="auto"/>
              <w:contextualSpacing/>
              <w:jc w:val="both"/>
              <w:rPr>
                <w:rFonts w:ascii="Arial" w:hAnsi="Arial" w:cs="Arial"/>
                <w:sz w:val="18"/>
                <w:szCs w:val="18"/>
              </w:rPr>
            </w:pPr>
            <w:r w:rsidRPr="00105301">
              <w:rPr>
                <w:rFonts w:ascii="Arial" w:hAnsi="Arial" w:cs="Arial"/>
                <w:sz w:val="18"/>
                <w:szCs w:val="18"/>
              </w:rPr>
              <w:t>2</w:t>
            </w:r>
            <w:r w:rsidRPr="00105301" w:rsidR="002B6279">
              <w:rPr>
                <w:rFonts w:ascii="Arial" w:hAnsi="Arial" w:cs="Arial"/>
                <w:sz w:val="18"/>
                <w:szCs w:val="18"/>
              </w:rPr>
              <w:t xml:space="preserve"> milyar dolar</w:t>
            </w:r>
          </w:p>
        </w:tc>
        <w:tc>
          <w:tcPr>
            <w:tcW w:w="2268" w:type="dxa"/>
          </w:tcPr>
          <w:p w:rsidRPr="00105301" w:rsidR="002B6279" w:rsidP="008912A6" w:rsidRDefault="00BE15E3" w14:paraId="33D95673" w14:textId="7A14EFBE">
            <w:pPr>
              <w:spacing w:line="300" w:lineRule="auto"/>
              <w:contextualSpacing/>
              <w:jc w:val="both"/>
              <w:rPr>
                <w:rFonts w:ascii="Arial" w:hAnsi="Arial" w:cs="Arial"/>
                <w:sz w:val="18"/>
                <w:szCs w:val="18"/>
              </w:rPr>
            </w:pPr>
            <w:proofErr w:type="spellStart"/>
            <w:r w:rsidRPr="00105301">
              <w:rPr>
                <w:rFonts w:ascii="Arial" w:hAnsi="Arial" w:cs="Arial"/>
                <w:sz w:val="18"/>
                <w:szCs w:val="18"/>
              </w:rPr>
              <w:t>Hoboken</w:t>
            </w:r>
            <w:proofErr w:type="spellEnd"/>
            <w:r w:rsidRPr="00105301" w:rsidR="002B6279">
              <w:rPr>
                <w:rFonts w:ascii="Arial" w:hAnsi="Arial" w:cs="Arial"/>
                <w:sz w:val="18"/>
                <w:szCs w:val="18"/>
              </w:rPr>
              <w:t>, ABD</w:t>
            </w:r>
          </w:p>
        </w:tc>
        <w:tc>
          <w:tcPr>
            <w:tcW w:w="1842" w:type="dxa"/>
          </w:tcPr>
          <w:p w:rsidRPr="00105301" w:rsidR="002B6279" w:rsidP="008912A6" w:rsidRDefault="00BE15E3" w14:paraId="33D636D8" w14:textId="02F73E10">
            <w:pPr>
              <w:spacing w:line="300" w:lineRule="auto"/>
              <w:contextualSpacing/>
              <w:jc w:val="both"/>
              <w:rPr>
                <w:rFonts w:ascii="Arial" w:hAnsi="Arial" w:cs="Arial"/>
                <w:sz w:val="18"/>
                <w:szCs w:val="18"/>
              </w:rPr>
            </w:pPr>
            <w:r w:rsidRPr="00105301">
              <w:rPr>
                <w:rFonts w:ascii="Arial" w:hAnsi="Arial" w:cs="Arial"/>
                <w:sz w:val="18"/>
                <w:szCs w:val="18"/>
              </w:rPr>
              <w:t>Kurumsal/B2B</w:t>
            </w:r>
          </w:p>
        </w:tc>
      </w:tr>
      <w:tr w:rsidRPr="00105301" w:rsidR="002B6279" w:rsidTr="002B6279" w14:paraId="43CF68E5" w14:textId="77777777">
        <w:tc>
          <w:tcPr>
            <w:tcW w:w="704" w:type="dxa"/>
          </w:tcPr>
          <w:p w:rsidRPr="00105301" w:rsidR="002B6279" w:rsidP="008912A6" w:rsidRDefault="002B6279" w14:paraId="541B03EA"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9</w:t>
            </w:r>
          </w:p>
        </w:tc>
        <w:tc>
          <w:tcPr>
            <w:tcW w:w="2977" w:type="dxa"/>
          </w:tcPr>
          <w:p w:rsidRPr="00105301" w:rsidR="002B6279" w:rsidP="008912A6" w:rsidRDefault="00BE15E3" w14:paraId="2B71FFD3" w14:textId="04C7CE85">
            <w:pPr>
              <w:spacing w:line="300" w:lineRule="auto"/>
              <w:contextualSpacing/>
              <w:jc w:val="both"/>
              <w:rPr>
                <w:rFonts w:ascii="Arial" w:hAnsi="Arial" w:cs="Arial"/>
                <w:sz w:val="18"/>
                <w:szCs w:val="18"/>
              </w:rPr>
            </w:pPr>
            <w:proofErr w:type="spellStart"/>
            <w:r w:rsidRPr="00105301">
              <w:rPr>
                <w:rFonts w:ascii="Arial" w:hAnsi="Arial" w:cs="Arial"/>
                <w:sz w:val="18"/>
                <w:szCs w:val="18"/>
              </w:rPr>
              <w:t>Moneygram</w:t>
            </w:r>
            <w:proofErr w:type="spellEnd"/>
          </w:p>
        </w:tc>
        <w:tc>
          <w:tcPr>
            <w:tcW w:w="1843" w:type="dxa"/>
          </w:tcPr>
          <w:p w:rsidRPr="00105301" w:rsidR="002B6279" w:rsidP="008912A6" w:rsidRDefault="00BE15E3" w14:paraId="4F7016FF" w14:textId="135BC165">
            <w:pPr>
              <w:spacing w:line="300" w:lineRule="auto"/>
              <w:contextualSpacing/>
              <w:jc w:val="both"/>
              <w:rPr>
                <w:rFonts w:ascii="Arial" w:hAnsi="Arial" w:cs="Arial"/>
                <w:sz w:val="18"/>
                <w:szCs w:val="18"/>
              </w:rPr>
            </w:pPr>
            <w:r w:rsidRPr="00105301">
              <w:rPr>
                <w:rFonts w:ascii="Arial" w:hAnsi="Arial" w:cs="Arial"/>
                <w:sz w:val="18"/>
                <w:szCs w:val="18"/>
              </w:rPr>
              <w:t xml:space="preserve">1,8 milyar </w:t>
            </w:r>
            <w:r w:rsidRPr="00105301" w:rsidR="002B6279">
              <w:rPr>
                <w:rFonts w:ascii="Arial" w:hAnsi="Arial" w:cs="Arial"/>
                <w:sz w:val="18"/>
                <w:szCs w:val="18"/>
              </w:rPr>
              <w:t>dolar</w:t>
            </w:r>
          </w:p>
        </w:tc>
        <w:tc>
          <w:tcPr>
            <w:tcW w:w="2268" w:type="dxa"/>
          </w:tcPr>
          <w:p w:rsidRPr="00105301" w:rsidR="002B6279" w:rsidP="008912A6" w:rsidRDefault="00BE15E3" w14:paraId="1A2F0A35" w14:textId="25D2E54E">
            <w:pPr>
              <w:spacing w:line="300" w:lineRule="auto"/>
              <w:contextualSpacing/>
              <w:jc w:val="both"/>
              <w:rPr>
                <w:rFonts w:ascii="Arial" w:hAnsi="Arial" w:cs="Arial"/>
                <w:sz w:val="18"/>
                <w:szCs w:val="18"/>
              </w:rPr>
            </w:pPr>
            <w:r w:rsidRPr="00105301">
              <w:rPr>
                <w:rFonts w:ascii="Arial" w:hAnsi="Arial" w:cs="Arial"/>
                <w:sz w:val="18"/>
                <w:szCs w:val="18"/>
              </w:rPr>
              <w:t>Dallas</w:t>
            </w:r>
            <w:r w:rsidRPr="00105301" w:rsidR="00076393">
              <w:rPr>
                <w:rFonts w:ascii="Arial" w:hAnsi="Arial" w:cs="Arial"/>
                <w:sz w:val="18"/>
                <w:szCs w:val="18"/>
              </w:rPr>
              <w:t>, ABD</w:t>
            </w:r>
          </w:p>
        </w:tc>
        <w:tc>
          <w:tcPr>
            <w:tcW w:w="1842" w:type="dxa"/>
          </w:tcPr>
          <w:p w:rsidRPr="00105301" w:rsidR="002B6279" w:rsidP="008912A6" w:rsidRDefault="00BE15E3" w14:paraId="19A7575E" w14:textId="656067CA">
            <w:pPr>
              <w:spacing w:line="300" w:lineRule="auto"/>
              <w:contextualSpacing/>
              <w:jc w:val="both"/>
              <w:rPr>
                <w:rFonts w:ascii="Arial" w:hAnsi="Arial" w:cs="Arial"/>
                <w:sz w:val="18"/>
                <w:szCs w:val="18"/>
              </w:rPr>
            </w:pPr>
            <w:r w:rsidRPr="00105301">
              <w:rPr>
                <w:rFonts w:ascii="Arial" w:hAnsi="Arial" w:cs="Arial"/>
                <w:sz w:val="18"/>
                <w:szCs w:val="18"/>
              </w:rPr>
              <w:t>Ödemeler</w:t>
            </w:r>
          </w:p>
        </w:tc>
      </w:tr>
      <w:tr w:rsidRPr="00105301" w:rsidR="00076393" w:rsidTr="002B6279" w14:paraId="69DB0E90" w14:textId="77777777">
        <w:tc>
          <w:tcPr>
            <w:tcW w:w="704" w:type="dxa"/>
          </w:tcPr>
          <w:p w:rsidRPr="00105301" w:rsidR="00076393" w:rsidP="00076393" w:rsidRDefault="00076393" w14:paraId="06F7F86E" w14:textId="77777777">
            <w:pPr>
              <w:spacing w:line="300" w:lineRule="auto"/>
              <w:contextualSpacing/>
              <w:jc w:val="both"/>
              <w:rPr>
                <w:rFonts w:ascii="Arial" w:hAnsi="Arial" w:cs="Arial"/>
                <w:b/>
                <w:bCs/>
                <w:sz w:val="18"/>
                <w:szCs w:val="18"/>
              </w:rPr>
            </w:pPr>
            <w:r w:rsidRPr="00105301">
              <w:rPr>
                <w:rFonts w:ascii="Arial" w:hAnsi="Arial" w:cs="Arial"/>
                <w:b/>
                <w:bCs/>
                <w:sz w:val="18"/>
                <w:szCs w:val="18"/>
              </w:rPr>
              <w:t>10</w:t>
            </w:r>
          </w:p>
        </w:tc>
        <w:tc>
          <w:tcPr>
            <w:tcW w:w="2977" w:type="dxa"/>
          </w:tcPr>
          <w:p w:rsidRPr="00105301" w:rsidR="00076393" w:rsidP="00076393" w:rsidRDefault="00105301" w14:paraId="72024244" w14:textId="0B07F0E8">
            <w:pPr>
              <w:spacing w:line="300" w:lineRule="auto"/>
              <w:contextualSpacing/>
              <w:jc w:val="both"/>
              <w:rPr>
                <w:rFonts w:ascii="Arial" w:hAnsi="Arial" w:cs="Arial"/>
                <w:sz w:val="18"/>
                <w:szCs w:val="18"/>
              </w:rPr>
            </w:pPr>
            <w:proofErr w:type="spellStart"/>
            <w:r w:rsidRPr="00105301">
              <w:rPr>
                <w:rFonts w:ascii="Arial" w:hAnsi="Arial" w:cs="Arial"/>
                <w:sz w:val="18"/>
                <w:szCs w:val="18"/>
              </w:rPr>
              <w:t>Chongqing</w:t>
            </w:r>
            <w:proofErr w:type="spellEnd"/>
            <w:r w:rsidRPr="00105301">
              <w:rPr>
                <w:rFonts w:ascii="Arial" w:hAnsi="Arial" w:cs="Arial"/>
                <w:sz w:val="18"/>
                <w:szCs w:val="18"/>
              </w:rPr>
              <w:t xml:space="preserve"> Ant Consumer Finance</w:t>
            </w:r>
          </w:p>
        </w:tc>
        <w:tc>
          <w:tcPr>
            <w:tcW w:w="1843" w:type="dxa"/>
          </w:tcPr>
          <w:p w:rsidRPr="00105301" w:rsidR="00076393" w:rsidP="00076393" w:rsidRDefault="00105301" w14:paraId="5BB50E48" w14:textId="42FAA928">
            <w:pPr>
              <w:spacing w:line="300" w:lineRule="auto"/>
              <w:contextualSpacing/>
              <w:jc w:val="both"/>
              <w:rPr>
                <w:rFonts w:ascii="Arial" w:hAnsi="Arial" w:cs="Arial"/>
                <w:sz w:val="18"/>
                <w:szCs w:val="18"/>
              </w:rPr>
            </w:pPr>
            <w:r w:rsidRPr="00105301">
              <w:rPr>
                <w:rFonts w:ascii="Arial" w:hAnsi="Arial" w:cs="Arial"/>
                <w:sz w:val="18"/>
                <w:szCs w:val="18"/>
              </w:rPr>
              <w:t>1,5 milyar</w:t>
            </w:r>
            <w:r w:rsidRPr="00105301" w:rsidR="00076393">
              <w:rPr>
                <w:rFonts w:ascii="Arial" w:hAnsi="Arial" w:cs="Arial"/>
                <w:sz w:val="18"/>
                <w:szCs w:val="18"/>
              </w:rPr>
              <w:t xml:space="preserve"> dolar</w:t>
            </w:r>
          </w:p>
        </w:tc>
        <w:tc>
          <w:tcPr>
            <w:tcW w:w="2268" w:type="dxa"/>
          </w:tcPr>
          <w:p w:rsidRPr="00105301" w:rsidR="00076393" w:rsidP="00076393" w:rsidRDefault="00105301" w14:paraId="4BF1C96E" w14:textId="58AC968D">
            <w:pPr>
              <w:spacing w:line="300" w:lineRule="auto"/>
              <w:contextualSpacing/>
              <w:jc w:val="both"/>
              <w:rPr>
                <w:rFonts w:ascii="Arial" w:hAnsi="Arial" w:cs="Arial"/>
                <w:sz w:val="18"/>
                <w:szCs w:val="18"/>
              </w:rPr>
            </w:pPr>
            <w:proofErr w:type="spellStart"/>
            <w:r w:rsidRPr="00105301">
              <w:rPr>
                <w:rFonts w:ascii="Arial" w:hAnsi="Arial" w:cs="Arial"/>
                <w:sz w:val="18"/>
                <w:szCs w:val="18"/>
              </w:rPr>
              <w:t>Chongqing</w:t>
            </w:r>
            <w:proofErr w:type="spellEnd"/>
            <w:r w:rsidRPr="00105301">
              <w:rPr>
                <w:rFonts w:ascii="Arial" w:hAnsi="Arial" w:cs="Arial"/>
                <w:sz w:val="18"/>
                <w:szCs w:val="18"/>
              </w:rPr>
              <w:t>, Çin</w:t>
            </w:r>
          </w:p>
        </w:tc>
        <w:tc>
          <w:tcPr>
            <w:tcW w:w="1842" w:type="dxa"/>
          </w:tcPr>
          <w:p w:rsidRPr="00105301" w:rsidR="00076393" w:rsidP="00076393" w:rsidRDefault="00076393" w14:paraId="15C962AC" w14:textId="67EC5591">
            <w:pPr>
              <w:spacing w:line="300" w:lineRule="auto"/>
              <w:contextualSpacing/>
              <w:jc w:val="both"/>
              <w:rPr>
                <w:rFonts w:ascii="Arial" w:hAnsi="Arial" w:cs="Arial"/>
                <w:sz w:val="18"/>
                <w:szCs w:val="18"/>
              </w:rPr>
            </w:pPr>
            <w:r w:rsidRPr="00105301">
              <w:rPr>
                <w:rFonts w:ascii="Arial" w:hAnsi="Arial" w:cs="Arial"/>
                <w:sz w:val="18"/>
                <w:szCs w:val="18"/>
              </w:rPr>
              <w:t>Tüketici Finansmanı</w:t>
            </w:r>
          </w:p>
        </w:tc>
      </w:tr>
    </w:tbl>
    <w:p w:rsidRPr="00105301" w:rsidR="000040FF" w:rsidP="000040FF" w:rsidRDefault="000040FF" w14:paraId="597BC6D5" w14:textId="77777777">
      <w:pPr>
        <w:spacing w:after="0" w:line="300" w:lineRule="auto"/>
        <w:contextualSpacing/>
        <w:jc w:val="both"/>
        <w:rPr>
          <w:rFonts w:ascii="Arial" w:hAnsi="Arial" w:cs="Arial"/>
        </w:rPr>
      </w:pPr>
    </w:p>
    <w:p w:rsidRPr="00105301" w:rsidR="004A399D" w:rsidP="00BA1F99" w:rsidRDefault="002B6279" w14:paraId="28266002" w14:textId="55E4B317">
      <w:pPr>
        <w:spacing w:after="0" w:line="300" w:lineRule="auto"/>
        <w:jc w:val="both"/>
        <w:rPr>
          <w:rFonts w:ascii="Arial" w:hAnsi="Arial" w:cs="Arial"/>
        </w:rPr>
      </w:pPr>
      <w:r w:rsidRPr="00105301">
        <w:rPr>
          <w:rFonts w:ascii="Arial" w:hAnsi="Arial" w:cs="Arial"/>
        </w:rPr>
        <w:t>R</w:t>
      </w:r>
      <w:r w:rsidRPr="00105301" w:rsidR="00143C50">
        <w:rPr>
          <w:rFonts w:ascii="Arial" w:hAnsi="Arial" w:cs="Arial"/>
        </w:rPr>
        <w:t xml:space="preserve">aporunun tamamına </w:t>
      </w:r>
      <w:hyperlink w:history="1" r:id="rId11">
        <w:r w:rsidRPr="00105301" w:rsidR="004A399D">
          <w:rPr>
            <w:rStyle w:val="Kpr"/>
            <w:rFonts w:ascii="Arial" w:hAnsi="Arial" w:cs="Arial"/>
          </w:rPr>
          <w:t>buradan</w:t>
        </w:r>
      </w:hyperlink>
      <w:r w:rsidRPr="00105301" w:rsidR="004A399D">
        <w:rPr>
          <w:rFonts w:ascii="Arial" w:hAnsi="Arial" w:cs="Arial"/>
        </w:rPr>
        <w:t xml:space="preserve"> ulaşabilirsiniz. </w:t>
      </w:r>
    </w:p>
    <w:p w:rsidRPr="00105301" w:rsidR="00963450" w:rsidP="001B55F3" w:rsidRDefault="00963450" w14:paraId="18A6912F" w14:textId="77777777">
      <w:pPr>
        <w:pStyle w:val="paragraph"/>
        <w:spacing w:before="0" w:beforeAutospacing="0" w:after="0" w:afterAutospacing="0"/>
        <w:jc w:val="both"/>
        <w:textAlignment w:val="baseline"/>
        <w:rPr>
          <w:rStyle w:val="normaltextrun"/>
          <w:rFonts w:asciiTheme="minorHAnsi" w:hAnsiTheme="minorHAnsi" w:cstheme="minorHAnsi"/>
          <w:b/>
          <w:bCs/>
          <w:sz w:val="18"/>
          <w:szCs w:val="18"/>
        </w:rPr>
      </w:pPr>
    </w:p>
    <w:p w:rsidRPr="00105301" w:rsidR="00143787" w:rsidP="00143787" w:rsidRDefault="00143787" w14:paraId="5B0CF9FE" w14:textId="77777777">
      <w:pPr>
        <w:pStyle w:val="paragraph"/>
        <w:spacing w:before="0" w:beforeAutospacing="0" w:after="0" w:afterAutospacing="0"/>
        <w:jc w:val="both"/>
        <w:textAlignment w:val="baseline"/>
        <w:rPr>
          <w:rFonts w:asciiTheme="minorHAnsi" w:hAnsiTheme="minorHAnsi" w:cstheme="minorHAnsi"/>
          <w:sz w:val="18"/>
          <w:szCs w:val="18"/>
        </w:rPr>
      </w:pPr>
      <w:r w:rsidRPr="00105301">
        <w:rPr>
          <w:rStyle w:val="normaltextrun"/>
          <w:rFonts w:asciiTheme="minorHAnsi" w:hAnsiTheme="minorHAnsi" w:cstheme="minorHAnsi"/>
          <w:b/>
          <w:bCs/>
          <w:sz w:val="18"/>
          <w:szCs w:val="18"/>
        </w:rPr>
        <w:t xml:space="preserve">Bilgi için: </w:t>
      </w:r>
      <w:r w:rsidRPr="00105301">
        <w:rPr>
          <w:rStyle w:val="tabchar"/>
          <w:rFonts w:asciiTheme="minorHAnsi" w:hAnsiTheme="minorHAnsi" w:cstheme="minorHAnsi"/>
          <w:sz w:val="18"/>
          <w:szCs w:val="18"/>
        </w:rPr>
        <w:tab/>
      </w:r>
      <w:r w:rsidRPr="00105301">
        <w:rPr>
          <w:rStyle w:val="eop"/>
          <w:rFonts w:asciiTheme="minorHAnsi" w:hAnsiTheme="minorHAnsi" w:cstheme="minorHAnsi"/>
          <w:sz w:val="18"/>
          <w:szCs w:val="18"/>
        </w:rPr>
        <w:t> </w:t>
      </w:r>
    </w:p>
    <w:p w:rsidRPr="00105301" w:rsidR="00143787" w:rsidP="00143787" w:rsidRDefault="00143787" w14:paraId="1BDF6496" w14:textId="77777777">
      <w:pPr>
        <w:pStyle w:val="paragraph"/>
        <w:spacing w:before="0" w:beforeAutospacing="0" w:after="0" w:afterAutospacing="0"/>
        <w:jc w:val="both"/>
        <w:textAlignment w:val="baseline"/>
        <w:rPr>
          <w:rFonts w:asciiTheme="minorHAnsi" w:hAnsiTheme="minorHAnsi" w:cstheme="minorHAnsi"/>
          <w:sz w:val="18"/>
          <w:szCs w:val="18"/>
        </w:rPr>
      </w:pPr>
      <w:r w:rsidRPr="00105301">
        <w:rPr>
          <w:rStyle w:val="normaltextrun"/>
          <w:rFonts w:asciiTheme="minorHAnsi" w:hAnsiTheme="minorHAnsi" w:cstheme="minorHAnsi"/>
          <w:color w:val="000000"/>
          <w:sz w:val="18"/>
          <w:szCs w:val="18"/>
        </w:rPr>
        <w:t>Ceren Moral Aru</w:t>
      </w:r>
      <w:r w:rsidRPr="00105301">
        <w:rPr>
          <w:rStyle w:val="eop"/>
          <w:rFonts w:asciiTheme="minorHAnsi" w:hAnsiTheme="minorHAnsi" w:cstheme="minorHAnsi"/>
          <w:color w:val="000000"/>
          <w:sz w:val="18"/>
          <w:szCs w:val="18"/>
        </w:rPr>
        <w:t> </w:t>
      </w:r>
    </w:p>
    <w:p w:rsidRPr="00105301" w:rsidR="00143787" w:rsidP="00143787" w:rsidRDefault="00143787" w14:paraId="642283C4" w14:textId="77777777">
      <w:pPr>
        <w:pStyle w:val="paragraph"/>
        <w:spacing w:before="0" w:beforeAutospacing="0" w:after="0" w:afterAutospacing="0"/>
        <w:jc w:val="both"/>
        <w:textAlignment w:val="baseline"/>
        <w:rPr>
          <w:rFonts w:asciiTheme="minorHAnsi" w:hAnsiTheme="minorHAnsi" w:cstheme="minorHAnsi"/>
          <w:sz w:val="18"/>
          <w:szCs w:val="18"/>
        </w:rPr>
      </w:pPr>
      <w:r w:rsidRPr="00105301">
        <w:rPr>
          <w:rStyle w:val="normaltextrun"/>
          <w:rFonts w:asciiTheme="minorHAnsi" w:hAnsiTheme="minorHAnsi" w:cstheme="minorHAnsi"/>
          <w:color w:val="000000"/>
          <w:sz w:val="18"/>
          <w:szCs w:val="18"/>
        </w:rPr>
        <w:t>0533 921 43 53</w:t>
      </w:r>
      <w:r w:rsidRPr="00105301">
        <w:rPr>
          <w:rStyle w:val="eop"/>
          <w:rFonts w:asciiTheme="minorHAnsi" w:hAnsiTheme="minorHAnsi" w:cstheme="minorHAnsi"/>
          <w:color w:val="000000"/>
          <w:sz w:val="18"/>
          <w:szCs w:val="18"/>
        </w:rPr>
        <w:t> </w:t>
      </w:r>
    </w:p>
    <w:p w:rsidRPr="00105301" w:rsidR="00143787" w:rsidP="00143787" w:rsidRDefault="00143787" w14:paraId="1B25D5AA" w14:textId="77777777">
      <w:pPr>
        <w:pStyle w:val="paragraph"/>
        <w:spacing w:before="0" w:beforeAutospacing="0" w:after="0" w:afterAutospacing="0"/>
        <w:jc w:val="both"/>
        <w:textAlignment w:val="baseline"/>
        <w:rPr>
          <w:rFonts w:asciiTheme="minorHAnsi" w:hAnsiTheme="minorHAnsi" w:cstheme="minorHAnsi"/>
          <w:sz w:val="18"/>
          <w:szCs w:val="18"/>
        </w:rPr>
      </w:pPr>
      <w:r w:rsidRPr="00105301">
        <w:rPr>
          <w:rStyle w:val="normaltextrun"/>
          <w:rFonts w:asciiTheme="minorHAnsi" w:hAnsiTheme="minorHAnsi" w:cstheme="minorHAnsi"/>
          <w:color w:val="000000"/>
          <w:sz w:val="18"/>
          <w:szCs w:val="18"/>
        </w:rPr>
        <w:t>cerenm@marjinal.com.tr</w:t>
      </w:r>
      <w:r w:rsidRPr="00105301">
        <w:rPr>
          <w:rStyle w:val="eop"/>
          <w:rFonts w:asciiTheme="minorHAnsi" w:hAnsiTheme="minorHAnsi" w:cstheme="minorHAnsi"/>
          <w:color w:val="000000"/>
          <w:sz w:val="18"/>
          <w:szCs w:val="18"/>
        </w:rPr>
        <w:t> </w:t>
      </w:r>
    </w:p>
    <w:p w:rsidRPr="00105301" w:rsidR="00143787" w:rsidP="00143787" w:rsidRDefault="00143787" w14:paraId="15829DF9" w14:textId="77777777">
      <w:pPr>
        <w:pStyle w:val="paragraph"/>
        <w:spacing w:before="0" w:beforeAutospacing="0" w:after="0" w:afterAutospacing="0"/>
        <w:jc w:val="both"/>
        <w:textAlignment w:val="baseline"/>
        <w:rPr>
          <w:rFonts w:asciiTheme="minorHAnsi" w:hAnsiTheme="minorHAnsi" w:cstheme="minorHAnsi"/>
          <w:sz w:val="18"/>
          <w:szCs w:val="18"/>
        </w:rPr>
      </w:pPr>
      <w:r w:rsidRPr="00105301">
        <w:rPr>
          <w:rStyle w:val="eop"/>
          <w:rFonts w:asciiTheme="minorHAnsi" w:hAnsiTheme="minorHAnsi" w:cstheme="minorHAnsi"/>
          <w:sz w:val="18"/>
          <w:szCs w:val="18"/>
        </w:rPr>
        <w:t> </w:t>
      </w:r>
    </w:p>
    <w:p w:rsidRPr="00105301" w:rsidR="00143787" w:rsidP="00143787" w:rsidRDefault="00143787" w14:paraId="4EF30A4F" w14:textId="77777777">
      <w:pPr>
        <w:pStyle w:val="paragraph"/>
        <w:spacing w:before="0" w:beforeAutospacing="0" w:after="0" w:afterAutospacing="0"/>
        <w:contextualSpacing/>
        <w:jc w:val="both"/>
        <w:textAlignment w:val="baseline"/>
        <w:rPr>
          <w:rFonts w:asciiTheme="minorHAnsi" w:hAnsiTheme="minorHAnsi" w:cstheme="minorHAnsi"/>
          <w:sz w:val="18"/>
          <w:szCs w:val="18"/>
        </w:rPr>
      </w:pPr>
      <w:r w:rsidRPr="00105301">
        <w:rPr>
          <w:rStyle w:val="normaltextrun"/>
          <w:rFonts w:asciiTheme="minorHAnsi" w:hAnsiTheme="minorHAnsi" w:cstheme="minorHAnsi"/>
          <w:b/>
          <w:bCs/>
          <w:sz w:val="18"/>
          <w:szCs w:val="18"/>
          <w:u w:val="single"/>
        </w:rPr>
        <w:t>KPMG Hakkında</w:t>
      </w:r>
      <w:r w:rsidRPr="00105301">
        <w:rPr>
          <w:rStyle w:val="eop"/>
          <w:rFonts w:asciiTheme="minorHAnsi" w:hAnsiTheme="minorHAnsi" w:cstheme="minorHAnsi"/>
          <w:sz w:val="18"/>
          <w:szCs w:val="18"/>
        </w:rPr>
        <w:t> </w:t>
      </w:r>
    </w:p>
    <w:p w:rsidRPr="00105301" w:rsidR="00105301" w:rsidP="00105301" w:rsidRDefault="00105301" w14:paraId="405EC137" w14:textId="77777777">
      <w:pPr>
        <w:pStyle w:val="paragraph"/>
        <w:spacing w:after="0"/>
        <w:contextualSpacing/>
        <w:jc w:val="both"/>
        <w:textAlignment w:val="baseline"/>
      </w:pPr>
      <w:r w:rsidRPr="00105301">
        <w:rPr>
          <w:rStyle w:val="normaltextrun"/>
          <w:rFonts w:asciiTheme="minorHAnsi" w:hAnsiTheme="minorHAnsi" w:cstheme="minorBidi"/>
          <w:color w:val="000000" w:themeColor="text1"/>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2">
        <w:r w:rsidRPr="00105301">
          <w:rPr>
            <w:rStyle w:val="Kpr"/>
            <w:rFonts w:asciiTheme="minorHAnsi" w:hAnsiTheme="minorHAnsi" w:cstheme="minorBidi"/>
            <w:sz w:val="18"/>
            <w:szCs w:val="18"/>
          </w:rPr>
          <w:t>www.kpmg.com.tr</w:t>
        </w:r>
      </w:hyperlink>
      <w:r w:rsidRPr="00105301">
        <w:rPr>
          <w:rStyle w:val="normaltextrun"/>
          <w:rFonts w:asciiTheme="minorHAnsi" w:hAnsiTheme="minorHAnsi" w:cstheme="minorBidi"/>
          <w:color w:val="000000" w:themeColor="text1"/>
          <w:sz w:val="18"/>
          <w:szCs w:val="18"/>
        </w:rPr>
        <w:t xml:space="preserve"> adresine başvurabilirsiniz.</w:t>
      </w:r>
      <w:r w:rsidRPr="00105301">
        <w:t xml:space="preserve"> </w:t>
      </w:r>
    </w:p>
    <w:p w:rsidRPr="00105301" w:rsidR="00376CAF" w:rsidP="00105301" w:rsidRDefault="00376CAF" w14:paraId="2AB1866D" w14:textId="5F00E504">
      <w:pPr>
        <w:pStyle w:val="paragraph"/>
        <w:contextualSpacing/>
        <w:jc w:val="both"/>
        <w:textAlignment w:val="baseline"/>
        <w:rPr>
          <w:rFonts w:ascii="Arial" w:hAnsi="Arial" w:cs="Arial"/>
        </w:rPr>
      </w:pPr>
    </w:p>
    <w:sectPr w:rsidRPr="00105301" w:rsidR="00376CAF" w:rsidSect="00E83090">
      <w:headerReference w:type="default" r:id="rId13"/>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090" w:rsidP="00D322B8" w:rsidRDefault="00E83090" w14:paraId="4CEBF4A5" w14:textId="77777777">
      <w:pPr>
        <w:spacing w:after="0" w:line="240" w:lineRule="auto"/>
      </w:pPr>
      <w:r>
        <w:separator/>
      </w:r>
    </w:p>
  </w:endnote>
  <w:endnote w:type="continuationSeparator" w:id="0">
    <w:p w:rsidR="00E83090" w:rsidP="00D322B8" w:rsidRDefault="00E83090" w14:paraId="3074208B" w14:textId="77777777">
      <w:pPr>
        <w:spacing w:after="0" w:line="240" w:lineRule="auto"/>
      </w:pPr>
      <w:r>
        <w:continuationSeparator/>
      </w:r>
    </w:p>
  </w:endnote>
  <w:endnote w:type="continuationNotice" w:id="1">
    <w:p w:rsidR="00E83090" w:rsidRDefault="00E83090" w14:paraId="1D0B2A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B71" w:rsidRDefault="000F0B71" w14:paraId="073FB702"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090" w:rsidP="00D322B8" w:rsidRDefault="00E83090" w14:paraId="313CD9E7" w14:textId="77777777">
      <w:pPr>
        <w:spacing w:after="0" w:line="240" w:lineRule="auto"/>
      </w:pPr>
      <w:r>
        <w:separator/>
      </w:r>
    </w:p>
  </w:footnote>
  <w:footnote w:type="continuationSeparator" w:id="0">
    <w:p w:rsidR="00E83090" w:rsidP="00D322B8" w:rsidRDefault="00E83090" w14:paraId="7FCEC585" w14:textId="77777777">
      <w:pPr>
        <w:spacing w:after="0" w:line="240" w:lineRule="auto"/>
      </w:pPr>
      <w:r>
        <w:continuationSeparator/>
      </w:r>
    </w:p>
  </w:footnote>
  <w:footnote w:type="continuationNotice" w:id="1">
    <w:p w:rsidR="00E83090" w:rsidRDefault="00E83090" w14:paraId="5565C0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322B8" w:rsidRDefault="00D322B8" w14:paraId="020FBA12" w14:textId="4EEF8F9A">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Resim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0178C"/>
    <w:multiLevelType w:val="hybridMultilevel"/>
    <w:tmpl w:val="A09AC43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832588A"/>
    <w:multiLevelType w:val="hybridMultilevel"/>
    <w:tmpl w:val="3B441F80"/>
    <w:lvl w:ilvl="0" w:tplc="36444AA6">
      <w:start w:val="2022"/>
      <w:numFmt w:val="bullet"/>
      <w:lvlText w:val="-"/>
      <w:lvlJc w:val="left"/>
      <w:pPr>
        <w:ind w:left="720" w:hanging="360"/>
      </w:pPr>
      <w:rPr>
        <w:rFonts w:hint="default" w:ascii="Calibri" w:hAnsi="Calibri" w:cs="Calibri"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674BD1"/>
    <w:multiLevelType w:val="hybridMultilevel"/>
    <w:tmpl w:val="C1BA7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08287243">
    <w:abstractNumId w:val="2"/>
  </w:num>
  <w:num w:numId="2" w16cid:durableId="1594164599">
    <w:abstractNumId w:val="4"/>
  </w:num>
  <w:num w:numId="3" w16cid:durableId="1294480488">
    <w:abstractNumId w:val="3"/>
  </w:num>
  <w:num w:numId="4" w16cid:durableId="1681927942">
    <w:abstractNumId w:val="5"/>
  </w:num>
  <w:num w:numId="5" w16cid:durableId="64760806">
    <w:abstractNumId w:val="0"/>
  </w:num>
  <w:num w:numId="6" w16cid:durableId="110129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02007"/>
    <w:rsid w:val="000040FF"/>
    <w:rsid w:val="000271D2"/>
    <w:rsid w:val="000357D1"/>
    <w:rsid w:val="00053007"/>
    <w:rsid w:val="00060888"/>
    <w:rsid w:val="00076393"/>
    <w:rsid w:val="000859AF"/>
    <w:rsid w:val="00095958"/>
    <w:rsid w:val="000B05A8"/>
    <w:rsid w:val="000B742C"/>
    <w:rsid w:val="000C46F9"/>
    <w:rsid w:val="000D51BF"/>
    <w:rsid w:val="000E7072"/>
    <w:rsid w:val="000F0B71"/>
    <w:rsid w:val="001007D9"/>
    <w:rsid w:val="00105301"/>
    <w:rsid w:val="00113973"/>
    <w:rsid w:val="0013228F"/>
    <w:rsid w:val="00137590"/>
    <w:rsid w:val="00143787"/>
    <w:rsid w:val="00143C50"/>
    <w:rsid w:val="00155D20"/>
    <w:rsid w:val="0017112D"/>
    <w:rsid w:val="00190920"/>
    <w:rsid w:val="001B55F3"/>
    <w:rsid w:val="001C0CD2"/>
    <w:rsid w:val="001D5BAC"/>
    <w:rsid w:val="001F0504"/>
    <w:rsid w:val="002004FC"/>
    <w:rsid w:val="00202FA3"/>
    <w:rsid w:val="0020322F"/>
    <w:rsid w:val="002213CF"/>
    <w:rsid w:val="002256D3"/>
    <w:rsid w:val="002B6279"/>
    <w:rsid w:val="002C1784"/>
    <w:rsid w:val="002C69A1"/>
    <w:rsid w:val="002E1634"/>
    <w:rsid w:val="003017FF"/>
    <w:rsid w:val="00320E15"/>
    <w:rsid w:val="00352D7A"/>
    <w:rsid w:val="00374532"/>
    <w:rsid w:val="00376117"/>
    <w:rsid w:val="00376CAF"/>
    <w:rsid w:val="00385335"/>
    <w:rsid w:val="00386D8E"/>
    <w:rsid w:val="003C439A"/>
    <w:rsid w:val="003F5B88"/>
    <w:rsid w:val="004136C3"/>
    <w:rsid w:val="00434392"/>
    <w:rsid w:val="00434B06"/>
    <w:rsid w:val="004641AC"/>
    <w:rsid w:val="00471D87"/>
    <w:rsid w:val="0047202C"/>
    <w:rsid w:val="00486C21"/>
    <w:rsid w:val="004903A8"/>
    <w:rsid w:val="004A399D"/>
    <w:rsid w:val="004D06E1"/>
    <w:rsid w:val="004E1F47"/>
    <w:rsid w:val="00501047"/>
    <w:rsid w:val="00510AAB"/>
    <w:rsid w:val="00511A4F"/>
    <w:rsid w:val="005A0087"/>
    <w:rsid w:val="005B4911"/>
    <w:rsid w:val="005C2E52"/>
    <w:rsid w:val="005E0700"/>
    <w:rsid w:val="005F0E8D"/>
    <w:rsid w:val="00614992"/>
    <w:rsid w:val="00664709"/>
    <w:rsid w:val="00691774"/>
    <w:rsid w:val="00693178"/>
    <w:rsid w:val="006B46D0"/>
    <w:rsid w:val="006B4ACC"/>
    <w:rsid w:val="006B71E6"/>
    <w:rsid w:val="006C764C"/>
    <w:rsid w:val="00706D99"/>
    <w:rsid w:val="00710A73"/>
    <w:rsid w:val="007377DB"/>
    <w:rsid w:val="00737D9D"/>
    <w:rsid w:val="00745D55"/>
    <w:rsid w:val="00782D3F"/>
    <w:rsid w:val="00796787"/>
    <w:rsid w:val="007A2937"/>
    <w:rsid w:val="007A76B6"/>
    <w:rsid w:val="007B007F"/>
    <w:rsid w:val="007B4924"/>
    <w:rsid w:val="007D08E0"/>
    <w:rsid w:val="007D16C4"/>
    <w:rsid w:val="007D3441"/>
    <w:rsid w:val="007F67B6"/>
    <w:rsid w:val="007F7017"/>
    <w:rsid w:val="00801C2B"/>
    <w:rsid w:val="00812B22"/>
    <w:rsid w:val="00877FE7"/>
    <w:rsid w:val="008A4009"/>
    <w:rsid w:val="008D3988"/>
    <w:rsid w:val="008E4F58"/>
    <w:rsid w:val="008F31BC"/>
    <w:rsid w:val="008F7AB6"/>
    <w:rsid w:val="009073F9"/>
    <w:rsid w:val="00912EF3"/>
    <w:rsid w:val="00917AD1"/>
    <w:rsid w:val="0093489B"/>
    <w:rsid w:val="00946E34"/>
    <w:rsid w:val="00955B7B"/>
    <w:rsid w:val="009603B5"/>
    <w:rsid w:val="00963450"/>
    <w:rsid w:val="0097526A"/>
    <w:rsid w:val="00A02C7D"/>
    <w:rsid w:val="00A17BF2"/>
    <w:rsid w:val="00A64F65"/>
    <w:rsid w:val="00A76CA9"/>
    <w:rsid w:val="00A97A31"/>
    <w:rsid w:val="00AA3077"/>
    <w:rsid w:val="00AD1559"/>
    <w:rsid w:val="00AD337D"/>
    <w:rsid w:val="00AF5D95"/>
    <w:rsid w:val="00B01DB4"/>
    <w:rsid w:val="00B11717"/>
    <w:rsid w:val="00B742C6"/>
    <w:rsid w:val="00B83881"/>
    <w:rsid w:val="00B90A10"/>
    <w:rsid w:val="00BA1F99"/>
    <w:rsid w:val="00BA2B2C"/>
    <w:rsid w:val="00BB0308"/>
    <w:rsid w:val="00BC72CA"/>
    <w:rsid w:val="00BD5E0A"/>
    <w:rsid w:val="00BE042F"/>
    <w:rsid w:val="00BE15E3"/>
    <w:rsid w:val="00BF5F40"/>
    <w:rsid w:val="00C10090"/>
    <w:rsid w:val="00C42D03"/>
    <w:rsid w:val="00C4569A"/>
    <w:rsid w:val="00C77633"/>
    <w:rsid w:val="00D10524"/>
    <w:rsid w:val="00D16F7C"/>
    <w:rsid w:val="00D314F2"/>
    <w:rsid w:val="00D322B8"/>
    <w:rsid w:val="00D63CB9"/>
    <w:rsid w:val="00D778F5"/>
    <w:rsid w:val="00D811CA"/>
    <w:rsid w:val="00DD02D5"/>
    <w:rsid w:val="00DD1909"/>
    <w:rsid w:val="00E348B2"/>
    <w:rsid w:val="00E533B4"/>
    <w:rsid w:val="00E73E62"/>
    <w:rsid w:val="00E75AD7"/>
    <w:rsid w:val="00E83090"/>
    <w:rsid w:val="00E91246"/>
    <w:rsid w:val="00E95096"/>
    <w:rsid w:val="00EA7982"/>
    <w:rsid w:val="00EB39B2"/>
    <w:rsid w:val="00F0383B"/>
    <w:rsid w:val="00F07E05"/>
    <w:rsid w:val="00F14548"/>
    <w:rsid w:val="00F418CE"/>
    <w:rsid w:val="00F43905"/>
    <w:rsid w:val="00F65DA3"/>
    <w:rsid w:val="00F74035"/>
    <w:rsid w:val="00F9029E"/>
    <w:rsid w:val="00FB099A"/>
    <w:rsid w:val="00FC5AB3"/>
    <w:rsid w:val="00FD3636"/>
    <w:rsid w:val="00FF7D9C"/>
    <w:rsid w:val="04A32E60"/>
    <w:rsid w:val="089774E9"/>
    <w:rsid w:val="0CCC2DFF"/>
    <w:rsid w:val="0D476DC8"/>
    <w:rsid w:val="1677EFBD"/>
    <w:rsid w:val="16F8D96B"/>
    <w:rsid w:val="1D38EC6C"/>
    <w:rsid w:val="1F19A075"/>
    <w:rsid w:val="272C82DE"/>
    <w:rsid w:val="2A4334E4"/>
    <w:rsid w:val="2DE5E2CD"/>
    <w:rsid w:val="4B5B2F23"/>
    <w:rsid w:val="5137F524"/>
    <w:rsid w:val="5C042AE0"/>
    <w:rsid w:val="7AD76734"/>
    <w:rsid w:val="7EA0A9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2">
    <w:name w:val="heading 2"/>
    <w:basedOn w:val="Normal"/>
    <w:next w:val="Normal"/>
    <w:link w:val="Balk2Char"/>
    <w:uiPriority w:val="9"/>
    <w:unhideWhenUsed/>
    <w:qFormat/>
    <w:rsid w:val="00202FA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styleId="chrome" w:customStyle="1">
    <w:name w:val="chrome"/>
    <w:basedOn w:val="Normal"/>
    <w:rsid w:val="00A97A31"/>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styleId="stBilgiChar" w:customStyle="1">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styleId="apple-converted-space" w:customStyle="1">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styleId="AklamaMetniChar" w:customStyle="1">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styleId="AklamaKonusuChar" w:customStyle="1">
    <w:name w:val="Açıklama Konusu Char"/>
    <w:basedOn w:val="AklamaMetniChar"/>
    <w:link w:val="AklamaKonusu"/>
    <w:uiPriority w:val="99"/>
    <w:semiHidden/>
    <w:rsid w:val="00812B22"/>
    <w:rPr>
      <w:b/>
      <w:bCs/>
      <w:sz w:val="20"/>
      <w:szCs w:val="20"/>
    </w:rPr>
  </w:style>
  <w:style w:type="character" w:styleId="UnresolvedMention1" w:customStyle="1">
    <w:name w:val="Unresolved Mention1"/>
    <w:basedOn w:val="VarsaylanParagrafYazTipi"/>
    <w:uiPriority w:val="99"/>
    <w:semiHidden/>
    <w:unhideWhenUsed/>
    <w:rsid w:val="00BA1F99"/>
    <w:rPr>
      <w:color w:val="605E5C"/>
      <w:shd w:val="clear" w:color="auto" w:fill="E1DFDD"/>
    </w:rPr>
  </w:style>
  <w:style w:type="paragraph" w:styleId="paragraph" w:customStyle="1">
    <w:name w:val="paragraph"/>
    <w:basedOn w:val="Normal"/>
    <w:rsid w:val="001B55F3"/>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normaltextrun" w:customStyle="1">
    <w:name w:val="normaltextrun"/>
    <w:basedOn w:val="VarsaylanParagrafYazTipi"/>
    <w:rsid w:val="001B55F3"/>
  </w:style>
  <w:style w:type="character" w:styleId="tabchar" w:customStyle="1">
    <w:name w:val="tabchar"/>
    <w:basedOn w:val="VarsaylanParagrafYazTipi"/>
    <w:rsid w:val="001B55F3"/>
  </w:style>
  <w:style w:type="character" w:styleId="eop" w:customStyle="1">
    <w:name w:val="eop"/>
    <w:basedOn w:val="VarsaylanParagrafYazTipi"/>
    <w:rsid w:val="001B55F3"/>
  </w:style>
  <w:style w:type="character" w:styleId="spellingerror" w:customStyle="1">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table" w:styleId="TabloKlavuzu">
    <w:name w:val="Table Grid"/>
    <w:basedOn w:val="NormalTablo"/>
    <w:uiPriority w:val="39"/>
    <w:rsid w:val="008F31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lk2Char" w:customStyle="1">
    <w:name w:val="Başlık 2 Char"/>
    <w:basedOn w:val="VarsaylanParagrafYazTipi"/>
    <w:link w:val="Balk2"/>
    <w:uiPriority w:val="9"/>
    <w:rsid w:val="00202FA3"/>
    <w:rPr>
      <w:rFonts w:asciiTheme="majorHAnsi" w:hAnsiTheme="majorHAnsi" w:eastAsiaTheme="majorEastAsia" w:cstheme="majorBidi"/>
      <w:color w:val="2F5496" w:themeColor="accent1" w:themeShade="BF"/>
      <w:sz w:val="26"/>
      <w:szCs w:val="26"/>
    </w:rPr>
  </w:style>
  <w:style w:type="character" w:styleId="zlenenKpr">
    <w:name w:val="FollowedHyperlink"/>
    <w:basedOn w:val="VarsaylanParagrafYazTipi"/>
    <w:uiPriority w:val="99"/>
    <w:semiHidden/>
    <w:unhideWhenUsed/>
    <w:rsid w:val="00202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http://www.kpmg.com.t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kpmg.com/content/dam/kpmg/xx/pdf/2024/02/pulse-of-fintech-h2-2023.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DD4E103E-E175-4F82-8173-8162267986B7}"/>
</file>

<file path=customXml/itemProps2.xml><?xml version="1.0" encoding="utf-8"?>
<ds:datastoreItem xmlns:ds="http://schemas.openxmlformats.org/officeDocument/2006/customXml" ds:itemID="{1FEA5539-B5DB-4264-8B7E-5662E82D2C61}">
  <ds:schemaRefs>
    <ds:schemaRef ds:uri="http://schemas.microsoft.com/sharepoint/v3/contenttype/forms"/>
  </ds:schemaRefs>
</ds:datastoreItem>
</file>

<file path=customXml/itemProps3.xml><?xml version="1.0" encoding="utf-8"?>
<ds:datastoreItem xmlns:ds="http://schemas.openxmlformats.org/officeDocument/2006/customXml" ds:itemID="{CF8D31B1-854F-435B-A3D7-5FCA2F20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KPMG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Balci, Berra</dc:creator>
  <keywords/>
  <dc:description/>
  <lastModifiedBy>Ceren Moral</lastModifiedBy>
  <revision>6</revision>
  <dcterms:created xsi:type="dcterms:W3CDTF">2024-02-09T09:19:00.0000000Z</dcterms:created>
  <dcterms:modified xsi:type="dcterms:W3CDTF">2024-04-05T07:53:03.2226346Z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