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8B40" w14:textId="77777777" w:rsidR="00D73C55" w:rsidRDefault="00D73C55">
      <w:pPr>
        <w:pBdr>
          <w:bottom w:val="single" w:sz="4" w:space="1" w:color="000000"/>
        </w:pBdr>
        <w:tabs>
          <w:tab w:val="left" w:pos="8205"/>
        </w:tabs>
        <w:spacing w:after="0"/>
        <w:rPr>
          <w:rFonts w:ascii="Minion" w:eastAsia="Minion" w:hAnsi="Minion" w:cs="Minion"/>
          <w:b/>
          <w:sz w:val="20"/>
          <w:szCs w:val="20"/>
        </w:rPr>
      </w:pPr>
    </w:p>
    <w:p w14:paraId="0B5AE321" w14:textId="13035766" w:rsidR="00D73C55" w:rsidRDefault="00DA4C53">
      <w:pPr>
        <w:pBdr>
          <w:bottom w:val="single" w:sz="4" w:space="1" w:color="000000"/>
        </w:pBdr>
        <w:tabs>
          <w:tab w:val="left" w:pos="8205"/>
        </w:tabs>
        <w:spacing w:after="0"/>
        <w:rPr>
          <w:rFonts w:ascii="Verdana" w:eastAsia="Verdana" w:hAnsi="Verdana" w:cs="Verdana"/>
          <w:b/>
        </w:rPr>
      </w:pPr>
      <w:r>
        <w:rPr>
          <w:rFonts w:ascii="Verdana" w:eastAsia="Verdana" w:hAnsi="Verdana" w:cs="Verdana"/>
          <w:b/>
          <w:sz w:val="18"/>
          <w:szCs w:val="18"/>
        </w:rPr>
        <w:t xml:space="preserve">Basın Bülteni                                                                                                </w:t>
      </w:r>
      <w:r w:rsidR="00D8746C">
        <w:rPr>
          <w:rFonts w:ascii="Verdana" w:eastAsia="Verdana" w:hAnsi="Verdana" w:cs="Verdana"/>
          <w:b/>
          <w:sz w:val="18"/>
          <w:szCs w:val="18"/>
        </w:rPr>
        <w:t>13</w:t>
      </w:r>
      <w:r>
        <w:rPr>
          <w:rFonts w:ascii="Verdana" w:eastAsia="Verdana" w:hAnsi="Verdana" w:cs="Verdana"/>
          <w:b/>
          <w:sz w:val="18"/>
          <w:szCs w:val="18"/>
        </w:rPr>
        <w:t xml:space="preserve">  Haziran 2022</w:t>
      </w:r>
    </w:p>
    <w:p w14:paraId="38C82A67" w14:textId="77777777" w:rsidR="00D73C55" w:rsidRDefault="00D73C55">
      <w:pPr>
        <w:spacing w:after="0"/>
        <w:jc w:val="center"/>
        <w:rPr>
          <w:rFonts w:ascii="Minion" w:eastAsia="Minion" w:hAnsi="Minion" w:cs="Minion"/>
          <w:b/>
          <w:sz w:val="24"/>
          <w:szCs w:val="24"/>
        </w:rPr>
      </w:pPr>
    </w:p>
    <w:p w14:paraId="720F7AD8" w14:textId="77777777" w:rsidR="00D73C55" w:rsidRDefault="00D73C55">
      <w:pPr>
        <w:spacing w:after="0"/>
        <w:jc w:val="center"/>
        <w:rPr>
          <w:rFonts w:ascii="Minion" w:eastAsia="Minion" w:hAnsi="Minion" w:cs="Minion"/>
          <w:b/>
          <w:sz w:val="36"/>
          <w:szCs w:val="36"/>
        </w:rPr>
      </w:pPr>
    </w:p>
    <w:p w14:paraId="56E8B0F8" w14:textId="77777777" w:rsidR="00D73C55" w:rsidRDefault="00DA4C53">
      <w:pPr>
        <w:spacing w:after="0" w:line="360" w:lineRule="auto"/>
        <w:jc w:val="center"/>
        <w:rPr>
          <w:rFonts w:ascii="Verdana" w:eastAsia="Verdana" w:hAnsi="Verdana" w:cs="Verdana"/>
          <w:b/>
          <w:sz w:val="28"/>
          <w:szCs w:val="28"/>
        </w:rPr>
      </w:pPr>
      <w:r>
        <w:rPr>
          <w:rFonts w:ascii="Verdana" w:eastAsia="Verdana" w:hAnsi="Verdana" w:cs="Verdana"/>
          <w:b/>
          <w:sz w:val="28"/>
          <w:szCs w:val="28"/>
        </w:rPr>
        <w:t>Burçak Çelik, Roche Diagnostik İtalya Genel Müdürü oldu</w:t>
      </w:r>
    </w:p>
    <w:p w14:paraId="37DA07B7" w14:textId="77777777" w:rsidR="00D73C55" w:rsidRDefault="00D73C55">
      <w:pPr>
        <w:spacing w:after="0" w:line="360" w:lineRule="auto"/>
        <w:jc w:val="center"/>
        <w:rPr>
          <w:rFonts w:ascii="Verdana" w:eastAsia="Verdana" w:hAnsi="Verdana" w:cs="Verdana"/>
          <w:b/>
          <w:sz w:val="28"/>
          <w:szCs w:val="28"/>
        </w:rPr>
      </w:pPr>
    </w:p>
    <w:p w14:paraId="4266C75B" w14:textId="77777777" w:rsidR="00D73C55" w:rsidRDefault="00DA4C53">
      <w:pPr>
        <w:spacing w:after="0" w:line="360" w:lineRule="auto"/>
        <w:jc w:val="center"/>
        <w:rPr>
          <w:rFonts w:ascii="Verdana" w:eastAsia="Verdana" w:hAnsi="Verdana" w:cs="Verdana"/>
          <w:b/>
        </w:rPr>
      </w:pPr>
      <w:r>
        <w:rPr>
          <w:rFonts w:ascii="Verdana" w:eastAsia="Verdana" w:hAnsi="Verdana" w:cs="Verdana"/>
          <w:b/>
        </w:rPr>
        <w:t xml:space="preserve">2016 yılından bu yana Roche Diagnostik Türkiye Genel Müdürü, Türkiye &amp; Orta Asya ve Kafkas Ülkeleri Yönetim Merkezi Başkanı olarak görev yapan Burçak Çelik, 1 Temmuz 2022’den itibaren Roche Diagnostik İtalya ekibinin liderliğini üstlenecek. </w:t>
      </w:r>
    </w:p>
    <w:p w14:paraId="7BFAB9A8" w14:textId="77777777" w:rsidR="00D73C55" w:rsidRDefault="00D73C55">
      <w:pPr>
        <w:spacing w:after="0" w:line="360" w:lineRule="auto"/>
        <w:jc w:val="center"/>
        <w:rPr>
          <w:rFonts w:ascii="Verdana" w:eastAsia="Verdana" w:hAnsi="Verdana" w:cs="Verdana"/>
          <w:b/>
          <w:sz w:val="20"/>
          <w:szCs w:val="20"/>
        </w:rPr>
      </w:pPr>
    </w:p>
    <w:p w14:paraId="5CB16CCC" w14:textId="198EB0DA" w:rsidR="00D73C55" w:rsidRDefault="00DA4C53">
      <w:pPr>
        <w:spacing w:after="0" w:line="360" w:lineRule="auto"/>
        <w:jc w:val="both"/>
        <w:rPr>
          <w:rFonts w:ascii="Verdana" w:eastAsia="Verdana" w:hAnsi="Verdana" w:cs="Verdana"/>
          <w:b/>
        </w:rPr>
      </w:pPr>
      <w:r>
        <w:rPr>
          <w:rFonts w:ascii="Verdana" w:eastAsia="Verdana" w:hAnsi="Verdana" w:cs="Verdana"/>
          <w:b/>
          <w:sz w:val="20"/>
          <w:szCs w:val="20"/>
        </w:rPr>
        <w:t xml:space="preserve">İstanbul, </w:t>
      </w:r>
      <w:r w:rsidR="00D8746C">
        <w:rPr>
          <w:rFonts w:ascii="Verdana" w:eastAsia="Verdana" w:hAnsi="Verdana" w:cs="Verdana"/>
          <w:b/>
          <w:sz w:val="20"/>
          <w:szCs w:val="20"/>
        </w:rPr>
        <w:t>13</w:t>
      </w:r>
      <w:r>
        <w:rPr>
          <w:rFonts w:ascii="Verdana" w:eastAsia="Verdana" w:hAnsi="Verdana" w:cs="Verdana"/>
          <w:b/>
          <w:sz w:val="20"/>
          <w:szCs w:val="20"/>
        </w:rPr>
        <w:t xml:space="preserve"> </w:t>
      </w:r>
      <w:r>
        <w:rPr>
          <w:rFonts w:ascii="Verdana" w:eastAsia="Verdana" w:hAnsi="Verdana" w:cs="Verdana"/>
          <w:b/>
          <w:sz w:val="20"/>
          <w:szCs w:val="20"/>
        </w:rPr>
        <w:t xml:space="preserve">Haziran 2022 </w:t>
      </w:r>
      <w:r>
        <w:rPr>
          <w:rFonts w:ascii="Verdana" w:eastAsia="Verdana" w:hAnsi="Verdana" w:cs="Verdana"/>
          <w:sz w:val="20"/>
          <w:szCs w:val="20"/>
        </w:rPr>
        <w:t>– Sağlık hizmetleri ekosisteminde insanların yaşamlarını iyileştirme misyonuyla faaliyetlerine devam eden Roche, dünya çapında yapılanmasını güçlendirmek üzere yeni bir lider ataması gerçekleştirdi. Bu kapsamda, 2016 yılından bu yana Roche Dia</w:t>
      </w:r>
      <w:r>
        <w:rPr>
          <w:rFonts w:ascii="Verdana" w:eastAsia="Verdana" w:hAnsi="Verdana" w:cs="Verdana"/>
          <w:sz w:val="20"/>
          <w:szCs w:val="20"/>
        </w:rPr>
        <w:t>gnostik Türkiye Genel Müdürü, Türkiye &amp; Orta Asya ve Kafkas Ülkeleri Yönetim Merkezi Başkanı görevini üstlenen Burçak Çelik, Roche Diagnostik İtalya Genel Müdürü olarak atandı. 1 Temmuz 2022 itibarıyla yeni görevine başlayacak olan Burçak Çelik, Roche Diag</w:t>
      </w:r>
      <w:r>
        <w:rPr>
          <w:rFonts w:ascii="Verdana" w:eastAsia="Verdana" w:hAnsi="Verdana" w:cs="Verdana"/>
          <w:sz w:val="20"/>
          <w:szCs w:val="20"/>
        </w:rPr>
        <w:t>nostik EMEA-LATAM Bölgesi Liderlik Ekibinin bir üyesi olmaya devam edecek.</w:t>
      </w:r>
    </w:p>
    <w:p w14:paraId="1DA7B73C" w14:textId="77777777" w:rsidR="00D73C55" w:rsidRDefault="00D73C55">
      <w:pPr>
        <w:spacing w:after="0" w:line="360" w:lineRule="auto"/>
        <w:jc w:val="both"/>
        <w:rPr>
          <w:rFonts w:ascii="Verdana" w:eastAsia="Verdana" w:hAnsi="Verdana" w:cs="Verdana"/>
          <w:sz w:val="20"/>
          <w:szCs w:val="20"/>
        </w:rPr>
      </w:pPr>
    </w:p>
    <w:p w14:paraId="462D4C91" w14:textId="77777777" w:rsidR="00D73C55" w:rsidRDefault="00DA4C53">
      <w:pPr>
        <w:spacing w:after="0" w:line="360" w:lineRule="auto"/>
        <w:jc w:val="both"/>
        <w:rPr>
          <w:rFonts w:ascii="Verdana" w:eastAsia="Verdana" w:hAnsi="Verdana" w:cs="Verdana"/>
          <w:b/>
          <w:sz w:val="20"/>
          <w:szCs w:val="20"/>
        </w:rPr>
      </w:pPr>
      <w:r>
        <w:rPr>
          <w:rFonts w:ascii="Verdana" w:eastAsia="Verdana" w:hAnsi="Verdana" w:cs="Verdana"/>
          <w:b/>
          <w:sz w:val="20"/>
          <w:szCs w:val="20"/>
        </w:rPr>
        <w:t>Burçak Çelik kimdir?</w:t>
      </w:r>
    </w:p>
    <w:p w14:paraId="52DF335C" w14:textId="77777777" w:rsidR="00D73C55" w:rsidRDefault="00DA4C53">
      <w:pPr>
        <w:spacing w:after="0" w:line="360" w:lineRule="auto"/>
        <w:jc w:val="both"/>
        <w:rPr>
          <w:rFonts w:ascii="Verdana" w:eastAsia="Verdana" w:hAnsi="Verdana" w:cs="Verdana"/>
          <w:sz w:val="20"/>
          <w:szCs w:val="20"/>
        </w:rPr>
      </w:pPr>
      <w:r>
        <w:rPr>
          <w:rFonts w:ascii="Verdana" w:eastAsia="Verdana" w:hAnsi="Verdana" w:cs="Verdana"/>
          <w:sz w:val="20"/>
          <w:szCs w:val="20"/>
        </w:rPr>
        <w:t>Kariyer yolculuğuna Pfizer’de başlayan Burçak Çelik, yurt içi ve dışında çeşitli pozisyonlarda görev yaptı. 2007 yılında Roche İlaç Türkiye’ye katılan Çelik, yıllar içerisinde farklı iş birimlerinde artan sorumluluklar aldı. 2012 yılında Roche İlaç Güney A</w:t>
      </w:r>
      <w:r>
        <w:rPr>
          <w:rFonts w:ascii="Verdana" w:eastAsia="Verdana" w:hAnsi="Verdana" w:cs="Verdana"/>
          <w:sz w:val="20"/>
          <w:szCs w:val="20"/>
        </w:rPr>
        <w:t>frika Genel Müdürü ve Sahra Altı Bölgesi Başkanı olarak atanan Çelik, Johannesburg, Güney Afrika merkezli olmak üzere bölgesel liderlik görevini üstlendi.</w:t>
      </w:r>
    </w:p>
    <w:p w14:paraId="57C244B6" w14:textId="77777777" w:rsidR="00D73C55" w:rsidRDefault="00D73C55">
      <w:pPr>
        <w:spacing w:after="0" w:line="360" w:lineRule="auto"/>
        <w:jc w:val="both"/>
        <w:rPr>
          <w:rFonts w:ascii="Verdana" w:eastAsia="Verdana" w:hAnsi="Verdana" w:cs="Verdana"/>
          <w:sz w:val="20"/>
          <w:szCs w:val="20"/>
        </w:rPr>
      </w:pPr>
    </w:p>
    <w:p w14:paraId="52D2D05C" w14:textId="77777777" w:rsidR="00D73C55" w:rsidRDefault="00DA4C53">
      <w:pPr>
        <w:spacing w:after="0" w:line="360" w:lineRule="auto"/>
        <w:jc w:val="both"/>
        <w:rPr>
          <w:rFonts w:ascii="Verdana" w:eastAsia="Verdana" w:hAnsi="Verdana" w:cs="Verdana"/>
          <w:sz w:val="20"/>
          <w:szCs w:val="20"/>
        </w:rPr>
      </w:pPr>
      <w:r>
        <w:rPr>
          <w:rFonts w:ascii="Verdana" w:eastAsia="Verdana" w:hAnsi="Verdana" w:cs="Verdana"/>
          <w:sz w:val="20"/>
          <w:szCs w:val="20"/>
        </w:rPr>
        <w:t>2016 yılında Roche Diagnostik Türkiye Genel Müdürü, Türkiye &amp; Orta Asya ve Kafkas Ülkeleri Yönetim M</w:t>
      </w:r>
      <w:r>
        <w:rPr>
          <w:rFonts w:ascii="Verdana" w:eastAsia="Verdana" w:hAnsi="Verdana" w:cs="Verdana"/>
          <w:sz w:val="20"/>
          <w:szCs w:val="20"/>
        </w:rPr>
        <w:t xml:space="preserve">erkezi Başkanı pozisyonuna atanan Burçak Çelik, yaklaşık 6 yıl sürdürdüğü liderlik görevi boyunca Roche Diagnostik Türkiye’nin sağlık hizmetlerinde dijitalleşme odağındaki yolculuğu kapsamında </w:t>
      </w:r>
      <w:r>
        <w:rPr>
          <w:rFonts w:ascii="Verdana" w:eastAsia="Verdana" w:hAnsi="Verdana" w:cs="Verdana"/>
          <w:color w:val="202124"/>
          <w:sz w:val="20"/>
          <w:szCs w:val="20"/>
          <w:highlight w:val="white"/>
        </w:rPr>
        <w:t>daha fazla dijital odaklı çözüm ve araçla hasta hayatına dokuna</w:t>
      </w:r>
      <w:r>
        <w:rPr>
          <w:rFonts w:ascii="Verdana" w:eastAsia="Verdana" w:hAnsi="Verdana" w:cs="Verdana"/>
          <w:color w:val="202124"/>
          <w:sz w:val="20"/>
          <w:szCs w:val="20"/>
          <w:highlight w:val="white"/>
        </w:rPr>
        <w:t xml:space="preserve">n lokal ve global çalışmalara </w:t>
      </w:r>
      <w:r>
        <w:rPr>
          <w:rFonts w:ascii="Verdana" w:eastAsia="Verdana" w:hAnsi="Verdana" w:cs="Verdana"/>
          <w:color w:val="202124"/>
          <w:sz w:val="20"/>
          <w:szCs w:val="20"/>
        </w:rPr>
        <w:t>imza attı.</w:t>
      </w:r>
      <w:r>
        <w:rPr>
          <w:rFonts w:ascii="Verdana" w:eastAsia="Verdana" w:hAnsi="Verdana" w:cs="Verdana"/>
          <w:sz w:val="20"/>
          <w:szCs w:val="20"/>
        </w:rPr>
        <w:t xml:space="preserve"> Çelik önderliğinde, Türkiye sağlık ekosistemine değer katan pek çok projenin yanı sıra pandemi koşullarında ortaya çıkan ihtiyaçlara yönelik olarak kullanıma sunulan tanı çözümleri ile Covid-19 salgınıyla mücadeleye</w:t>
      </w:r>
      <w:r>
        <w:rPr>
          <w:rFonts w:ascii="Verdana" w:eastAsia="Verdana" w:hAnsi="Verdana" w:cs="Verdana"/>
          <w:sz w:val="20"/>
          <w:szCs w:val="20"/>
        </w:rPr>
        <w:t xml:space="preserve"> önemli katkılar sağlandı. Roche Diagnostik Türkiye’nin çevik dönüşüm sürecine de liderlik eden Çelik, “İnsana Değer” odağıyla şirketin kültürel açıdan önemli bir eşikten geçmesine de katkı sundu.</w:t>
      </w:r>
    </w:p>
    <w:p w14:paraId="7C9035E1" w14:textId="77777777" w:rsidR="00D73C55" w:rsidRDefault="00D73C55">
      <w:pPr>
        <w:spacing w:after="0" w:line="360" w:lineRule="auto"/>
        <w:jc w:val="both"/>
        <w:rPr>
          <w:rFonts w:ascii="Verdana" w:eastAsia="Verdana" w:hAnsi="Verdana" w:cs="Verdana"/>
          <w:sz w:val="20"/>
          <w:szCs w:val="20"/>
        </w:rPr>
      </w:pPr>
    </w:p>
    <w:p w14:paraId="436FFE7C" w14:textId="77777777" w:rsidR="00D73C55" w:rsidRDefault="00DA4C53">
      <w:pPr>
        <w:spacing w:after="0" w:line="360" w:lineRule="auto"/>
        <w:jc w:val="both"/>
        <w:rPr>
          <w:rFonts w:ascii="Verdana" w:eastAsia="Verdana" w:hAnsi="Verdana" w:cs="Verdana"/>
          <w:sz w:val="20"/>
          <w:szCs w:val="20"/>
        </w:rPr>
      </w:pPr>
      <w:r>
        <w:rPr>
          <w:rFonts w:ascii="Verdana" w:eastAsia="Verdana" w:hAnsi="Verdana" w:cs="Verdana"/>
          <w:sz w:val="20"/>
          <w:szCs w:val="20"/>
        </w:rPr>
        <w:t>Burçak Çelik, 1 Temmuz 2022 itibarıyla İtalya’nın Monza ke</w:t>
      </w:r>
      <w:r>
        <w:rPr>
          <w:rFonts w:ascii="Verdana" w:eastAsia="Verdana" w:hAnsi="Verdana" w:cs="Verdana"/>
          <w:sz w:val="20"/>
          <w:szCs w:val="20"/>
        </w:rPr>
        <w:t>nti merkezli olmak üzere Roche Diagnostik İtalya ekibine liderlik edecek.</w:t>
      </w:r>
    </w:p>
    <w:p w14:paraId="3A82BDBA" w14:textId="77777777" w:rsidR="00D73C55" w:rsidRDefault="00D73C55">
      <w:pPr>
        <w:spacing w:after="0" w:line="360" w:lineRule="auto"/>
        <w:jc w:val="both"/>
        <w:rPr>
          <w:rFonts w:ascii="Verdana" w:eastAsia="Verdana" w:hAnsi="Verdana" w:cs="Verdana"/>
          <w:sz w:val="20"/>
          <w:szCs w:val="20"/>
        </w:rPr>
      </w:pPr>
    </w:p>
    <w:p w14:paraId="44B56AE0" w14:textId="77777777" w:rsidR="00D73C55" w:rsidRDefault="00DA4C53">
      <w:pPr>
        <w:pBdr>
          <w:top w:val="nil"/>
          <w:left w:val="nil"/>
          <w:bottom w:val="nil"/>
          <w:right w:val="nil"/>
          <w:between w:val="nil"/>
        </w:pBdr>
        <w:spacing w:after="0"/>
        <w:jc w:val="both"/>
        <w:rPr>
          <w:rFonts w:ascii="Minion" w:eastAsia="Minion" w:hAnsi="Minion" w:cs="Minion"/>
          <w:b/>
          <w:color w:val="000000"/>
          <w:sz w:val="16"/>
          <w:szCs w:val="16"/>
        </w:rPr>
      </w:pPr>
      <w:r>
        <w:rPr>
          <w:rFonts w:ascii="Minion" w:eastAsia="Minion" w:hAnsi="Minion" w:cs="Minion"/>
          <w:b/>
          <w:color w:val="000000"/>
          <w:sz w:val="16"/>
          <w:szCs w:val="16"/>
        </w:rPr>
        <w:t>Roche Hakkında</w:t>
      </w:r>
    </w:p>
    <w:p w14:paraId="7ED1F933" w14:textId="77777777" w:rsidR="00D73C55" w:rsidRDefault="00D73C55">
      <w:pPr>
        <w:pBdr>
          <w:top w:val="nil"/>
          <w:left w:val="nil"/>
          <w:bottom w:val="nil"/>
          <w:right w:val="nil"/>
          <w:between w:val="nil"/>
        </w:pBdr>
        <w:spacing w:after="0"/>
        <w:jc w:val="both"/>
        <w:rPr>
          <w:rFonts w:ascii="Minion" w:eastAsia="Minion" w:hAnsi="Minion" w:cs="Minion"/>
          <w:b/>
          <w:color w:val="000000"/>
          <w:sz w:val="16"/>
          <w:szCs w:val="16"/>
        </w:rPr>
      </w:pPr>
    </w:p>
    <w:p w14:paraId="585213F6" w14:textId="77777777" w:rsidR="00D73C55" w:rsidRDefault="00DA4C53">
      <w:pPr>
        <w:spacing w:before="240" w:after="240"/>
        <w:rPr>
          <w:rFonts w:ascii="Minion" w:eastAsia="Minion" w:hAnsi="Minion" w:cs="Minion"/>
          <w:sz w:val="16"/>
          <w:szCs w:val="16"/>
        </w:rPr>
      </w:pPr>
      <w:r>
        <w:rPr>
          <w:rFonts w:ascii="Minion" w:eastAsia="Minion" w:hAnsi="Minion" w:cs="Minion"/>
          <w:sz w:val="16"/>
          <w:szCs w:val="16"/>
        </w:rPr>
        <w:t>1896 yılında İsviçre’nin Basel şehrinde kurulan ve markalı ilaçların ilk endüstriyel üreticilerinden biri olan Roche, dünyanın en büyük biyoteknoloji şirketi ve In Vitro Diagnostik (vücut dışı tanı) alanında dünya lideridir. Roche, dünya çapında insanların</w:t>
      </w:r>
      <w:r>
        <w:rPr>
          <w:rFonts w:ascii="Minion" w:eastAsia="Minion" w:hAnsi="Minion" w:cs="Minion"/>
          <w:sz w:val="16"/>
          <w:szCs w:val="16"/>
        </w:rPr>
        <w:t xml:space="preserve"> yaşamlarını iyileştirmek için tanı ve tedavi çözümleri geliştirmek üzere bilimsel mükemmelliğe ulaşmak için çalışmaktadır.</w:t>
      </w:r>
    </w:p>
    <w:p w14:paraId="5FD496B6" w14:textId="77777777" w:rsidR="00D73C55" w:rsidRDefault="00DA4C53">
      <w:pPr>
        <w:spacing w:before="240" w:after="240"/>
        <w:rPr>
          <w:rFonts w:ascii="Minion" w:eastAsia="Minion" w:hAnsi="Minion" w:cs="Minion"/>
          <w:sz w:val="16"/>
          <w:szCs w:val="16"/>
        </w:rPr>
      </w:pPr>
      <w:r>
        <w:rPr>
          <w:rFonts w:ascii="Minion" w:eastAsia="Minion" w:hAnsi="Minion" w:cs="Minion"/>
          <w:sz w:val="16"/>
          <w:szCs w:val="16"/>
        </w:rPr>
        <w:t>Kişiye özel sağlık hizmetleri alanında öncü olan Roche, sağlık hizmetlerini toplum üzerindeki etkisini artıracak şekilde dönüştürmek</w:t>
      </w:r>
      <w:r>
        <w:rPr>
          <w:rFonts w:ascii="Minion" w:eastAsia="Minion" w:hAnsi="Minion" w:cs="Minion"/>
          <w:sz w:val="16"/>
          <w:szCs w:val="16"/>
        </w:rPr>
        <w:t xml:space="preserve"> için çalışmalarını sürdürmektedir. Roche, her bir bireye en iyi sağlık hizmetini sunmak için birçok paydaşla işbirliklerine imza atarak, tanı ve tedavi alanındaki güçlü konumunu klinik uygulamalardan elde edilen veri içgörüleriyle desteklemektedir.</w:t>
      </w:r>
    </w:p>
    <w:p w14:paraId="79A6B5DB" w14:textId="77777777" w:rsidR="00D73C55" w:rsidRDefault="00DA4C53">
      <w:pPr>
        <w:spacing w:before="240" w:after="240"/>
        <w:rPr>
          <w:rFonts w:ascii="Minion" w:eastAsia="Minion" w:hAnsi="Minion" w:cs="Minion"/>
          <w:sz w:val="16"/>
          <w:szCs w:val="16"/>
        </w:rPr>
      </w:pPr>
      <w:r>
        <w:rPr>
          <w:rFonts w:ascii="Minion" w:eastAsia="Minion" w:hAnsi="Minion" w:cs="Minion"/>
          <w:sz w:val="16"/>
          <w:szCs w:val="16"/>
        </w:rPr>
        <w:t>Roche,</w:t>
      </w:r>
      <w:r>
        <w:rPr>
          <w:rFonts w:ascii="Minion" w:eastAsia="Minion" w:hAnsi="Minion" w:cs="Minion"/>
          <w:sz w:val="16"/>
          <w:szCs w:val="16"/>
        </w:rPr>
        <w:t xml:space="preserve"> çalışma alanlarında benimsediği uzun vadeli bakış açısı sayesinde Dow Jones Sürdürülebilirlik Endeksleri tarafından üst üste 13 kez ilaç endüstrisindeki en sürdürülebilir şirketlerden biri olarak seçilmiştir. Bu, Roche’un faaliyet gösterdiği her ülkede, y</w:t>
      </w:r>
      <w:r>
        <w:rPr>
          <w:rFonts w:ascii="Minion" w:eastAsia="Minion" w:hAnsi="Minion" w:cs="Minion"/>
          <w:sz w:val="16"/>
          <w:szCs w:val="16"/>
        </w:rPr>
        <w:t>aptığı yerel ortaklar ile birlikte sağlık hizmetlerine erişimi artırma çabalarının bir sonucudur.</w:t>
      </w:r>
    </w:p>
    <w:p w14:paraId="0B9B886D" w14:textId="77777777" w:rsidR="00D73C55" w:rsidRDefault="00DA4C53">
      <w:pPr>
        <w:spacing w:before="240" w:after="240"/>
        <w:rPr>
          <w:rFonts w:ascii="Minion" w:eastAsia="Minion" w:hAnsi="Minion" w:cs="Minion"/>
          <w:sz w:val="16"/>
          <w:szCs w:val="16"/>
        </w:rPr>
      </w:pPr>
      <w:r>
        <w:rPr>
          <w:rFonts w:ascii="Minion" w:eastAsia="Minion" w:hAnsi="Minion" w:cs="Minion"/>
          <w:sz w:val="16"/>
          <w:szCs w:val="16"/>
        </w:rPr>
        <w:t>Roche Grubu Amerika’da bulunan Genentech’in tamamına, Japonya’da bulunan Chugai Pharmaceutical şirketinin de çoğunluk hissesine sahiptir.</w:t>
      </w:r>
    </w:p>
    <w:p w14:paraId="68CD666E" w14:textId="77777777" w:rsidR="00D73C55" w:rsidRDefault="00DA4C53">
      <w:pPr>
        <w:spacing w:before="240" w:after="240"/>
        <w:rPr>
          <w:rFonts w:ascii="Minion" w:eastAsia="Minion" w:hAnsi="Minion" w:cs="Minion"/>
          <w:sz w:val="16"/>
          <w:szCs w:val="16"/>
        </w:rPr>
      </w:pPr>
      <w:r>
        <w:rPr>
          <w:rFonts w:ascii="Minion" w:eastAsia="Minion" w:hAnsi="Minion" w:cs="Minion"/>
          <w:sz w:val="16"/>
          <w:szCs w:val="16"/>
        </w:rPr>
        <w:t>Ayrıntılı bilgi için</w:t>
      </w:r>
      <w:hyperlink r:id="rId7">
        <w:r>
          <w:rPr>
            <w:rFonts w:ascii="Minion" w:eastAsia="Minion" w:hAnsi="Minion" w:cs="Minion"/>
            <w:sz w:val="16"/>
            <w:szCs w:val="16"/>
          </w:rPr>
          <w:t xml:space="preserve"> </w:t>
        </w:r>
      </w:hyperlink>
      <w:hyperlink r:id="rId8">
        <w:r>
          <w:rPr>
            <w:rFonts w:ascii="Minion" w:eastAsia="Minion" w:hAnsi="Minion" w:cs="Minion"/>
            <w:sz w:val="16"/>
            <w:szCs w:val="16"/>
          </w:rPr>
          <w:t>www.roche.com</w:t>
        </w:r>
      </w:hyperlink>
      <w:r>
        <w:rPr>
          <w:rFonts w:ascii="Minion" w:eastAsia="Minion" w:hAnsi="Minion" w:cs="Minion"/>
          <w:sz w:val="16"/>
          <w:szCs w:val="16"/>
        </w:rPr>
        <w:t>'u ziyaret ediniz.</w:t>
      </w:r>
    </w:p>
    <w:p w14:paraId="2ADF89F1" w14:textId="77777777" w:rsidR="00D73C55" w:rsidRDefault="00DA4C53">
      <w:pPr>
        <w:spacing w:before="240" w:after="240"/>
        <w:rPr>
          <w:rFonts w:ascii="Verdana" w:eastAsia="Verdana" w:hAnsi="Verdana" w:cs="Verdana"/>
          <w:sz w:val="23"/>
          <w:szCs w:val="23"/>
        </w:rPr>
      </w:pPr>
      <w:r>
        <w:rPr>
          <w:rFonts w:ascii="Minion" w:eastAsia="Minion" w:hAnsi="Minion" w:cs="Minion"/>
          <w:sz w:val="16"/>
          <w:szCs w:val="16"/>
        </w:rPr>
        <w:t>Bu açıklamada kullanılan veya bahsedilen tüm ticari markalar yasalarla korunmaktadır.</w:t>
      </w:r>
    </w:p>
    <w:p w14:paraId="5CBB9F51" w14:textId="77777777" w:rsidR="00D73C55" w:rsidRDefault="00DA4C53">
      <w:pPr>
        <w:spacing w:after="0"/>
        <w:rPr>
          <w:rFonts w:ascii="Minion" w:eastAsia="Minion" w:hAnsi="Minion" w:cs="Minion"/>
          <w:sz w:val="24"/>
          <w:szCs w:val="24"/>
        </w:rPr>
      </w:pPr>
      <w:r>
        <w:rPr>
          <w:rFonts w:ascii="Verdana" w:eastAsia="Verdana" w:hAnsi="Verdana" w:cs="Verdana"/>
          <w:sz w:val="23"/>
          <w:szCs w:val="23"/>
        </w:rPr>
        <w:br/>
      </w:r>
      <w:r>
        <w:rPr>
          <w:rFonts w:ascii="Verdana" w:eastAsia="Verdana" w:hAnsi="Verdana" w:cs="Verdana"/>
          <w:sz w:val="23"/>
          <w:szCs w:val="23"/>
        </w:rPr>
        <w:br/>
      </w:r>
      <w:r>
        <w:rPr>
          <w:rFonts w:ascii="Verdana" w:eastAsia="Verdana" w:hAnsi="Verdana" w:cs="Verdana"/>
          <w:sz w:val="23"/>
          <w:szCs w:val="23"/>
        </w:rPr>
        <w:br/>
      </w:r>
    </w:p>
    <w:p w14:paraId="24DBCC2E" w14:textId="77777777" w:rsidR="00D73C55" w:rsidRDefault="00D73C55">
      <w:pPr>
        <w:spacing w:after="0" w:line="360" w:lineRule="auto"/>
        <w:jc w:val="both"/>
        <w:rPr>
          <w:rFonts w:ascii="Verdana" w:eastAsia="Verdana" w:hAnsi="Verdana" w:cs="Verdana"/>
          <w:sz w:val="20"/>
          <w:szCs w:val="20"/>
        </w:rPr>
      </w:pPr>
    </w:p>
    <w:p w14:paraId="1F34CDD1" w14:textId="77777777" w:rsidR="00D73C55" w:rsidRDefault="00D73C55">
      <w:pPr>
        <w:spacing w:after="0" w:line="360" w:lineRule="auto"/>
        <w:jc w:val="both"/>
        <w:rPr>
          <w:rFonts w:ascii="Verdana" w:eastAsia="Verdana" w:hAnsi="Verdana" w:cs="Verdana"/>
          <w:sz w:val="20"/>
          <w:szCs w:val="20"/>
        </w:rPr>
      </w:pPr>
    </w:p>
    <w:sectPr w:rsidR="00D73C55">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06EE" w14:textId="77777777" w:rsidR="00DA4C53" w:rsidRDefault="00DA4C53">
      <w:pPr>
        <w:spacing w:after="0" w:line="240" w:lineRule="auto"/>
      </w:pPr>
      <w:r>
        <w:separator/>
      </w:r>
    </w:p>
  </w:endnote>
  <w:endnote w:type="continuationSeparator" w:id="0">
    <w:p w14:paraId="53FD681A" w14:textId="77777777" w:rsidR="00DA4C53" w:rsidRDefault="00DA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A2"/>
    <w:family w:val="roman"/>
    <w:pitch w:val="variable"/>
    <w:sig w:usb0="00000287" w:usb1="00000000" w:usb2="00000000" w:usb3="00000000" w:csb0="0000009F" w:csb1="00000000"/>
  </w:font>
  <w:font w:name="Minion">
    <w:altName w:val="Calibri"/>
    <w:charset w:val="00"/>
    <w:family w:val="auto"/>
    <w:pitch w:val="default"/>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019D" w14:textId="77777777" w:rsidR="00DA4C53" w:rsidRDefault="00DA4C53">
      <w:pPr>
        <w:spacing w:after="0" w:line="240" w:lineRule="auto"/>
      </w:pPr>
      <w:r>
        <w:separator/>
      </w:r>
    </w:p>
  </w:footnote>
  <w:footnote w:type="continuationSeparator" w:id="0">
    <w:p w14:paraId="5C01BF6E" w14:textId="77777777" w:rsidR="00DA4C53" w:rsidRDefault="00DA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8084" w14:textId="77777777" w:rsidR="00D73C55" w:rsidRDefault="00DA4C5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4A9A6AEC" wp14:editId="2104B54E">
          <wp:simplePos x="0" y="0"/>
          <wp:positionH relativeFrom="column">
            <wp:posOffset>5803900</wp:posOffset>
          </wp:positionH>
          <wp:positionV relativeFrom="paragraph">
            <wp:posOffset>-108584</wp:posOffset>
          </wp:positionV>
          <wp:extent cx="467360" cy="245110"/>
          <wp:effectExtent l="0" t="0" r="0" b="0"/>
          <wp:wrapTopAndBottom distT="0" distB="0"/>
          <wp:docPr id="4" name="image1.png" descr="RoLo40c"/>
          <wp:cNvGraphicFramePr/>
          <a:graphic xmlns:a="http://schemas.openxmlformats.org/drawingml/2006/main">
            <a:graphicData uri="http://schemas.openxmlformats.org/drawingml/2006/picture">
              <pic:pic xmlns:pic="http://schemas.openxmlformats.org/drawingml/2006/picture">
                <pic:nvPicPr>
                  <pic:cNvPr id="0" name="image1.png" descr="RoLo40c"/>
                  <pic:cNvPicPr preferRelativeResize="0"/>
                </pic:nvPicPr>
                <pic:blipFill>
                  <a:blip r:embed="rId1"/>
                  <a:srcRect/>
                  <a:stretch>
                    <a:fillRect/>
                  </a:stretch>
                </pic:blipFill>
                <pic:spPr>
                  <a:xfrm>
                    <a:off x="0" y="0"/>
                    <a:ext cx="467360" cy="2451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55"/>
    <w:rsid w:val="00D73C55"/>
    <w:rsid w:val="00D8746C"/>
    <w:rsid w:val="00DA4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3487"/>
  <w15:docId w15:val="{2A17EC5B-D3C8-404D-8BAC-FAE98FDF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D0"/>
    <w:rPr>
      <w:lang w:val="en-US"/>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BA659A"/>
    <w:pPr>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BA659A"/>
  </w:style>
  <w:style w:type="paragraph" w:styleId="AltBilgi">
    <w:name w:val="footer"/>
    <w:basedOn w:val="Normal"/>
    <w:link w:val="AltBilgiChar"/>
    <w:uiPriority w:val="99"/>
    <w:unhideWhenUsed/>
    <w:rsid w:val="00BA659A"/>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BA659A"/>
  </w:style>
  <w:style w:type="paragraph" w:styleId="GvdeMetni">
    <w:name w:val="Body Text"/>
    <w:basedOn w:val="Normal"/>
    <w:link w:val="GvdeMetniChar"/>
    <w:semiHidden/>
    <w:unhideWhenUsed/>
    <w:rsid w:val="00455E8B"/>
    <w:pPr>
      <w:snapToGrid w:val="0"/>
      <w:spacing w:after="0" w:line="360" w:lineRule="auto"/>
      <w:jc w:val="both"/>
    </w:pPr>
    <w:rPr>
      <w:rFonts w:ascii="Arial" w:eastAsia="MS Mincho" w:hAnsi="Arial" w:cs="Arial"/>
      <w:sz w:val="20"/>
      <w:szCs w:val="20"/>
      <w:lang w:val="de-CH" w:eastAsia="ja-JP"/>
    </w:rPr>
  </w:style>
  <w:style w:type="character" w:customStyle="1" w:styleId="GvdeMetniChar">
    <w:name w:val="Gövde Metni Char"/>
    <w:basedOn w:val="VarsaylanParagrafYazTipi"/>
    <w:link w:val="GvdeMetni"/>
    <w:semiHidden/>
    <w:rsid w:val="00455E8B"/>
    <w:rPr>
      <w:rFonts w:ascii="Arial" w:eastAsia="MS Mincho" w:hAnsi="Arial" w:cs="Arial"/>
      <w:sz w:val="20"/>
      <w:szCs w:val="20"/>
      <w:lang w:val="de-CH" w:eastAsia="ja-JP"/>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oche.com/" TargetMode="External"/><Relationship Id="rId3" Type="http://schemas.openxmlformats.org/officeDocument/2006/relationships/settings" Target="settings.xml"/><Relationship Id="rId7" Type="http://schemas.openxmlformats.org/officeDocument/2006/relationships/hyperlink" Target="http://www.roch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V5Qe5lefVYgK+Y0HSztibxEp3g==">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 Balcı</dc:creator>
  <cp:lastModifiedBy>Dilek Ozcan</cp:lastModifiedBy>
  <cp:revision>2</cp:revision>
  <dcterms:created xsi:type="dcterms:W3CDTF">2022-05-25T10:26:00Z</dcterms:created>
  <dcterms:modified xsi:type="dcterms:W3CDTF">2022-06-13T05:20:00Z</dcterms:modified>
</cp:coreProperties>
</file>