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573EA" w14:textId="77777777" w:rsidR="00595B08" w:rsidRDefault="00595B08" w:rsidP="00595B08">
      <w:pPr>
        <w:jc w:val="center"/>
        <w:rPr>
          <w:rFonts w:ascii="Imago" w:hAnsi="Imago"/>
        </w:rPr>
      </w:pPr>
    </w:p>
    <w:p w14:paraId="0F4CC03D" w14:textId="77777777" w:rsidR="00595B08" w:rsidRDefault="00595B08" w:rsidP="00595B08">
      <w:pPr>
        <w:jc w:val="center"/>
        <w:rPr>
          <w:rFonts w:ascii="Minion Pro" w:hAnsi="Minion Pro"/>
          <w:b/>
          <w:bCs/>
        </w:rPr>
      </w:pPr>
      <w:r>
        <w:rPr>
          <w:rFonts w:ascii="Minion Pro" w:hAnsi="Minion Pro"/>
          <w:b/>
          <w:bCs/>
        </w:rPr>
        <w:t>Roche Diagnostik Türkiye ve Türk Eğitim Derneği “geleceğin sağlığı” için güçlerini birleştirdi</w:t>
      </w:r>
    </w:p>
    <w:p w14:paraId="0E778AAD" w14:textId="77777777" w:rsidR="00595B08" w:rsidRDefault="00595B08" w:rsidP="00595B08">
      <w:pPr>
        <w:jc w:val="center"/>
        <w:rPr>
          <w:rFonts w:ascii="Minion Pro" w:hAnsi="Minion Pro"/>
          <w:b/>
          <w:bCs/>
        </w:rPr>
      </w:pPr>
      <w:r>
        <w:rPr>
          <w:rFonts w:ascii="Minion Pro" w:hAnsi="Minion Pro"/>
          <w:b/>
          <w:bCs/>
        </w:rPr>
        <w:t>//</w:t>
      </w:r>
    </w:p>
    <w:p w14:paraId="1B0FD043" w14:textId="77777777" w:rsidR="00595B08" w:rsidRDefault="00595B08" w:rsidP="00595B08">
      <w:pPr>
        <w:jc w:val="center"/>
        <w:rPr>
          <w:rFonts w:ascii="Minion Pro" w:hAnsi="Minion Pro"/>
          <w:b/>
          <w:bCs/>
        </w:rPr>
      </w:pPr>
      <w:r>
        <w:rPr>
          <w:rFonts w:ascii="Minion Pro" w:hAnsi="Minion Pro"/>
          <w:b/>
          <w:bCs/>
        </w:rPr>
        <w:t>Roche Diagnostik Türkiye ve Türk Eğitim Derneği gelecek nesillerin sağlık bilincini artırmayı hedefleyen “Eğitimle Sağlıklı Gelecek” projesini hayata geçiriyor</w:t>
      </w:r>
    </w:p>
    <w:p w14:paraId="48B563C5" w14:textId="77777777" w:rsidR="00595B08" w:rsidRDefault="00595B08" w:rsidP="00595B08">
      <w:pPr>
        <w:rPr>
          <w:rFonts w:ascii="Minion Pro" w:hAnsi="Minion Pro"/>
        </w:rPr>
      </w:pPr>
    </w:p>
    <w:p w14:paraId="71C156B4" w14:textId="4446A61F" w:rsidR="00595B08" w:rsidRDefault="00595B08" w:rsidP="00595B08">
      <w:pPr>
        <w:jc w:val="center"/>
        <w:rPr>
          <w:rFonts w:ascii="Minion Pro" w:hAnsi="Minion Pro"/>
          <w:b/>
          <w:szCs w:val="24"/>
        </w:rPr>
      </w:pPr>
      <w:r>
        <w:rPr>
          <w:rFonts w:ascii="Minion Pro" w:hAnsi="Minion Pro"/>
          <w:b/>
          <w:bCs/>
          <w:szCs w:val="24"/>
        </w:rPr>
        <w:t>Roche Diagnostik Türkiye ve Türk Eğitim Derneği (TED), Ankara ve İstanbul’daki devlet okullarında öğrenimlerini sürdüren TED Tam Destek Burslu lise öğrencileri ve ailelerinin sağlığa erişim konusunda farkındalıklarını artırma amacıyla "Eğitimle Sağlıklı Gelecek” projesini hayata geçirdi. İçeriği Türk Eğitim Derneğinin öğrenci ve velilere yönelik gerçekleştirdiği ihtiyaç analizi</w:t>
      </w:r>
      <w:r>
        <w:rPr>
          <w:rFonts w:ascii="Minion Pro" w:hAnsi="Minion Pro"/>
          <w:b/>
          <w:szCs w:val="24"/>
        </w:rPr>
        <w:t xml:space="preserve"> ışığında oluşturulan projenin online eğitimleri başladı.</w:t>
      </w:r>
    </w:p>
    <w:p w14:paraId="212824F0" w14:textId="77777777" w:rsidR="00595B08" w:rsidRDefault="00595B08" w:rsidP="00595B08">
      <w:pPr>
        <w:rPr>
          <w:rFonts w:ascii="Minion Pro" w:hAnsi="Minion Pro"/>
          <w:b/>
          <w:bCs/>
        </w:rPr>
      </w:pPr>
      <w:r>
        <w:rPr>
          <w:rFonts w:ascii="Minion Pro" w:hAnsi="Minion Pro"/>
          <w:b/>
          <w:bCs/>
        </w:rPr>
        <w:t xml:space="preserve"> </w:t>
      </w:r>
    </w:p>
    <w:p w14:paraId="1C1DD43F" w14:textId="77777777" w:rsidR="00595B08" w:rsidRDefault="00595B08" w:rsidP="00595B08">
      <w:pPr>
        <w:jc w:val="both"/>
        <w:rPr>
          <w:rFonts w:ascii="Minion Pro" w:hAnsi="Minion Pro"/>
          <w:sz w:val="22"/>
          <w:szCs w:val="22"/>
        </w:rPr>
      </w:pPr>
      <w:r>
        <w:rPr>
          <w:rFonts w:ascii="Minion Pro" w:hAnsi="Minion Pro"/>
          <w:sz w:val="22"/>
          <w:szCs w:val="22"/>
        </w:rPr>
        <w:t>Roche Diagnostik Türkiye ve Türk Eğitim Derneği iş birliğinde hayata geçirilen Eğitimle Sağlıklı Gelecek projesi, TED’in yürütmekte olduğu Tam Destek Bursundan yararlanarak Ankara ve İstanbul’daki devlet okullarında öğrenimlerini sürdüren lise öğrencileri ve aileleri için tasarlandı. "Eğitimle Sağlıklı Gelecek” projesi, 2020-2021 öğrenim yılı boyunca, katılımcıların sağlığa erişim konusunda farkındalıklarını artırmayı hedefliyor. Hijyen, kişisel bakım, ergenlik dönemi gibi konularda uzmanlar tarafından verilecek eğitimlerle gençlerin başta arkadaşları olmak üzere çevrelerini olumlu etkileyecek davranışlar geliştirmesi öngörülüyor. İhtiyaç analizi çalışmasıyla elde edilen sonuçlar ışığında oluşturulan eğitim programı dâhilinde ilk eğitim, 28 Kasım tarihinde Zoom üzerinden gerçekleşti.</w:t>
      </w:r>
    </w:p>
    <w:p w14:paraId="3F642C2F" w14:textId="77777777" w:rsidR="00595B08" w:rsidRDefault="00595B08" w:rsidP="00595B08">
      <w:pPr>
        <w:jc w:val="both"/>
        <w:rPr>
          <w:rFonts w:ascii="Minion Pro" w:hAnsi="Minion Pro"/>
          <w:sz w:val="22"/>
          <w:szCs w:val="22"/>
        </w:rPr>
      </w:pPr>
    </w:p>
    <w:p w14:paraId="00FFE2DE" w14:textId="5F641327" w:rsidR="00595B08" w:rsidRDefault="00595B08" w:rsidP="00595B08">
      <w:pPr>
        <w:jc w:val="both"/>
        <w:rPr>
          <w:rFonts w:ascii="Minion Pro" w:hAnsi="Minion Pro"/>
          <w:b/>
          <w:bCs/>
          <w:sz w:val="22"/>
          <w:szCs w:val="22"/>
        </w:rPr>
      </w:pPr>
      <w:r>
        <w:rPr>
          <w:rFonts w:ascii="Minion Pro" w:hAnsi="Minion Pro"/>
          <w:b/>
          <w:bCs/>
          <w:sz w:val="22"/>
          <w:szCs w:val="22"/>
        </w:rPr>
        <w:t>Projeden 3</w:t>
      </w:r>
      <w:r w:rsidR="00E360D0">
        <w:rPr>
          <w:rFonts w:ascii="Minion Pro" w:hAnsi="Minion Pro"/>
          <w:b/>
          <w:bCs/>
          <w:sz w:val="22"/>
          <w:szCs w:val="22"/>
        </w:rPr>
        <w:t>2</w:t>
      </w:r>
      <w:r>
        <w:rPr>
          <w:rFonts w:ascii="Minion Pro" w:hAnsi="Minion Pro"/>
          <w:b/>
          <w:bCs/>
          <w:sz w:val="22"/>
          <w:szCs w:val="22"/>
        </w:rPr>
        <w:t>4 öğrenci ve ailesi faydalanacak</w:t>
      </w:r>
    </w:p>
    <w:p w14:paraId="73AEFF50" w14:textId="30500030" w:rsidR="00595B08" w:rsidRDefault="00595B08" w:rsidP="00595B08">
      <w:pPr>
        <w:jc w:val="both"/>
        <w:rPr>
          <w:rFonts w:ascii="Minion Pro" w:hAnsi="Minion Pro"/>
          <w:sz w:val="22"/>
          <w:szCs w:val="22"/>
        </w:rPr>
      </w:pPr>
      <w:r>
        <w:rPr>
          <w:rFonts w:ascii="Minion Pro" w:hAnsi="Minion Pro"/>
          <w:sz w:val="22"/>
          <w:szCs w:val="22"/>
        </w:rPr>
        <w:t>Proje kapsamında 3</w:t>
      </w:r>
      <w:r w:rsidR="00E360D0">
        <w:rPr>
          <w:rFonts w:ascii="Minion Pro" w:hAnsi="Minion Pro"/>
          <w:sz w:val="22"/>
          <w:szCs w:val="22"/>
        </w:rPr>
        <w:t>2</w:t>
      </w:r>
      <w:r>
        <w:rPr>
          <w:rFonts w:ascii="Minion Pro" w:hAnsi="Minion Pro"/>
          <w:sz w:val="22"/>
          <w:szCs w:val="22"/>
        </w:rPr>
        <w:t>4 öğrenciye ve ailelerine, konunun uzmanları tarafından hem ortak hem de ayrı ayrı eğitimler verilecek. Ortak verilecek eğitimler arasında Temel İnsan Hakkı Olarak Sağlık, Hijyen ve Ev Sağlığı Eğitimi, Beslenme ve Sağlıklı Gıda Eğitimi, Hastalıkların Tanısı ve Önemi, Covid-19 ve Diğer Bulaşıcı Hastalıklar Eğitimi, Evde İlk Yardım Eğitimi, Ağız ve Diş Sağlığı Eğitimi ve Sporun Sağlıklı Birey Oluşumundaki Önemi yer alıyor.</w:t>
      </w:r>
    </w:p>
    <w:p w14:paraId="1B85A7C3" w14:textId="77777777" w:rsidR="00595B08" w:rsidRDefault="00595B08" w:rsidP="00595B08">
      <w:pPr>
        <w:jc w:val="both"/>
        <w:rPr>
          <w:rFonts w:ascii="Minion Pro" w:hAnsi="Minion Pro"/>
          <w:sz w:val="22"/>
          <w:szCs w:val="22"/>
        </w:rPr>
      </w:pPr>
    </w:p>
    <w:p w14:paraId="7181A10E" w14:textId="77777777" w:rsidR="00595B08" w:rsidRDefault="00595B08" w:rsidP="00595B08">
      <w:pPr>
        <w:jc w:val="both"/>
        <w:rPr>
          <w:rFonts w:ascii="Minion Pro" w:hAnsi="Minion Pro"/>
          <w:b/>
          <w:bCs/>
          <w:sz w:val="22"/>
          <w:szCs w:val="22"/>
        </w:rPr>
      </w:pPr>
      <w:r>
        <w:rPr>
          <w:rFonts w:ascii="Minion Pro" w:hAnsi="Minion Pro"/>
          <w:b/>
          <w:bCs/>
          <w:sz w:val="22"/>
          <w:szCs w:val="22"/>
        </w:rPr>
        <w:t>Öğrencilere ve ebeveynlere özel eğitimler verilecek</w:t>
      </w:r>
    </w:p>
    <w:p w14:paraId="150C7F4A" w14:textId="77777777" w:rsidR="00595B08" w:rsidRDefault="00595B08" w:rsidP="00595B08">
      <w:pPr>
        <w:jc w:val="both"/>
        <w:rPr>
          <w:rFonts w:ascii="Minion Pro" w:hAnsi="Minion Pro"/>
          <w:sz w:val="22"/>
          <w:szCs w:val="22"/>
        </w:rPr>
      </w:pPr>
      <w:r>
        <w:rPr>
          <w:rFonts w:ascii="Minion Pro" w:hAnsi="Minion Pro"/>
          <w:sz w:val="22"/>
          <w:szCs w:val="22"/>
        </w:rPr>
        <w:t>Ortak eğitimlerin yanı sıra öğrencilere, Kişisel Bakım Eğitimi, Ergenlik ve Ergen Sağlığı Eğitimi, Psikososyal Gelişim Eğitimi, Madde Kullanım Riski ve Madde Bağımlılığından Korunma ve Duygusal Zekâ Eğitimi verilmesi planlanırken, ebeveynlere ise Çocuk Sağlığı ve Bakımı Eğitimi, Çocuk Gelişimi Eğitimi, Temel Aşılar Eğitimi, Doğum Kontrol ve Aile Planlaması Eğitimi, Anne Babalar İçin Madde Bağımlılığı Eğitimi, Kadın Sağlığı, Rutin Takipler ve Düzenli Testlerin Önemi ve Farkındalık eğitimlerinin verilmesi öngörülüyor.</w:t>
      </w:r>
    </w:p>
    <w:p w14:paraId="1B7BEE43" w14:textId="77777777" w:rsidR="00595B08" w:rsidRDefault="00595B08" w:rsidP="00595B08">
      <w:pPr>
        <w:jc w:val="both"/>
        <w:rPr>
          <w:rFonts w:ascii="Minion Pro" w:hAnsi="Minion Pro"/>
          <w:sz w:val="22"/>
          <w:szCs w:val="22"/>
        </w:rPr>
      </w:pPr>
    </w:p>
    <w:p w14:paraId="7C70328A" w14:textId="3842520F" w:rsidR="00595B08" w:rsidRDefault="00595B08" w:rsidP="00595B08">
      <w:pPr>
        <w:jc w:val="both"/>
        <w:rPr>
          <w:rFonts w:ascii="Minion Pro" w:hAnsi="Minion Pro"/>
          <w:sz w:val="22"/>
          <w:szCs w:val="22"/>
        </w:rPr>
      </w:pPr>
      <w:r w:rsidRPr="008C74ED">
        <w:rPr>
          <w:rFonts w:ascii="Minion Pro" w:hAnsi="Minion Pro"/>
          <w:b/>
          <w:bCs/>
          <w:sz w:val="22"/>
          <w:szCs w:val="22"/>
        </w:rPr>
        <w:t>Roche Diagnostik Türkiye Genel Müdürü Türkiye &amp; Orta Asya ve Kafkas Ülkeleri Yönetim Merkezi Başkanı Burçak Çelik</w:t>
      </w:r>
      <w:r>
        <w:rPr>
          <w:rFonts w:ascii="Minion Pro" w:hAnsi="Minion Pro"/>
          <w:sz w:val="22"/>
          <w:szCs w:val="22"/>
        </w:rPr>
        <w:t xml:space="preserve">, projeyle ilgili şu açıklamayı yaptı: </w:t>
      </w:r>
      <w:r w:rsidR="00E96093" w:rsidRPr="00A24FA3">
        <w:rPr>
          <w:rFonts w:ascii="Minion Pro" w:hAnsi="Minion Pro"/>
          <w:sz w:val="22"/>
          <w:szCs w:val="22"/>
        </w:rPr>
        <w:t>“Roche Diagnostik olarak amacımız insanların yaşamlarını iyileştirmek. Bu misyon ve inançla her zaman topluma fayda sağlayacağımız faaliyetler sürdürüyoruz. Şimdi ise Türk Eğitim Derneği ile birlikte ‘Eğitimle Sağlıklı Gelecek’ projesini hayata geçiriyoruz. Projemizin temel amacı toplum olarak, sağlık hakkı, hijyen koşulları, bulaşıcı hastalıklar ve hastalıkların tanı süreci gibi kritik pek çok konuda toplumsal farkındalık seviyesinin yükselmesine katkıda bulunmak. Bunun ne kadar önemli bir ihtiyaç olduğunu Covid-19 salgını bizlere bir kez daha gösterdi. Sağlıklı bir toplum için o toplumu oluşturan her bir bireyin yüksek sağlık bilincine sahip olmasını sağlamalıyız. Bunu sağlamanın en iyi yollarından birinin de, gençlerimizin bu alanda nitelikli bilgilerle donanmalarını sağlamak olduğunu düşünüyoruz.  Öğrencilerin ve ailelerin projemiz dâhilindeki eğitimlerle daha bilinçli olmalarını ve edinecekleri bilgi, beceri ve deneyimleri çevreleriyle paylaşarak daha sağlıklı bir toplum oluşmasına katkıda bulunmalarını hedefliyoruz.”    </w:t>
      </w:r>
      <w:r w:rsidR="00E96093" w:rsidRPr="00E96093">
        <w:rPr>
          <w:rFonts w:ascii="Minion Pro" w:hAnsi="Minion Pro"/>
          <w:sz w:val="22"/>
          <w:szCs w:val="22"/>
        </w:rPr>
        <w:t>  </w:t>
      </w:r>
    </w:p>
    <w:p w14:paraId="774FCCCB" w14:textId="655FCC80" w:rsidR="00595B08" w:rsidRDefault="00595B08" w:rsidP="00595B08">
      <w:pPr>
        <w:jc w:val="both"/>
        <w:rPr>
          <w:rFonts w:ascii="Minion Pro" w:hAnsi="Minion Pro"/>
          <w:sz w:val="22"/>
          <w:szCs w:val="22"/>
        </w:rPr>
      </w:pPr>
      <w:r w:rsidRPr="008C74ED">
        <w:rPr>
          <w:rFonts w:ascii="Minion Pro" w:hAnsi="Minion Pro"/>
          <w:b/>
          <w:bCs/>
          <w:sz w:val="22"/>
          <w:szCs w:val="22"/>
        </w:rPr>
        <w:t>Türk Eğitim Derneği Genel Başkanı Selçuk Pehlivanoğlu</w:t>
      </w:r>
      <w:r>
        <w:rPr>
          <w:rFonts w:ascii="Minion Pro" w:hAnsi="Minion Pro"/>
          <w:sz w:val="22"/>
          <w:szCs w:val="22"/>
        </w:rPr>
        <w:t xml:space="preserve"> ise “Türk Eğitim Derneği olarak kamu sağlığının tesis edilmesinde eğitimin sahip olduğu önemin ve üstlendiği rolün bilinciyle toplumda bu bilinci artıracak mekanizmalara erişimi kısıtlı olan öğrencilerimize öncelik vererek bu anlamlı projeye imza atmaktan mutluluk duyuyoruz. Paydaşımız Roche Diagnostik Türkiye’nin desteğiyle sağlık bilincini toplumumuzda artırarak gelecek nesillerimiz için sürdürülebilir bir yaşamın temellerini atmayı arzu ediyoruz.” Şeklinde konuştu.</w:t>
      </w:r>
    </w:p>
    <w:p w14:paraId="4B7080E8" w14:textId="34DE1D2A" w:rsidR="00595B08" w:rsidRDefault="00595B08" w:rsidP="00595B08">
      <w:pPr>
        <w:jc w:val="both"/>
        <w:rPr>
          <w:rFonts w:ascii="Minion Pro" w:hAnsi="Minion Pro"/>
          <w:b/>
          <w:bCs/>
          <w:sz w:val="22"/>
          <w:szCs w:val="22"/>
        </w:rPr>
      </w:pPr>
      <w:r w:rsidRPr="2A5631CF">
        <w:rPr>
          <w:rFonts w:ascii="Minion Pro" w:hAnsi="Minion Pro"/>
          <w:sz w:val="22"/>
          <w:szCs w:val="22"/>
        </w:rPr>
        <w:t>Proje öncesi aşamada yapılan ihtiyaç analizi bir yandan projenin odak alanlarını belirlerken diğer yandan da toplumsal sağlık bilincine ilişkin çarpıcı bulgular ortaya koydu. İhtiyaç analizi kapsamında İstanbul ve Ankara’dan, 15 ila 18 yaş aralığında 24</w:t>
      </w:r>
      <w:r w:rsidR="53D22F6C" w:rsidRPr="2A5631CF">
        <w:rPr>
          <w:rFonts w:ascii="Minion Pro" w:hAnsi="Minion Pro"/>
          <w:sz w:val="22"/>
          <w:szCs w:val="22"/>
        </w:rPr>
        <w:t>5</w:t>
      </w:r>
      <w:r w:rsidRPr="2A5631CF">
        <w:rPr>
          <w:rFonts w:ascii="Minion Pro" w:hAnsi="Minion Pro"/>
          <w:sz w:val="22"/>
          <w:szCs w:val="22"/>
        </w:rPr>
        <w:t xml:space="preserve"> öğrenciye yapılan anket, büyük çoğunluğunun kendini sağlıklı hissettiğini, bununla birlikte halsizlik, fazla kilo, vitamin eksikliği gibi nedenlerle kendini sağlıklı hissetmeyen öğrencilerin de bulunduğunu ortaya çıkardı. Anketin dikkat çeken bir diğer bulgusu da öğrencilerin sağlıkla ilgili bilgi edinme kaynakları oldu. Sonuçlara göre öğrencilerin yüzde 72’si sağlıkla ilgili bilgilerini genellikle internet ve televizyondan edinirken, bu bilgileri ailelerinden edinen öğrencilerin oranı %28. </w:t>
      </w:r>
    </w:p>
    <w:p w14:paraId="360E132F" w14:textId="77777777" w:rsidR="00595B08" w:rsidRDefault="00595B08" w:rsidP="00595B08">
      <w:pPr>
        <w:jc w:val="both"/>
        <w:rPr>
          <w:rFonts w:ascii="Minion Pro" w:hAnsi="Minion Pro"/>
          <w:sz w:val="22"/>
          <w:szCs w:val="22"/>
        </w:rPr>
      </w:pPr>
    </w:p>
    <w:p w14:paraId="5502AFD0" w14:textId="77777777" w:rsidR="00595B08" w:rsidRDefault="00595B08" w:rsidP="00595B08">
      <w:pPr>
        <w:jc w:val="both"/>
        <w:rPr>
          <w:rFonts w:ascii="Minion Pro" w:hAnsi="Minion Pro"/>
          <w:sz w:val="22"/>
          <w:szCs w:val="22"/>
        </w:rPr>
      </w:pPr>
    </w:p>
    <w:p w14:paraId="631FB22D" w14:textId="77777777" w:rsidR="00595B08" w:rsidRDefault="00595B08" w:rsidP="00595B08">
      <w:pPr>
        <w:rPr>
          <w:rFonts w:ascii="Minion Pro" w:hAnsi="Minion Pro"/>
          <w:b/>
          <w:bCs/>
        </w:rPr>
      </w:pPr>
      <w:r>
        <w:rPr>
          <w:rFonts w:ascii="Minion Pro" w:hAnsi="Minion Pro"/>
          <w:b/>
          <w:bCs/>
        </w:rPr>
        <w:t xml:space="preserve">İlgili Kişi </w:t>
      </w:r>
    </w:p>
    <w:p w14:paraId="52034C9A" w14:textId="77777777" w:rsidR="00595B08" w:rsidRDefault="00595B08" w:rsidP="00595B08">
      <w:pPr>
        <w:rPr>
          <w:rFonts w:ascii="Minion Pro" w:hAnsi="Minion Pro"/>
        </w:rPr>
      </w:pPr>
      <w:r>
        <w:rPr>
          <w:rFonts w:ascii="Minion Pro" w:hAnsi="Minion Pro"/>
        </w:rPr>
        <w:t xml:space="preserve">Dilek Özcan  </w:t>
      </w:r>
    </w:p>
    <w:p w14:paraId="639E8B22" w14:textId="77777777" w:rsidR="00595B08" w:rsidRDefault="00595B08" w:rsidP="00595B08">
      <w:pPr>
        <w:rPr>
          <w:rFonts w:ascii="Minion Pro" w:hAnsi="Minion Pro"/>
        </w:rPr>
      </w:pPr>
      <w:r>
        <w:rPr>
          <w:rFonts w:ascii="Minion Pro" w:hAnsi="Minion Pro"/>
        </w:rPr>
        <w:t xml:space="preserve">0 (212) 219 29 71- 0 (533) 927 23 93  </w:t>
      </w:r>
    </w:p>
    <w:p w14:paraId="544C735D" w14:textId="77777777" w:rsidR="00595B08" w:rsidRDefault="00595B08" w:rsidP="00595B08">
      <w:pPr>
        <w:rPr>
          <w:rFonts w:ascii="Minion Pro" w:hAnsi="Minion Pro"/>
        </w:rPr>
      </w:pPr>
      <w:r>
        <w:rPr>
          <w:rFonts w:ascii="Minion Pro" w:hAnsi="Minion Pro"/>
        </w:rPr>
        <w:t>dileko@marjinal.com.tr</w:t>
      </w:r>
    </w:p>
    <w:p w14:paraId="13F292BA" w14:textId="77777777" w:rsidR="00595B08" w:rsidRDefault="00595B08" w:rsidP="00595B08">
      <w:pPr>
        <w:rPr>
          <w:rStyle w:val="normaltextrun"/>
          <w:rFonts w:ascii="Arial" w:eastAsia="Times New Roman" w:hAnsi="Arial" w:cs="Arial"/>
          <w:b/>
          <w:bCs/>
          <w:color w:val="auto"/>
          <w:sz w:val="16"/>
          <w:szCs w:val="16"/>
          <w:lang w:eastAsia="tr-TR"/>
        </w:rPr>
      </w:pPr>
    </w:p>
    <w:p w14:paraId="5BF3982D" w14:textId="77777777" w:rsidR="00595B08" w:rsidRDefault="00595B08" w:rsidP="00595B08">
      <w:pPr>
        <w:rPr>
          <w:rStyle w:val="normaltextrun"/>
          <w:rFonts w:ascii="Arial" w:eastAsia="Times New Roman" w:hAnsi="Arial" w:cs="Arial"/>
          <w:b/>
          <w:bCs/>
          <w:color w:val="auto"/>
          <w:sz w:val="16"/>
          <w:szCs w:val="16"/>
          <w:lang w:eastAsia="tr-TR"/>
        </w:rPr>
      </w:pPr>
      <w:r>
        <w:rPr>
          <w:rStyle w:val="normaltextrun"/>
          <w:rFonts w:ascii="Arial" w:eastAsia="Times New Roman" w:hAnsi="Arial" w:cs="Arial"/>
          <w:b/>
          <w:bCs/>
          <w:color w:val="auto"/>
          <w:sz w:val="16"/>
          <w:szCs w:val="16"/>
          <w:lang w:eastAsia="tr-TR"/>
        </w:rPr>
        <w:t>Türk Eğitim Derneği Hakkında</w:t>
      </w:r>
    </w:p>
    <w:p w14:paraId="2B21CF70"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w:t>
      </w:r>
      <w:r>
        <w:rPr>
          <w:rStyle w:val="normaltextrun"/>
          <w:rFonts w:ascii="Arial" w:hAnsi="Arial" w:cs="Arial"/>
          <w:sz w:val="16"/>
          <w:szCs w:val="16"/>
        </w:rPr>
        <w:lastRenderedPageBreak/>
        <w:t>Derneği; üniversitesi, 40 okulu, temsilcilikleri, öğrenci yurtları, düşünce kuruluşu, senfoni orkestrası, okullarının mezun dernekleri ve spor kulüpleri ile faaliyet göstermektedir.</w:t>
      </w:r>
    </w:p>
    <w:p w14:paraId="4B1FD467" w14:textId="77777777" w:rsidR="00595B08" w:rsidRDefault="00595B08" w:rsidP="00595B08">
      <w:pPr>
        <w:rPr>
          <w:rFonts w:ascii="Minion Pro" w:hAnsi="Minion Pro"/>
        </w:rPr>
      </w:pPr>
    </w:p>
    <w:p w14:paraId="1F244FA8" w14:textId="77777777" w:rsidR="00595B08" w:rsidRDefault="00595B08" w:rsidP="00595B08">
      <w:pPr>
        <w:rPr>
          <w:rStyle w:val="normaltextrun"/>
          <w:rFonts w:ascii="Arial" w:eastAsia="Times New Roman" w:hAnsi="Arial" w:cs="Arial"/>
          <w:b/>
          <w:bCs/>
          <w:color w:val="auto"/>
          <w:sz w:val="16"/>
          <w:szCs w:val="16"/>
          <w:lang w:eastAsia="tr-TR"/>
        </w:rPr>
      </w:pPr>
      <w:r>
        <w:rPr>
          <w:rStyle w:val="normaltextrun"/>
          <w:rFonts w:ascii="Arial" w:eastAsia="Times New Roman" w:hAnsi="Arial" w:cs="Arial"/>
          <w:b/>
          <w:bCs/>
          <w:color w:val="auto"/>
          <w:sz w:val="16"/>
          <w:szCs w:val="16"/>
          <w:lang w:eastAsia="tr-TR"/>
        </w:rPr>
        <w:t xml:space="preserve">Roche Hakkında </w:t>
      </w:r>
    </w:p>
    <w:p w14:paraId="4F10AA82"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İnsanların yaşamlarını iyileştiren bilimsel ilerlemelere odaklanan Roche, ilaç ve tanı araçları alanında öncü global şirketler arasında yer almaktadır.  Her hastaya doğru tedaviyi en doğru şekilde verme stratejisi, İlaç ve Diagnostik’in gücünü aynı çatı altında toplayan Roche’u, kişiselleştirilmiş sağlık hizmetleri alanında lider haline getirmiştir.   </w:t>
      </w:r>
    </w:p>
    <w:p w14:paraId="4D6A2C32"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 </w:t>
      </w:r>
    </w:p>
    <w:p w14:paraId="7D2E5460"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Roche; onkoloji, immünoloji, bulaşıcı hastalıklar, oftalmoloji ve nöroloji konularında tam anlamıyla farklılaşmış ilaçlara sahip, dünyanın en büyük biyoteknoloji şirketidir. Roche ayrıca in vitro diagnostik ve doku bazlı kanser tanısında da dünya lideri olup, diyabet yönetiminde öncüdür. </w:t>
      </w:r>
    </w:p>
    <w:p w14:paraId="7567DB63"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 </w:t>
      </w:r>
    </w:p>
    <w:p w14:paraId="2C585030"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1896 yılında kurulan Roche, hastalıkları önlemenin, teşhis ve tedavi etmenin ve topluma sürdürülebilir bir katkıda bulunmanın daha iyi yollarını bulmak amacıyla çalışmalarına devam etmektedir. Şirket ayrıca, ilgili tüm paydaşlarla birlikte çalışarak hastaların tıbbi yeniliklere erişimini artırmayı da amaçlamaktadır. Roche tarafından geliştirilen ve aralarında yaşam kurtaran antibiyotiklerin, antimalaryallerin ve kanser ilaçlarının da yer aldığı 30’dan fazla ilaç, Dünya Sağlık Örgütünün Model Temel İlaç Listesi’nde yer almaktadır. Roche, Dow Jones Sürdürülebilirlik Endeksi’nde (DJSI) 11 yıl arka arkaya ilaç endüstrisinde en sürdürülebilir şirketlerden biri olarak seçilmiştir.  </w:t>
      </w:r>
    </w:p>
    <w:p w14:paraId="53091894"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 </w:t>
      </w:r>
    </w:p>
    <w:p w14:paraId="1F00C91F"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Merkezi İsviçre’nin Basel kentinde bulunan Roche Grubu, 2019 yılı itibariyle 100’ün üzerinde ülkede yaklaşık 98 bin çalışanıyla faaliyet göstermektedir. 2019 yılında Ar-Ge çalışmalarına 11,7 milyar İsviçre Frangı yatırım yapan Roche’un cirosu 61.5 milyar İsviçre Frangı olarak gerçekleşmiştir. Roche Grubu Amerika’da bulunan Genentech’in tamamına, Japonya’da bulunan Chugai Pharmaceutical şirketinin de çoğunluk hissesine sahiptir.  Ayrıntılı bilgi için www.roche.com adresini ziyaret ediniz.  </w:t>
      </w:r>
    </w:p>
    <w:p w14:paraId="7C307E8D"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 </w:t>
      </w:r>
    </w:p>
    <w:p w14:paraId="6B73F4AF" w14:textId="77777777" w:rsidR="00595B08" w:rsidRDefault="00595B08" w:rsidP="00595B08">
      <w:pPr>
        <w:pStyle w:val="paragraph"/>
        <w:spacing w:before="0" w:beforeAutospacing="0" w:after="0" w:afterAutospacing="0"/>
        <w:jc w:val="both"/>
        <w:textAlignment w:val="baseline"/>
        <w:rPr>
          <w:rStyle w:val="normaltextrun"/>
          <w:rFonts w:ascii="Arial" w:hAnsi="Arial" w:cs="Arial"/>
          <w:sz w:val="16"/>
          <w:szCs w:val="16"/>
        </w:rPr>
      </w:pPr>
      <w:r>
        <w:rPr>
          <w:rStyle w:val="normaltextrun"/>
          <w:rFonts w:ascii="Arial" w:hAnsi="Arial" w:cs="Arial"/>
          <w:sz w:val="16"/>
          <w:szCs w:val="16"/>
        </w:rPr>
        <w:t xml:space="preserve">Bu açıklamada kullanılan veya bahsedilen tüm ticari markalar yasalarla korunmaktadır.  </w:t>
      </w:r>
    </w:p>
    <w:p w14:paraId="5A7EDB61" w14:textId="77777777" w:rsidR="00595B08" w:rsidRDefault="00595B08" w:rsidP="00595B08"/>
    <w:p w14:paraId="579A03D7" w14:textId="77777777" w:rsidR="005C6485" w:rsidRPr="005C6485" w:rsidRDefault="005C6485" w:rsidP="005C6485">
      <w:pPr>
        <w:rPr>
          <w:rFonts w:ascii="Minion Pro" w:hAnsi="Minion Pro"/>
        </w:rPr>
      </w:pPr>
    </w:p>
    <w:sectPr w:rsidR="005C6485" w:rsidRPr="005C6485" w:rsidSect="00C74F9D">
      <w:headerReference w:type="default" r:id="rId10"/>
      <w:footerReference w:type="default" r:id="rId11"/>
      <w:headerReference w:type="first" r:id="rId12"/>
      <w:footerReference w:type="first" r:id="rId13"/>
      <w:pgSz w:w="11906" w:h="16838" w:code="9"/>
      <w:pgMar w:top="1888" w:right="862" w:bottom="1418"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78EE5" w14:textId="77777777" w:rsidR="00897E8B" w:rsidRDefault="00897E8B">
      <w:pPr>
        <w:spacing w:after="0" w:line="240" w:lineRule="auto"/>
      </w:pPr>
      <w:r>
        <w:separator/>
      </w:r>
    </w:p>
  </w:endnote>
  <w:endnote w:type="continuationSeparator" w:id="0">
    <w:p w14:paraId="3CA6D2E8" w14:textId="77777777" w:rsidR="00897E8B" w:rsidRDefault="0089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Franklin Gothic Demi">
    <w:altName w:val="Franklin Gothic Medium"/>
    <w:panose1 w:val="020B0703020102020204"/>
    <w:charset w:val="A2"/>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Imago">
    <w:altName w:val="Calibri"/>
    <w:charset w:val="A2"/>
    <w:family w:val="auto"/>
    <w:pitch w:val="variable"/>
    <w:sig w:usb0="A00002AF" w:usb1="5000205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B5AB" w14:textId="77777777" w:rsidR="00FB0864" w:rsidRDefault="00FB086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60AD7BC9" w14:textId="77777777" w:rsidTr="2A5631CF">
      <w:trPr>
        <w:trHeight w:val="1421"/>
      </w:trPr>
      <w:tc>
        <w:tcPr>
          <w:tcW w:w="12221" w:type="dxa"/>
          <w:tcBorders>
            <w:top w:val="nil"/>
            <w:left w:val="nil"/>
            <w:bottom w:val="nil"/>
            <w:right w:val="nil"/>
          </w:tcBorders>
        </w:tcPr>
        <w:p w14:paraId="6D62618C" w14:textId="77777777" w:rsidR="00115663" w:rsidRDefault="00115663" w:rsidP="00115663">
          <w:pPr>
            <w:pStyle w:val="AltBilgi"/>
            <w:spacing w:after="0"/>
            <w:jc w:val="left"/>
          </w:pPr>
          <w:r>
            <w:rPr>
              <w:noProof/>
              <w:lang w:eastAsia="zh-CN"/>
            </w:rPr>
            <w:drawing>
              <wp:inline distT="0" distB="0" distL="0" distR="0" wp14:anchorId="6FF3F802" wp14:editId="7D7E56D4">
                <wp:extent cx="7649868" cy="1003042"/>
                <wp:effectExtent l="0" t="0" r="0" b="63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yesil-dalgalar-17.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9868" cy="1003042"/>
                        </a:xfrm>
                        <a:prstGeom prst="rect">
                          <a:avLst/>
                        </a:prstGeom>
                        <a:ln>
                          <a:noFill/>
                        </a:ln>
                        <a:extLst>
                          <a:ext uri="{53640926-AAD7-44D8-BBD7-CCE9431645EC}">
                            <a14:shadowObscured xmlns:a14="http://schemas.microsoft.com/office/drawing/2010/main"/>
                          </a:ext>
                        </a:extLst>
                      </pic:spPr>
                    </pic:pic>
                  </a:graphicData>
                </a:graphic>
              </wp:inline>
            </w:drawing>
          </w:r>
        </w:p>
        <w:p w14:paraId="72451E6F" w14:textId="77777777" w:rsidR="00FB0864" w:rsidRDefault="00FB0864" w:rsidP="00115663">
          <w:pPr>
            <w:pStyle w:val="AltBilgi"/>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3C0E742" w14:textId="77777777" w:rsidTr="2A5631CF">
      <w:trPr>
        <w:trHeight w:val="1362"/>
      </w:trPr>
      <w:tc>
        <w:tcPr>
          <w:tcW w:w="12275" w:type="dxa"/>
          <w:tcBorders>
            <w:top w:val="nil"/>
            <w:left w:val="nil"/>
            <w:bottom w:val="nil"/>
            <w:right w:val="nil"/>
          </w:tcBorders>
        </w:tcPr>
        <w:p w14:paraId="78CC6162" w14:textId="77777777" w:rsidR="002E1A5A" w:rsidRDefault="2A5631CF" w:rsidP="002E1A5A">
          <w:pPr>
            <w:pStyle w:val="AltBilgi"/>
            <w:spacing w:after="0"/>
          </w:pPr>
          <w:r>
            <w:rPr>
              <w:noProof/>
              <w:lang w:eastAsia="zh-CN"/>
            </w:rPr>
            <w:drawing>
              <wp:inline distT="0" distB="0" distL="0" distR="0" wp14:anchorId="72D60C82" wp14:editId="25E4DCB4">
                <wp:extent cx="8551368" cy="976184"/>
                <wp:effectExtent l="0" t="0" r="2540" b="0"/>
                <wp:docPr id="15" name="Resim 15" descr="yeşil dalga tasar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pic:nvPicPr>
                      <pic:blipFill>
                        <a:blip r:embed="rId1">
                          <a:extLst>
                            <a:ext uri="{28A0092B-C50C-407E-A947-70E740481C1C}">
                              <a14:useLocalDpi xmlns:a14="http://schemas.microsoft.com/office/drawing/2010/main" val="0"/>
                            </a:ext>
                          </a:extLst>
                        </a:blip>
                        <a:stretch>
                          <a:fillRect/>
                        </a:stretch>
                      </pic:blipFill>
                      <pic:spPr>
                        <a:xfrm>
                          <a:off x="0" y="0"/>
                          <a:ext cx="8551368" cy="976184"/>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47174" w14:textId="77777777" w:rsidR="00897E8B" w:rsidRDefault="00897E8B">
      <w:pPr>
        <w:spacing w:after="0" w:line="240" w:lineRule="auto"/>
      </w:pPr>
      <w:r>
        <w:separator/>
      </w:r>
    </w:p>
  </w:footnote>
  <w:footnote w:type="continuationSeparator" w:id="0">
    <w:p w14:paraId="68BEFFA6" w14:textId="77777777" w:rsidR="00897E8B" w:rsidRDefault="0089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BBA8" w14:textId="77777777" w:rsidR="00FB0864" w:rsidRDefault="00FB086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7C10A764" w14:textId="77777777" w:rsidTr="2A5631CF">
      <w:trPr>
        <w:trHeight w:val="1880"/>
      </w:trPr>
      <w:tc>
        <w:tcPr>
          <w:tcW w:w="12201" w:type="dxa"/>
          <w:tcBorders>
            <w:top w:val="nil"/>
            <w:left w:val="nil"/>
            <w:bottom w:val="nil"/>
            <w:right w:val="nil"/>
          </w:tcBorders>
        </w:tcPr>
        <w:p w14:paraId="3B671154" w14:textId="77777777" w:rsidR="00115663" w:rsidRDefault="00115663" w:rsidP="00115663">
          <w:pPr>
            <w:pStyle w:val="stBilgi"/>
          </w:pPr>
          <w:r>
            <w:rPr>
              <w:noProof/>
              <w:lang w:eastAsia="zh-CN"/>
            </w:rPr>
            <w:drawing>
              <wp:inline distT="0" distB="0" distL="0" distR="0" wp14:anchorId="01F40683" wp14:editId="09AA93C7">
                <wp:extent cx="7632633" cy="872633"/>
                <wp:effectExtent l="0" t="0" r="635" b="381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esil-dalgalar-16.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2633" cy="872633"/>
                        </a:xfrm>
                        <a:prstGeom prst="rect">
                          <a:avLst/>
                        </a:prstGeom>
                        <a:ln>
                          <a:noFill/>
                        </a:ln>
                        <a:extLst>
                          <a:ext uri="{53640926-AAD7-44D8-BBD7-CCE9431645EC}">
                            <a14:shadowObscured xmlns:a14="http://schemas.microsoft.com/office/drawing/2010/main"/>
                          </a:ext>
                        </a:extLst>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F855" w14:textId="77777777" w:rsidR="00E71405" w:rsidRDefault="007E3A99">
    <w:r>
      <w:rPr>
        <w:lang w:bidi="tr-TR"/>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85"/>
    <w:rsid w:val="00050B3E"/>
    <w:rsid w:val="00066E19"/>
    <w:rsid w:val="000B4BF8"/>
    <w:rsid w:val="000C3848"/>
    <w:rsid w:val="000F2898"/>
    <w:rsid w:val="00115663"/>
    <w:rsid w:val="001F1727"/>
    <w:rsid w:val="00213EAB"/>
    <w:rsid w:val="00215D1D"/>
    <w:rsid w:val="002812CE"/>
    <w:rsid w:val="00284AAA"/>
    <w:rsid w:val="00286F74"/>
    <w:rsid w:val="002A4201"/>
    <w:rsid w:val="002D7F70"/>
    <w:rsid w:val="002E1A5A"/>
    <w:rsid w:val="00312210"/>
    <w:rsid w:val="00361777"/>
    <w:rsid w:val="00361FC2"/>
    <w:rsid w:val="003F7C02"/>
    <w:rsid w:val="00462B54"/>
    <w:rsid w:val="004C595E"/>
    <w:rsid w:val="00535A9A"/>
    <w:rsid w:val="00575901"/>
    <w:rsid w:val="00576382"/>
    <w:rsid w:val="00595B08"/>
    <w:rsid w:val="005C6485"/>
    <w:rsid w:val="00620729"/>
    <w:rsid w:val="00673242"/>
    <w:rsid w:val="00680BB5"/>
    <w:rsid w:val="00691768"/>
    <w:rsid w:val="006A324A"/>
    <w:rsid w:val="006E4338"/>
    <w:rsid w:val="006F0367"/>
    <w:rsid w:val="007C4A68"/>
    <w:rsid w:val="007D4C93"/>
    <w:rsid w:val="007D4F9E"/>
    <w:rsid w:val="007E0D6E"/>
    <w:rsid w:val="007E3A99"/>
    <w:rsid w:val="008658F6"/>
    <w:rsid w:val="00883D7C"/>
    <w:rsid w:val="008945AC"/>
    <w:rsid w:val="00897E8B"/>
    <w:rsid w:val="008C74ED"/>
    <w:rsid w:val="0092014C"/>
    <w:rsid w:val="009439AA"/>
    <w:rsid w:val="009523C5"/>
    <w:rsid w:val="00970EAF"/>
    <w:rsid w:val="00A24FA3"/>
    <w:rsid w:val="00A45E55"/>
    <w:rsid w:val="00B14D41"/>
    <w:rsid w:val="00B22EC4"/>
    <w:rsid w:val="00B3214B"/>
    <w:rsid w:val="00B54EAE"/>
    <w:rsid w:val="00B552FE"/>
    <w:rsid w:val="00BA5A05"/>
    <w:rsid w:val="00BC06ED"/>
    <w:rsid w:val="00C74F9D"/>
    <w:rsid w:val="00CB6E80"/>
    <w:rsid w:val="00CE2CAB"/>
    <w:rsid w:val="00D1003F"/>
    <w:rsid w:val="00D904CD"/>
    <w:rsid w:val="00DE3E34"/>
    <w:rsid w:val="00E041D6"/>
    <w:rsid w:val="00E32718"/>
    <w:rsid w:val="00E360D0"/>
    <w:rsid w:val="00E71405"/>
    <w:rsid w:val="00E802A8"/>
    <w:rsid w:val="00E96093"/>
    <w:rsid w:val="00EA259B"/>
    <w:rsid w:val="00F83039"/>
    <w:rsid w:val="00F87567"/>
    <w:rsid w:val="00FA5F92"/>
    <w:rsid w:val="00FB0864"/>
    <w:rsid w:val="2A5631CF"/>
    <w:rsid w:val="53D2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72E9A"/>
  <w15:chartTrackingRefBased/>
  <w15:docId w15:val="{DFB174AD-C7D1-BA47-AF00-08E015D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AA"/>
    <w:rPr>
      <w:color w:val="000000" w:themeColor="text1"/>
      <w:sz w:val="24"/>
    </w:rPr>
  </w:style>
  <w:style w:type="paragraph" w:styleId="Balk1">
    <w:name w:val="heading 1"/>
    <w:basedOn w:val="Normal"/>
    <w:next w:val="letiimBilgileri"/>
    <w:link w:val="Balk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Balk2">
    <w:name w:val="heading 2"/>
    <w:basedOn w:val="Normal"/>
    <w:next w:val="Normal"/>
    <w:link w:val="Balk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Balk3">
    <w:name w:val="heading 3"/>
    <w:basedOn w:val="Normal"/>
    <w:next w:val="Normal"/>
    <w:link w:val="Balk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Balk4">
    <w:name w:val="heading 4"/>
    <w:basedOn w:val="Normal"/>
    <w:next w:val="Normal"/>
    <w:link w:val="Balk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Balk5">
    <w:name w:val="heading 5"/>
    <w:basedOn w:val="Normal"/>
    <w:next w:val="Normal"/>
    <w:link w:val="Balk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Balk6">
    <w:name w:val="heading 6"/>
    <w:basedOn w:val="Normal"/>
    <w:next w:val="Normal"/>
    <w:link w:val="Balk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Balk7">
    <w:name w:val="heading 7"/>
    <w:basedOn w:val="Normal"/>
    <w:next w:val="Normal"/>
    <w:link w:val="Balk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Balk8">
    <w:name w:val="heading 8"/>
    <w:basedOn w:val="Normal"/>
    <w:next w:val="Normal"/>
    <w:link w:val="Balk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E1A5A"/>
    <w:rPr>
      <w:rFonts w:asciiTheme="majorHAnsi" w:eastAsiaTheme="majorEastAsia" w:hAnsiTheme="majorHAnsi" w:cstheme="majorBidi"/>
      <w:bCs/>
      <w:color w:val="3D5157" w:themeColor="accent2"/>
      <w:sz w:val="36"/>
      <w:szCs w:val="28"/>
    </w:rPr>
  </w:style>
  <w:style w:type="paragraph" w:styleId="TBal">
    <w:name w:val="TOC Heading"/>
    <w:basedOn w:val="Balk1"/>
    <w:next w:val="Normal"/>
    <w:uiPriority w:val="39"/>
    <w:semiHidden/>
    <w:unhideWhenUsed/>
    <w:qFormat/>
    <w:pPr>
      <w:outlineLvl w:val="9"/>
    </w:pPr>
    <w:rPr>
      <w:bCs w:val="0"/>
      <w:szCs w:val="32"/>
    </w:r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spacing w:after="40"/>
      <w:jc w:val="center"/>
    </w:pPr>
  </w:style>
  <w:style w:type="character" w:customStyle="1" w:styleId="AltBilgiChar">
    <w:name w:val="Alt Bilgi Char"/>
    <w:basedOn w:val="VarsaylanParagrafYazTipi"/>
    <w:link w:val="AltBilgi"/>
    <w:uiPriority w:val="99"/>
  </w:style>
  <w:style w:type="paragraph" w:customStyle="1" w:styleId="letiimBilgileri">
    <w:name w:val="İletişim Bilgileri"/>
    <w:basedOn w:val="Normal"/>
    <w:uiPriority w:val="2"/>
    <w:qFormat/>
    <w:rsid w:val="000F2898"/>
    <w:pPr>
      <w:spacing w:after="0"/>
      <w:contextualSpacing/>
    </w:pPr>
    <w:rPr>
      <w:rFonts w:eastAsiaTheme="minorEastAsia"/>
      <w:color w:val="607E4C" w:themeColor="accent4"/>
    </w:rPr>
  </w:style>
  <w:style w:type="paragraph" w:styleId="Kapan">
    <w:name w:val="Closing"/>
    <w:basedOn w:val="Normal"/>
    <w:next w:val="mza"/>
    <w:link w:val="KapanChar"/>
    <w:uiPriority w:val="5"/>
    <w:qFormat/>
    <w:rsid w:val="002E1A5A"/>
    <w:pPr>
      <w:spacing w:before="720"/>
    </w:pPr>
    <w:rPr>
      <w:rFonts w:eastAsiaTheme="minorEastAsia"/>
      <w:bCs/>
      <w:szCs w:val="18"/>
    </w:rPr>
  </w:style>
  <w:style w:type="character" w:customStyle="1" w:styleId="KapanChar">
    <w:name w:val="Kapanış Char"/>
    <w:basedOn w:val="VarsaylanParagrafYazTipi"/>
    <w:link w:val="Kapan"/>
    <w:uiPriority w:val="5"/>
    <w:rsid w:val="002E1A5A"/>
    <w:rPr>
      <w:rFonts w:eastAsiaTheme="minorEastAsia"/>
      <w:bCs/>
      <w:color w:val="000000" w:themeColor="text1"/>
      <w:sz w:val="24"/>
      <w:szCs w:val="18"/>
    </w:rPr>
  </w:style>
  <w:style w:type="paragraph" w:styleId="mza">
    <w:name w:val="Signature"/>
    <w:basedOn w:val="Normal"/>
    <w:next w:val="Normal"/>
    <w:link w:val="mzaChar"/>
    <w:uiPriority w:val="6"/>
    <w:qFormat/>
    <w:pPr>
      <w:spacing w:before="720" w:after="280"/>
      <w:contextualSpacing/>
    </w:pPr>
    <w:rPr>
      <w:rFonts w:eastAsiaTheme="minorEastAsia"/>
      <w:bCs/>
      <w:szCs w:val="18"/>
    </w:rPr>
  </w:style>
  <w:style w:type="character" w:customStyle="1" w:styleId="mzaChar">
    <w:name w:val="İmza Char"/>
    <w:basedOn w:val="VarsaylanParagrafYazTipi"/>
    <w:link w:val="mza"/>
    <w:uiPriority w:val="6"/>
    <w:rPr>
      <w:rFonts w:eastAsiaTheme="minorEastAsia"/>
      <w:bCs/>
      <w:szCs w:val="18"/>
    </w:rPr>
  </w:style>
  <w:style w:type="paragraph" w:styleId="Selamlama">
    <w:name w:val="Salutation"/>
    <w:basedOn w:val="Normal"/>
    <w:next w:val="Normal"/>
    <w:link w:val="SelamlamaChar"/>
    <w:uiPriority w:val="4"/>
    <w:qFormat/>
    <w:rsid w:val="00E32718"/>
    <w:pPr>
      <w:spacing w:before="440" w:after="180"/>
    </w:pPr>
    <w:rPr>
      <w:rFonts w:eastAsiaTheme="minorEastAsia"/>
      <w:bCs/>
      <w:szCs w:val="18"/>
    </w:rPr>
  </w:style>
  <w:style w:type="character" w:customStyle="1" w:styleId="SelamlamaChar">
    <w:name w:val="Selamlama Char"/>
    <w:basedOn w:val="VarsaylanParagrafYazTipi"/>
    <w:link w:val="Selamlama"/>
    <w:uiPriority w:val="4"/>
    <w:rsid w:val="00E32718"/>
    <w:rPr>
      <w:rFonts w:eastAsiaTheme="minorEastAsia"/>
      <w:bCs/>
      <w:color w:val="000000" w:themeColor="text1"/>
      <w:sz w:val="24"/>
      <w:szCs w:val="18"/>
    </w:rPr>
  </w:style>
  <w:style w:type="character" w:styleId="Gl">
    <w:name w:val="Strong"/>
    <w:basedOn w:val="VarsaylanParagrafYazTipi"/>
    <w:uiPriority w:val="22"/>
    <w:qFormat/>
    <w:rPr>
      <w:b/>
      <w:bCs/>
      <w:color w:val="3D5157" w:themeColor="accent2"/>
    </w:rPr>
  </w:style>
  <w:style w:type="character" w:styleId="YerTutucuMetni">
    <w:name w:val="Placeholder Text"/>
    <w:basedOn w:val="VarsaylanParagrafYazTipi"/>
    <w:uiPriority w:val="99"/>
    <w:semiHidden/>
    <w:rPr>
      <w:color w:val="808080"/>
    </w:rPr>
  </w:style>
  <w:style w:type="character" w:customStyle="1" w:styleId="Balk2Char">
    <w:name w:val="Başlık 2 Char"/>
    <w:basedOn w:val="VarsaylanParagrafYazTipi"/>
    <w:link w:val="Balk2"/>
    <w:uiPriority w:val="1"/>
    <w:semiHidden/>
    <w:rsid w:val="00FA5F92"/>
    <w:rPr>
      <w:rFonts w:asciiTheme="majorHAnsi" w:eastAsiaTheme="majorEastAsia" w:hAnsiTheme="majorHAnsi" w:cstheme="majorBidi"/>
      <w:color w:val="4F6228" w:themeColor="accent6" w:themeShade="80"/>
      <w:sz w:val="26"/>
      <w:szCs w:val="26"/>
    </w:rPr>
  </w:style>
  <w:style w:type="table" w:styleId="TabloKlavuzu">
    <w:name w:val="Table Grid"/>
    <w:basedOn w:val="NormalTablo"/>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5Char">
    <w:name w:val="Başlık 5 Char"/>
    <w:basedOn w:val="VarsaylanParagrafYazTipi"/>
    <w:link w:val="Balk5"/>
    <w:uiPriority w:val="1"/>
    <w:semiHidden/>
    <w:rsid w:val="00FA5F92"/>
    <w:rPr>
      <w:rFonts w:asciiTheme="majorHAnsi" w:eastAsiaTheme="majorEastAsia" w:hAnsiTheme="majorHAnsi" w:cstheme="majorBidi"/>
      <w:color w:val="4F6228" w:themeColor="accent6" w:themeShade="80"/>
      <w:sz w:val="24"/>
    </w:rPr>
  </w:style>
  <w:style w:type="character" w:customStyle="1" w:styleId="Balk6Char">
    <w:name w:val="Başlık 6 Char"/>
    <w:basedOn w:val="VarsaylanParagrafYazTipi"/>
    <w:link w:val="Balk6"/>
    <w:uiPriority w:val="1"/>
    <w:semiHidden/>
    <w:rsid w:val="00FA5F92"/>
    <w:rPr>
      <w:rFonts w:asciiTheme="majorHAnsi" w:eastAsiaTheme="majorEastAsia" w:hAnsiTheme="majorHAnsi" w:cstheme="majorBidi"/>
      <w:color w:val="4F6228" w:themeColor="accent6" w:themeShade="80"/>
      <w:sz w:val="24"/>
    </w:rPr>
  </w:style>
  <w:style w:type="character" w:customStyle="1" w:styleId="Balk3Char">
    <w:name w:val="Başlık 3 Char"/>
    <w:basedOn w:val="VarsaylanParagrafYazTipi"/>
    <w:link w:val="Balk3"/>
    <w:uiPriority w:val="1"/>
    <w:semiHidden/>
    <w:rsid w:val="00FA5F92"/>
    <w:rPr>
      <w:rFonts w:asciiTheme="majorHAnsi" w:eastAsiaTheme="majorEastAsia" w:hAnsiTheme="majorHAnsi" w:cstheme="majorBidi"/>
      <w:color w:val="4F6228" w:themeColor="accent6" w:themeShade="80"/>
      <w:sz w:val="24"/>
      <w:szCs w:val="24"/>
    </w:rPr>
  </w:style>
  <w:style w:type="character" w:styleId="GlVurgulama">
    <w:name w:val="Intense Emphasis"/>
    <w:basedOn w:val="VarsaylanParagrafYazTipi"/>
    <w:uiPriority w:val="21"/>
    <w:semiHidden/>
    <w:unhideWhenUsed/>
    <w:qFormat/>
    <w:rsid w:val="000F2898"/>
    <w:rPr>
      <w:i/>
      <w:iCs/>
      <w:color w:val="4F6228" w:themeColor="accent6" w:themeShade="80"/>
    </w:rPr>
  </w:style>
  <w:style w:type="paragraph" w:styleId="GlAlnt">
    <w:name w:val="Intense Quote"/>
    <w:basedOn w:val="Normal"/>
    <w:next w:val="Normal"/>
    <w:link w:val="GlAlnt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GlAlntChar">
    <w:name w:val="Güçlü Alıntı Char"/>
    <w:basedOn w:val="VarsaylanParagrafYazTipi"/>
    <w:link w:val="GlAlnt"/>
    <w:uiPriority w:val="30"/>
    <w:semiHidden/>
    <w:rsid w:val="000F2898"/>
    <w:rPr>
      <w:i/>
      <w:iCs/>
      <w:color w:val="3C5020" w:themeColor="accent5" w:themeShade="80"/>
      <w:sz w:val="24"/>
    </w:rPr>
  </w:style>
  <w:style w:type="character" w:styleId="GlBavuru">
    <w:name w:val="Intense Reference"/>
    <w:basedOn w:val="VarsaylanParagrafYazTipi"/>
    <w:uiPriority w:val="32"/>
    <w:semiHidden/>
    <w:unhideWhenUsed/>
    <w:qFormat/>
    <w:rsid w:val="000F2898"/>
    <w:rPr>
      <w:b/>
      <w:bCs/>
      <w:caps w:val="0"/>
      <w:smallCaps/>
      <w:color w:val="3C5020" w:themeColor="accent5" w:themeShade="80"/>
      <w:spacing w:val="5"/>
    </w:rPr>
  </w:style>
  <w:style w:type="paragraph" w:styleId="bekMetni">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zlenenKpr">
    <w:name w:val="FollowedHyperlink"/>
    <w:basedOn w:val="VarsaylanParagrafYazTipi"/>
    <w:uiPriority w:val="99"/>
    <w:semiHidden/>
    <w:unhideWhenUsed/>
    <w:rsid w:val="000F2898"/>
    <w:rPr>
      <w:color w:val="4F6228" w:themeColor="accent6" w:themeShade="80"/>
      <w:u w:val="single"/>
    </w:rPr>
  </w:style>
  <w:style w:type="character" w:styleId="Kpr">
    <w:name w:val="Hyperlink"/>
    <w:basedOn w:val="VarsaylanParagrafYazTipi"/>
    <w:uiPriority w:val="99"/>
    <w:semiHidden/>
    <w:unhideWhenUsed/>
    <w:rsid w:val="009439AA"/>
    <w:rPr>
      <w:color w:val="3D5157" w:themeColor="accent2"/>
      <w:u w:val="single"/>
    </w:rPr>
  </w:style>
  <w:style w:type="character" w:styleId="KitapBal">
    <w:name w:val="Book Title"/>
    <w:basedOn w:val="VarsaylanParagrafYazTipi"/>
    <w:uiPriority w:val="33"/>
    <w:semiHidden/>
    <w:unhideWhenUsed/>
    <w:qFormat/>
    <w:rsid w:val="00D904CD"/>
    <w:rPr>
      <w:b/>
      <w:bCs/>
      <w:i/>
      <w:iCs/>
      <w:spacing w:val="5"/>
    </w:rPr>
  </w:style>
  <w:style w:type="paragraph" w:styleId="ResimYazs">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Vurgu">
    <w:name w:val="Emphasis"/>
    <w:basedOn w:val="VarsaylanParagrafYazTipi"/>
    <w:uiPriority w:val="20"/>
    <w:semiHidden/>
    <w:unhideWhenUsed/>
    <w:qFormat/>
    <w:rsid w:val="00D904CD"/>
    <w:rPr>
      <w:i/>
      <w:iCs/>
    </w:rPr>
  </w:style>
  <w:style w:type="character" w:customStyle="1" w:styleId="Balk7Char">
    <w:name w:val="Başlık 7 Char"/>
    <w:basedOn w:val="VarsaylanParagrafYazTipi"/>
    <w:link w:val="Balk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8Char">
    <w:name w:val="Başlık 8 Char"/>
    <w:basedOn w:val="VarsaylanParagrafYazTipi"/>
    <w:link w:val="Balk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eParagraf">
    <w:name w:val="List Paragraph"/>
    <w:basedOn w:val="Normal"/>
    <w:uiPriority w:val="34"/>
    <w:semiHidden/>
    <w:unhideWhenUsed/>
    <w:qFormat/>
    <w:rsid w:val="00D904CD"/>
    <w:pPr>
      <w:ind w:left="720"/>
      <w:contextualSpacing/>
    </w:pPr>
  </w:style>
  <w:style w:type="paragraph" w:styleId="AralkYok">
    <w:name w:val="No Spacing"/>
    <w:uiPriority w:val="1"/>
    <w:semiHidden/>
    <w:unhideWhenUsed/>
    <w:qFormat/>
    <w:rsid w:val="00D904CD"/>
    <w:pPr>
      <w:spacing w:after="0" w:line="240" w:lineRule="auto"/>
    </w:pPr>
    <w:rPr>
      <w:color w:val="000000" w:themeColor="text1"/>
      <w:sz w:val="24"/>
    </w:rPr>
  </w:style>
  <w:style w:type="paragraph" w:styleId="Alnt">
    <w:name w:val="Quote"/>
    <w:basedOn w:val="Normal"/>
    <w:next w:val="Normal"/>
    <w:link w:val="AlntChar"/>
    <w:uiPriority w:val="29"/>
    <w:semiHidden/>
    <w:unhideWhenUsed/>
    <w:qFormat/>
    <w:rsid w:val="00D904CD"/>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D904CD"/>
    <w:rPr>
      <w:i/>
      <w:iCs/>
      <w:color w:val="404040" w:themeColor="text1" w:themeTint="BF"/>
      <w:sz w:val="24"/>
    </w:rPr>
  </w:style>
  <w:style w:type="paragraph" w:styleId="Altyaz">
    <w:name w:val="Subtitle"/>
    <w:basedOn w:val="Normal"/>
    <w:next w:val="Normal"/>
    <w:link w:val="Altyaz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semiHidden/>
    <w:rsid w:val="00D904CD"/>
    <w:rPr>
      <w:rFonts w:eastAsiaTheme="minorEastAsia"/>
      <w:color w:val="5A5A5A" w:themeColor="text1" w:themeTint="A5"/>
      <w:spacing w:val="15"/>
      <w:sz w:val="22"/>
      <w:szCs w:val="22"/>
    </w:rPr>
  </w:style>
  <w:style w:type="character" w:styleId="HafifVurgulama">
    <w:name w:val="Subtle Emphasis"/>
    <w:basedOn w:val="VarsaylanParagrafYazTipi"/>
    <w:uiPriority w:val="19"/>
    <w:semiHidden/>
    <w:unhideWhenUsed/>
    <w:qFormat/>
    <w:rsid w:val="00D904CD"/>
    <w:rPr>
      <w:i/>
      <w:iCs/>
      <w:color w:val="404040" w:themeColor="text1" w:themeTint="BF"/>
    </w:rPr>
  </w:style>
  <w:style w:type="character" w:styleId="HafifBavuru">
    <w:name w:val="Subtle Reference"/>
    <w:basedOn w:val="VarsaylanParagrafYazTipi"/>
    <w:uiPriority w:val="31"/>
    <w:semiHidden/>
    <w:unhideWhenUsed/>
    <w:qFormat/>
    <w:rsid w:val="00D904CD"/>
    <w:rPr>
      <w:smallCaps/>
      <w:color w:val="5A5A5A" w:themeColor="text1" w:themeTint="A5"/>
    </w:rPr>
  </w:style>
  <w:style w:type="paragraph" w:styleId="KonuBal">
    <w:name w:val="Title"/>
    <w:basedOn w:val="Normal"/>
    <w:next w:val="Normal"/>
    <w:link w:val="KonuBal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semiHidden/>
    <w:rsid w:val="00D904CD"/>
    <w:rPr>
      <w:rFonts w:asciiTheme="majorHAnsi" w:eastAsiaTheme="majorEastAsia" w:hAnsiTheme="majorHAnsi" w:cstheme="majorBidi"/>
      <w:spacing w:val="-10"/>
      <w:kern w:val="28"/>
      <w:sz w:val="56"/>
      <w:szCs w:val="56"/>
    </w:rPr>
  </w:style>
  <w:style w:type="paragraph" w:customStyle="1" w:styleId="paragraph">
    <w:name w:val="paragraph"/>
    <w:basedOn w:val="Normal"/>
    <w:rsid w:val="00595B08"/>
    <w:pPr>
      <w:spacing w:before="100" w:beforeAutospacing="1" w:after="100" w:afterAutospacing="1" w:line="240" w:lineRule="auto"/>
    </w:pPr>
    <w:rPr>
      <w:rFonts w:ascii="Times New Roman" w:eastAsia="Times New Roman" w:hAnsi="Times New Roman" w:cs="Times New Roman"/>
      <w:color w:val="auto"/>
      <w:szCs w:val="24"/>
      <w:lang w:eastAsia="tr-TR"/>
    </w:rPr>
  </w:style>
  <w:style w:type="character" w:customStyle="1" w:styleId="normaltextrun">
    <w:name w:val="normaltextrun"/>
    <w:basedOn w:val="VarsaylanParagrafYazTipi"/>
    <w:rsid w:val="00595B08"/>
  </w:style>
  <w:style w:type="paragraph" w:styleId="BalonMetni">
    <w:name w:val="Balloon Text"/>
    <w:basedOn w:val="Normal"/>
    <w:link w:val="BalonMetniChar"/>
    <w:uiPriority w:val="99"/>
    <w:semiHidden/>
    <w:unhideWhenUsed/>
    <w:rsid w:val="00D1003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1003F"/>
    <w:rPr>
      <w:rFonts w:ascii="Times New Roman" w:hAnsi="Times New Roman" w:cs="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98020">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FFA1BA4E-CE0D-495F-8A46-61F4D0172D70}">
  <ds:schemaRefs>
    <ds:schemaRef ds:uri="http://schemas.microsoft.com/sharepoint/v3/contenttype/forms"/>
  </ds:schemaRefs>
</ds:datastoreItem>
</file>

<file path=customXml/itemProps2.xml><?xml version="1.0" encoding="utf-8"?>
<ds:datastoreItem xmlns:ds="http://schemas.openxmlformats.org/officeDocument/2006/customXml" ds:itemID="{6C216A38-3F49-41DD-BED2-DDFFB3EB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401B8-9FE6-4ADD-913B-A1B6732972A1}">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Dilek Ozcan</cp:lastModifiedBy>
  <cp:revision>4</cp:revision>
  <dcterms:created xsi:type="dcterms:W3CDTF">2020-12-16T13:50:00Z</dcterms:created>
  <dcterms:modified xsi:type="dcterms:W3CDTF">2020-12-16T14:00:00Z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