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7FCBF293" w:rsidR="00D322B8" w:rsidRPr="00D1624B" w:rsidRDefault="00D322B8" w:rsidP="02BD7A2E">
      <w:pPr>
        <w:rPr>
          <w:rFonts w:ascii="Tahoma" w:eastAsia="Tahoma" w:hAnsi="Tahoma" w:cs="Tahoma"/>
          <w:b/>
          <w:bCs/>
          <w:u w:val="single"/>
        </w:rPr>
      </w:pPr>
      <w:r w:rsidRPr="00D1624B">
        <w:rPr>
          <w:rFonts w:ascii="Tahoma" w:eastAsia="Tahoma" w:hAnsi="Tahoma" w:cs="Tahoma"/>
          <w:b/>
          <w:bCs/>
          <w:u w:val="single"/>
        </w:rPr>
        <w:t>BASIN BÜLTENİ</w:t>
      </w:r>
      <w:r w:rsidRPr="00D1624B">
        <w:rPr>
          <w:u w:val="single"/>
        </w:rPr>
        <w:tab/>
      </w:r>
      <w:r w:rsidRPr="00D1624B">
        <w:rPr>
          <w:u w:val="single"/>
        </w:rPr>
        <w:tab/>
      </w:r>
      <w:r w:rsidRPr="00D1624B">
        <w:rPr>
          <w:u w:val="single"/>
        </w:rPr>
        <w:tab/>
      </w:r>
      <w:r w:rsidRPr="00D1624B">
        <w:rPr>
          <w:u w:val="single"/>
        </w:rPr>
        <w:tab/>
      </w:r>
      <w:r w:rsidRPr="00D1624B">
        <w:rPr>
          <w:u w:val="single"/>
        </w:rPr>
        <w:tab/>
      </w:r>
      <w:r w:rsidRPr="00D1624B">
        <w:rPr>
          <w:rFonts w:ascii="Tahoma" w:eastAsia="Tahoma" w:hAnsi="Tahoma" w:cs="Tahoma"/>
          <w:b/>
          <w:bCs/>
          <w:u w:val="single"/>
        </w:rPr>
        <w:t xml:space="preserve">                                            </w:t>
      </w:r>
      <w:r w:rsidR="7AE8D7EE" w:rsidRPr="00D1624B">
        <w:rPr>
          <w:rFonts w:ascii="Tahoma" w:eastAsia="Tahoma" w:hAnsi="Tahoma" w:cs="Tahoma"/>
          <w:b/>
          <w:bCs/>
          <w:u w:val="single"/>
        </w:rPr>
        <w:t>06</w:t>
      </w:r>
      <w:r w:rsidRPr="00D1624B">
        <w:rPr>
          <w:rFonts w:ascii="Tahoma" w:eastAsia="Tahoma" w:hAnsi="Tahoma" w:cs="Tahoma"/>
          <w:b/>
          <w:bCs/>
          <w:u w:val="single"/>
        </w:rPr>
        <w:t>.</w:t>
      </w:r>
      <w:r w:rsidR="00E57B5B" w:rsidRPr="00D1624B">
        <w:rPr>
          <w:rFonts w:ascii="Tahoma" w:eastAsia="Tahoma" w:hAnsi="Tahoma" w:cs="Tahoma"/>
          <w:b/>
          <w:bCs/>
          <w:u w:val="single"/>
        </w:rPr>
        <w:t>0</w:t>
      </w:r>
      <w:r w:rsidR="00EE39F8">
        <w:rPr>
          <w:rFonts w:ascii="Tahoma" w:eastAsia="Tahoma" w:hAnsi="Tahoma" w:cs="Tahoma"/>
          <w:b/>
          <w:bCs/>
          <w:u w:val="single"/>
        </w:rPr>
        <w:t>5</w:t>
      </w:r>
      <w:r w:rsidRPr="00D1624B">
        <w:rPr>
          <w:rFonts w:ascii="Tahoma" w:eastAsia="Tahoma" w:hAnsi="Tahoma" w:cs="Tahoma"/>
          <w:b/>
          <w:bCs/>
          <w:u w:val="single"/>
        </w:rPr>
        <w:t>.202</w:t>
      </w:r>
      <w:r w:rsidR="00E57B5B" w:rsidRPr="00D1624B">
        <w:rPr>
          <w:rFonts w:ascii="Tahoma" w:eastAsia="Tahoma" w:hAnsi="Tahoma" w:cs="Tahoma"/>
          <w:b/>
          <w:bCs/>
          <w:u w:val="single"/>
        </w:rPr>
        <w:t>3</w:t>
      </w:r>
    </w:p>
    <w:p w14:paraId="329E7FAC" w14:textId="0C5171DD" w:rsidR="00E10E8D" w:rsidRDefault="00E10E8D" w:rsidP="680C9087">
      <w:pPr>
        <w:spacing w:after="0" w:line="300" w:lineRule="auto"/>
        <w:contextualSpacing/>
        <w:jc w:val="center"/>
        <w:rPr>
          <w:rFonts w:ascii="Arial" w:hAnsi="Arial" w:cs="Arial"/>
          <w:b/>
          <w:bCs/>
          <w:sz w:val="40"/>
          <w:szCs w:val="40"/>
        </w:rPr>
      </w:pPr>
      <w:r w:rsidRPr="680C9087">
        <w:rPr>
          <w:rFonts w:ascii="Arial" w:hAnsi="Arial" w:cs="Arial"/>
          <w:b/>
          <w:bCs/>
          <w:sz w:val="40"/>
          <w:szCs w:val="40"/>
        </w:rPr>
        <w:t xml:space="preserve">KPMG, </w:t>
      </w:r>
      <w:r w:rsidR="005547A1" w:rsidRPr="680C9087">
        <w:rPr>
          <w:rFonts w:ascii="Arial" w:hAnsi="Arial" w:cs="Arial"/>
          <w:b/>
          <w:bCs/>
          <w:sz w:val="40"/>
          <w:szCs w:val="40"/>
        </w:rPr>
        <w:t>küresel ekonomiye</w:t>
      </w:r>
      <w:r w:rsidRPr="680C9087">
        <w:rPr>
          <w:rFonts w:ascii="Arial" w:hAnsi="Arial" w:cs="Arial"/>
          <w:b/>
          <w:bCs/>
          <w:sz w:val="40"/>
          <w:szCs w:val="40"/>
        </w:rPr>
        <w:t xml:space="preserve"> dair 2023 ve 2024 yılı tahminlerini açıkladı</w:t>
      </w:r>
    </w:p>
    <w:p w14:paraId="0704C3D2" w14:textId="13A8EDEE" w:rsidR="00D322B8" w:rsidRPr="00544781" w:rsidRDefault="00D322B8" w:rsidP="00D322B8">
      <w:pPr>
        <w:spacing w:after="0" w:line="300" w:lineRule="auto"/>
        <w:contextualSpacing/>
        <w:jc w:val="both"/>
        <w:rPr>
          <w:rFonts w:ascii="Arial" w:hAnsi="Arial" w:cs="Arial"/>
          <w:highlight w:val="yellow"/>
        </w:rPr>
      </w:pPr>
    </w:p>
    <w:p w14:paraId="0F637FBD" w14:textId="159D095C" w:rsidR="00E10E8D" w:rsidRDefault="00E10E8D" w:rsidP="00E10E8D">
      <w:pPr>
        <w:spacing w:after="0" w:line="300" w:lineRule="auto"/>
        <w:contextualSpacing/>
        <w:jc w:val="center"/>
        <w:rPr>
          <w:rFonts w:ascii="Arial" w:hAnsi="Arial" w:cs="Arial"/>
          <w:b/>
          <w:bCs/>
          <w:sz w:val="24"/>
          <w:szCs w:val="24"/>
        </w:rPr>
      </w:pPr>
      <w:r w:rsidRPr="00E10E8D">
        <w:rPr>
          <w:rFonts w:ascii="Arial" w:hAnsi="Arial" w:cs="Arial"/>
          <w:b/>
          <w:bCs/>
          <w:sz w:val="24"/>
          <w:szCs w:val="24"/>
        </w:rPr>
        <w:t>KPMG’nin “Küresel Ekonomik Görünüm” 2023 yılı raporu yayımlandı</w:t>
      </w:r>
      <w:r>
        <w:rPr>
          <w:rFonts w:ascii="Arial" w:hAnsi="Arial" w:cs="Arial"/>
          <w:b/>
          <w:bCs/>
          <w:sz w:val="24"/>
          <w:szCs w:val="24"/>
        </w:rPr>
        <w:t>. K</w:t>
      </w:r>
      <w:r w:rsidRPr="00E10E8D">
        <w:rPr>
          <w:rFonts w:ascii="Arial" w:hAnsi="Arial" w:cs="Arial"/>
          <w:b/>
          <w:bCs/>
          <w:sz w:val="24"/>
          <w:szCs w:val="24"/>
        </w:rPr>
        <w:t>üresel ekonomik görünüm</w:t>
      </w:r>
      <w:r>
        <w:rPr>
          <w:rFonts w:ascii="Arial" w:hAnsi="Arial" w:cs="Arial"/>
          <w:b/>
          <w:bCs/>
          <w:sz w:val="24"/>
          <w:szCs w:val="24"/>
        </w:rPr>
        <w:t>ün</w:t>
      </w:r>
      <w:r w:rsidRPr="00E10E8D">
        <w:rPr>
          <w:rFonts w:ascii="Arial" w:hAnsi="Arial" w:cs="Arial"/>
          <w:b/>
          <w:bCs/>
          <w:sz w:val="24"/>
          <w:szCs w:val="24"/>
        </w:rPr>
        <w:t xml:space="preserve"> yılın başlarından itibaren olumlu </w:t>
      </w:r>
      <w:r>
        <w:rPr>
          <w:rFonts w:ascii="Arial" w:hAnsi="Arial" w:cs="Arial"/>
          <w:b/>
          <w:bCs/>
          <w:sz w:val="24"/>
          <w:szCs w:val="24"/>
        </w:rPr>
        <w:t xml:space="preserve">bir </w:t>
      </w:r>
      <w:r w:rsidRPr="00E10E8D">
        <w:rPr>
          <w:rFonts w:ascii="Arial" w:hAnsi="Arial" w:cs="Arial"/>
          <w:b/>
          <w:bCs/>
          <w:sz w:val="24"/>
          <w:szCs w:val="24"/>
        </w:rPr>
        <w:t xml:space="preserve">seyir </w:t>
      </w:r>
      <w:r>
        <w:rPr>
          <w:rFonts w:ascii="Arial" w:hAnsi="Arial" w:cs="Arial"/>
          <w:b/>
          <w:bCs/>
          <w:sz w:val="24"/>
          <w:szCs w:val="24"/>
        </w:rPr>
        <w:t xml:space="preserve">izlediğine dikkat çekilen raporda, önde gelen ekonomilere dair büyüme, enflasyon ve işsizlik tahminleri de paylaşıldı. Buna göre </w:t>
      </w:r>
      <w:r w:rsidRPr="00E10E8D">
        <w:rPr>
          <w:rFonts w:ascii="Arial" w:hAnsi="Arial" w:cs="Arial"/>
          <w:b/>
          <w:bCs/>
          <w:sz w:val="24"/>
          <w:szCs w:val="24"/>
        </w:rPr>
        <w:t>Türkiye’nin bu yıl için yüzde 2,1,</w:t>
      </w:r>
      <w:r w:rsidR="002B1F8C">
        <w:rPr>
          <w:rFonts w:ascii="Arial" w:hAnsi="Arial" w:cs="Arial"/>
          <w:b/>
          <w:bCs/>
          <w:sz w:val="24"/>
          <w:szCs w:val="24"/>
        </w:rPr>
        <w:t xml:space="preserve"> </w:t>
      </w:r>
      <w:r w:rsidRPr="00E10E8D">
        <w:rPr>
          <w:rFonts w:ascii="Arial" w:hAnsi="Arial" w:cs="Arial"/>
          <w:b/>
          <w:bCs/>
          <w:sz w:val="24"/>
          <w:szCs w:val="24"/>
        </w:rPr>
        <w:t>önümüzdeki yıl için ise yüzde 3 büyümesinin beklendiği belirtili</w:t>
      </w:r>
      <w:r w:rsidR="00955D65">
        <w:rPr>
          <w:rFonts w:ascii="Arial" w:hAnsi="Arial" w:cs="Arial"/>
          <w:b/>
          <w:bCs/>
          <w:sz w:val="24"/>
          <w:szCs w:val="24"/>
        </w:rPr>
        <w:t>yor.</w:t>
      </w:r>
    </w:p>
    <w:p w14:paraId="2B22594E" w14:textId="77777777" w:rsidR="00914A5F" w:rsidRPr="004D64F2" w:rsidRDefault="00914A5F" w:rsidP="00914A5F">
      <w:pPr>
        <w:spacing w:after="0" w:line="300" w:lineRule="auto"/>
        <w:contextualSpacing/>
        <w:jc w:val="center"/>
        <w:rPr>
          <w:rFonts w:ascii="Arial" w:hAnsi="Arial" w:cs="Arial"/>
          <w:sz w:val="24"/>
          <w:szCs w:val="24"/>
        </w:rPr>
      </w:pPr>
    </w:p>
    <w:p w14:paraId="4DCEB319" w14:textId="77777777" w:rsidR="002B1F8C" w:rsidRDefault="00641F15" w:rsidP="00CC5814">
      <w:pPr>
        <w:spacing w:after="0" w:line="300" w:lineRule="auto"/>
        <w:contextualSpacing/>
        <w:jc w:val="both"/>
        <w:rPr>
          <w:rFonts w:ascii="Arial" w:hAnsi="Arial" w:cs="Arial"/>
        </w:rPr>
      </w:pPr>
      <w:r>
        <w:rPr>
          <w:rFonts w:ascii="Arial" w:hAnsi="Arial" w:cs="Arial"/>
        </w:rPr>
        <w:t>KPMG tarafından hazırlanan “</w:t>
      </w:r>
      <w:r w:rsidR="00BB16FC">
        <w:rPr>
          <w:rFonts w:ascii="Arial" w:hAnsi="Arial" w:cs="Arial"/>
        </w:rPr>
        <w:t>Küresel Ekonomik Görünüm</w:t>
      </w:r>
      <w:r>
        <w:rPr>
          <w:rFonts w:ascii="Arial" w:hAnsi="Arial" w:cs="Arial"/>
        </w:rPr>
        <w:t>”</w:t>
      </w:r>
      <w:r w:rsidR="00E10E8D">
        <w:rPr>
          <w:rFonts w:ascii="Arial" w:hAnsi="Arial" w:cs="Arial"/>
        </w:rPr>
        <w:t xml:space="preserve"> 2023 yılı</w:t>
      </w:r>
      <w:r>
        <w:rPr>
          <w:rFonts w:ascii="Arial" w:hAnsi="Arial" w:cs="Arial"/>
        </w:rPr>
        <w:t xml:space="preserve"> raporuna göre e</w:t>
      </w:r>
      <w:r w:rsidR="00BB16FC" w:rsidRPr="00BB16FC">
        <w:rPr>
          <w:rFonts w:ascii="Arial" w:hAnsi="Arial" w:cs="Arial"/>
        </w:rPr>
        <w:t>nflasyondaki keskin düşüşler</w:t>
      </w:r>
      <w:r>
        <w:rPr>
          <w:rFonts w:ascii="Arial" w:hAnsi="Arial" w:cs="Arial"/>
        </w:rPr>
        <w:t xml:space="preserve"> nedeniyle </w:t>
      </w:r>
      <w:r w:rsidR="00BB16FC" w:rsidRPr="00BB16FC">
        <w:rPr>
          <w:rFonts w:ascii="Arial" w:hAnsi="Arial" w:cs="Arial"/>
        </w:rPr>
        <w:t>küresel ekonomi için son dönemde yaşanan zorlukların bir kısmı</w:t>
      </w:r>
      <w:r>
        <w:rPr>
          <w:rFonts w:ascii="Arial" w:hAnsi="Arial" w:cs="Arial"/>
        </w:rPr>
        <w:t xml:space="preserve"> geride kalıyor. </w:t>
      </w:r>
      <w:r w:rsidR="00293DA9" w:rsidRPr="00293DA9">
        <w:rPr>
          <w:rFonts w:ascii="Arial" w:hAnsi="Arial" w:cs="Arial"/>
        </w:rPr>
        <w:t>Merkez bankaları, kısmen finansal piyasalarda artan gerilime bir karşılık olarak sıkılaştırma döngüsünün sonuna yaklaşı</w:t>
      </w:r>
      <w:r>
        <w:rPr>
          <w:rFonts w:ascii="Arial" w:hAnsi="Arial" w:cs="Arial"/>
        </w:rPr>
        <w:t>rken t</w:t>
      </w:r>
      <w:r w:rsidR="00293DA9" w:rsidRPr="00293DA9">
        <w:rPr>
          <w:rFonts w:ascii="Arial" w:hAnsi="Arial" w:cs="Arial"/>
        </w:rPr>
        <w:t>edarik zinciri üzerindeki baskıların azalması ve iş</w:t>
      </w:r>
      <w:r>
        <w:rPr>
          <w:rFonts w:ascii="Arial" w:hAnsi="Arial" w:cs="Arial"/>
        </w:rPr>
        <w:t xml:space="preserve"> </w:t>
      </w:r>
      <w:r w:rsidR="00293DA9" w:rsidRPr="00293DA9">
        <w:rPr>
          <w:rFonts w:ascii="Arial" w:hAnsi="Arial" w:cs="Arial"/>
        </w:rPr>
        <w:t xml:space="preserve">gücü piyasalarının dirençli olması </w:t>
      </w:r>
      <w:r>
        <w:rPr>
          <w:rFonts w:ascii="Arial" w:hAnsi="Arial" w:cs="Arial"/>
        </w:rPr>
        <w:t xml:space="preserve">da </w:t>
      </w:r>
      <w:r w:rsidR="00293DA9" w:rsidRPr="00293DA9">
        <w:rPr>
          <w:rFonts w:ascii="Arial" w:hAnsi="Arial" w:cs="Arial"/>
        </w:rPr>
        <w:t xml:space="preserve">toparlanmayı </w:t>
      </w:r>
      <w:proofErr w:type="gramStart"/>
      <w:r>
        <w:rPr>
          <w:rFonts w:ascii="Arial" w:hAnsi="Arial" w:cs="Arial"/>
        </w:rPr>
        <w:t>destekliyor</w:t>
      </w:r>
      <w:proofErr w:type="gramEnd"/>
      <w:r>
        <w:rPr>
          <w:rFonts w:ascii="Arial" w:hAnsi="Arial" w:cs="Arial"/>
        </w:rPr>
        <w:t xml:space="preserve">. </w:t>
      </w:r>
    </w:p>
    <w:p w14:paraId="2483DA8E" w14:textId="52CF9E65" w:rsidR="002B1F8C" w:rsidRDefault="002B1F8C" w:rsidP="00CC5814">
      <w:pPr>
        <w:spacing w:after="0" w:line="300" w:lineRule="auto"/>
        <w:contextualSpacing/>
        <w:jc w:val="both"/>
        <w:rPr>
          <w:rFonts w:ascii="Arial" w:hAnsi="Arial" w:cs="Arial"/>
        </w:rPr>
      </w:pPr>
    </w:p>
    <w:p w14:paraId="2E1C95B8" w14:textId="7F132FB3" w:rsidR="00293DA9" w:rsidRDefault="002B1F8C" w:rsidP="00CC5814">
      <w:pPr>
        <w:spacing w:after="0" w:line="300" w:lineRule="auto"/>
        <w:contextualSpacing/>
        <w:jc w:val="both"/>
        <w:rPr>
          <w:rFonts w:ascii="Arial" w:hAnsi="Arial" w:cs="Arial"/>
        </w:rPr>
      </w:pPr>
      <w:r>
        <w:rPr>
          <w:rFonts w:ascii="Arial" w:hAnsi="Arial" w:cs="Arial"/>
        </w:rPr>
        <w:t>Tüm b</w:t>
      </w:r>
      <w:r w:rsidR="00641F15">
        <w:rPr>
          <w:rFonts w:ascii="Arial" w:hAnsi="Arial" w:cs="Arial"/>
        </w:rPr>
        <w:t xml:space="preserve">unlara karşın hala devam eden </w:t>
      </w:r>
      <w:r w:rsidR="00293DA9" w:rsidRPr="00293DA9">
        <w:rPr>
          <w:rFonts w:ascii="Arial" w:hAnsi="Arial" w:cs="Arial"/>
        </w:rPr>
        <w:t>belirsizlik</w:t>
      </w:r>
      <w:r w:rsidR="00641F15">
        <w:rPr>
          <w:rFonts w:ascii="Arial" w:hAnsi="Arial" w:cs="Arial"/>
        </w:rPr>
        <w:t>ler nedeniyle temkinli duruşun devam ettiği ortamda</w:t>
      </w:r>
      <w:r>
        <w:rPr>
          <w:rFonts w:ascii="Arial" w:hAnsi="Arial" w:cs="Arial"/>
        </w:rPr>
        <w:t>,</w:t>
      </w:r>
      <w:r w:rsidR="00641F15">
        <w:rPr>
          <w:rFonts w:ascii="Arial" w:hAnsi="Arial" w:cs="Arial"/>
        </w:rPr>
        <w:t xml:space="preserve"> </w:t>
      </w:r>
      <w:r w:rsidR="00641F15" w:rsidRPr="00641F15">
        <w:rPr>
          <w:rFonts w:ascii="Arial" w:hAnsi="Arial" w:cs="Arial"/>
        </w:rPr>
        <w:t xml:space="preserve">ABD'de </w:t>
      </w:r>
      <w:r w:rsidR="002228AF">
        <w:rPr>
          <w:rFonts w:ascii="Arial" w:hAnsi="Arial" w:cs="Arial"/>
        </w:rPr>
        <w:t>banka</w:t>
      </w:r>
      <w:r w:rsidR="00641F15" w:rsidRPr="00641F15">
        <w:rPr>
          <w:rFonts w:ascii="Arial" w:hAnsi="Arial" w:cs="Arial"/>
        </w:rPr>
        <w:t xml:space="preserve"> çöküş</w:t>
      </w:r>
      <w:r w:rsidR="002228AF">
        <w:rPr>
          <w:rFonts w:ascii="Arial" w:hAnsi="Arial" w:cs="Arial"/>
        </w:rPr>
        <w:t>l</w:t>
      </w:r>
      <w:r w:rsidR="00641F15" w:rsidRPr="00641F15">
        <w:rPr>
          <w:rFonts w:ascii="Arial" w:hAnsi="Arial" w:cs="Arial"/>
        </w:rPr>
        <w:t>e</w:t>
      </w:r>
      <w:r w:rsidR="002228AF">
        <w:rPr>
          <w:rFonts w:ascii="Arial" w:hAnsi="Arial" w:cs="Arial"/>
        </w:rPr>
        <w:t>ri ile</w:t>
      </w:r>
      <w:r w:rsidR="00641F15" w:rsidRPr="00641F15">
        <w:rPr>
          <w:rFonts w:ascii="Arial" w:hAnsi="Arial" w:cs="Arial"/>
        </w:rPr>
        <w:t xml:space="preserve"> tetiklenen bankacılık sistemindeki son gerilimler</w:t>
      </w:r>
      <w:r w:rsidR="00641F15">
        <w:rPr>
          <w:rFonts w:ascii="Arial" w:hAnsi="Arial" w:cs="Arial"/>
        </w:rPr>
        <w:t xml:space="preserve">in </w:t>
      </w:r>
      <w:r w:rsidR="00641F15" w:rsidRPr="00641F15">
        <w:rPr>
          <w:rFonts w:ascii="Arial" w:hAnsi="Arial" w:cs="Arial"/>
        </w:rPr>
        <w:t xml:space="preserve">merkez bankaları için işleri </w:t>
      </w:r>
      <w:r w:rsidR="00641F15">
        <w:rPr>
          <w:rFonts w:ascii="Arial" w:hAnsi="Arial" w:cs="Arial"/>
        </w:rPr>
        <w:t xml:space="preserve">daha da </w:t>
      </w:r>
      <w:r w:rsidR="00641F15" w:rsidRPr="00641F15">
        <w:rPr>
          <w:rFonts w:ascii="Arial" w:hAnsi="Arial" w:cs="Arial"/>
        </w:rPr>
        <w:t>zorlaştırabil</w:t>
      </w:r>
      <w:r w:rsidR="00641F15">
        <w:rPr>
          <w:rFonts w:ascii="Arial" w:hAnsi="Arial" w:cs="Arial"/>
        </w:rPr>
        <w:t>eceğine dikkat çekiliyor</w:t>
      </w:r>
      <w:r w:rsidR="00641F15" w:rsidRPr="00641F15">
        <w:rPr>
          <w:rFonts w:ascii="Arial" w:hAnsi="Arial" w:cs="Arial"/>
        </w:rPr>
        <w:t>.</w:t>
      </w:r>
      <w:r w:rsidR="00641F15">
        <w:rPr>
          <w:rFonts w:ascii="Arial" w:hAnsi="Arial" w:cs="Arial"/>
        </w:rPr>
        <w:t xml:space="preserve"> Önde gelen ekonomiler için tahminlerin de paylaşıldığı raporda Türkiye’nin bu yıl için yüzde 2,1, önümüzdeki yıl için ise yüzde 3 büyümesinin beklendiği belirtilir</w:t>
      </w:r>
      <w:r w:rsidR="00955D65">
        <w:rPr>
          <w:rFonts w:ascii="Arial" w:hAnsi="Arial" w:cs="Arial"/>
        </w:rPr>
        <w:t>k</w:t>
      </w:r>
      <w:r w:rsidR="00641F15">
        <w:rPr>
          <w:rFonts w:ascii="Arial" w:hAnsi="Arial" w:cs="Arial"/>
        </w:rPr>
        <w:t>en</w:t>
      </w:r>
      <w:r w:rsidR="00955D65">
        <w:rPr>
          <w:rFonts w:ascii="Arial" w:hAnsi="Arial" w:cs="Arial"/>
        </w:rPr>
        <w:t xml:space="preserve"> </w:t>
      </w:r>
      <w:r w:rsidR="00641F15">
        <w:rPr>
          <w:rFonts w:ascii="Arial" w:hAnsi="Arial" w:cs="Arial"/>
        </w:rPr>
        <w:t xml:space="preserve">Türkiye’de işsizlik oranının bu yıl yüzde 10,3, önümüzdeki yıl ise yüzde 10 olacağı tahmin ediliyor. </w:t>
      </w:r>
    </w:p>
    <w:p w14:paraId="128704B7" w14:textId="77777777" w:rsidR="002B1F8C" w:rsidRDefault="002B1F8C" w:rsidP="00CC5814">
      <w:pPr>
        <w:spacing w:after="0" w:line="300" w:lineRule="auto"/>
        <w:contextualSpacing/>
        <w:jc w:val="both"/>
        <w:rPr>
          <w:rFonts w:ascii="Arial" w:hAnsi="Arial" w:cs="Arial"/>
        </w:rPr>
      </w:pPr>
    </w:p>
    <w:p w14:paraId="2441C8BB" w14:textId="03BF7057" w:rsidR="00DF1998" w:rsidRDefault="002B1F8C" w:rsidP="00DF1998">
      <w:pPr>
        <w:spacing w:after="0" w:line="300" w:lineRule="auto"/>
        <w:contextualSpacing/>
        <w:jc w:val="both"/>
        <w:rPr>
          <w:rFonts w:ascii="Arial" w:hAnsi="Arial" w:cs="Arial"/>
        </w:rPr>
      </w:pPr>
      <w:r w:rsidRPr="002B1F8C">
        <w:rPr>
          <w:rFonts w:ascii="Arial" w:hAnsi="Arial" w:cs="Arial"/>
        </w:rPr>
        <w:t>Raporla ilgili değerlendirmede bulunan</w:t>
      </w:r>
      <w:r>
        <w:rPr>
          <w:rFonts w:ascii="Arial" w:hAnsi="Arial" w:cs="Arial"/>
          <w:b/>
          <w:bCs/>
        </w:rPr>
        <w:t xml:space="preserve"> </w:t>
      </w:r>
      <w:r w:rsidR="00DF1998" w:rsidRPr="00B412EA">
        <w:rPr>
          <w:rFonts w:ascii="Arial" w:hAnsi="Arial" w:cs="Arial"/>
          <w:b/>
          <w:bCs/>
        </w:rPr>
        <w:t>KPMG Türkiye Müşteri İlişkileri ve İş Geliştirme Lideri Uluç Ener</w:t>
      </w:r>
      <w:r w:rsidR="00DF1998">
        <w:rPr>
          <w:rFonts w:ascii="Arial" w:hAnsi="Arial" w:cs="Arial"/>
        </w:rPr>
        <w:t>, “</w:t>
      </w:r>
      <w:r w:rsidR="00DF1998" w:rsidRPr="00B412EA">
        <w:rPr>
          <w:rFonts w:ascii="Arial" w:hAnsi="Arial" w:cs="Arial"/>
        </w:rPr>
        <w:t>Son yıllarda dünya, pandemi</w:t>
      </w:r>
      <w:r w:rsidR="00DF1998">
        <w:rPr>
          <w:rFonts w:ascii="Arial" w:hAnsi="Arial" w:cs="Arial"/>
        </w:rPr>
        <w:t>,</w:t>
      </w:r>
      <w:r w:rsidR="00DF1998" w:rsidRPr="00B412EA">
        <w:rPr>
          <w:rFonts w:ascii="Arial" w:hAnsi="Arial" w:cs="Arial"/>
        </w:rPr>
        <w:t xml:space="preserve"> Ukrayna'nın işgali ve banka</w:t>
      </w:r>
      <w:r w:rsidR="00DF1998">
        <w:rPr>
          <w:rFonts w:ascii="Arial" w:hAnsi="Arial" w:cs="Arial"/>
        </w:rPr>
        <w:t>larda</w:t>
      </w:r>
      <w:r w:rsidR="00DF1998" w:rsidRPr="00B412EA">
        <w:rPr>
          <w:rFonts w:ascii="Arial" w:hAnsi="Arial" w:cs="Arial"/>
        </w:rPr>
        <w:t xml:space="preserve"> likidite</w:t>
      </w:r>
      <w:r w:rsidR="00DF1998">
        <w:rPr>
          <w:rFonts w:ascii="Arial" w:hAnsi="Arial" w:cs="Arial"/>
        </w:rPr>
        <w:t xml:space="preserve"> sorunları</w:t>
      </w:r>
      <w:r w:rsidR="00DF1998" w:rsidRPr="00B412EA">
        <w:rPr>
          <w:rFonts w:ascii="Arial" w:hAnsi="Arial" w:cs="Arial"/>
        </w:rPr>
        <w:t xml:space="preserve"> </w:t>
      </w:r>
      <w:r w:rsidR="00DF1998">
        <w:rPr>
          <w:rFonts w:ascii="Arial" w:hAnsi="Arial" w:cs="Arial"/>
        </w:rPr>
        <w:t xml:space="preserve">gibi </w:t>
      </w:r>
      <w:r w:rsidR="00DF1998" w:rsidRPr="00B412EA">
        <w:rPr>
          <w:rFonts w:ascii="Arial" w:hAnsi="Arial" w:cs="Arial"/>
        </w:rPr>
        <w:t xml:space="preserve">birçok zorlukla karşı karşıya kaldı. Böylesine uzun bir belirsizlik döneminin etkisi herkes tarafından hissediliyor ve bu durum KPMG'nin son Küresel Ekonomik Görünüm raporuna da yansıyor. </w:t>
      </w:r>
      <w:r w:rsidR="00DF1998">
        <w:rPr>
          <w:rFonts w:ascii="Arial" w:hAnsi="Arial" w:cs="Arial"/>
        </w:rPr>
        <w:t>Özellikle s</w:t>
      </w:r>
      <w:r w:rsidR="00DF1998" w:rsidRPr="00B412EA">
        <w:rPr>
          <w:rFonts w:ascii="Arial" w:hAnsi="Arial" w:cs="Arial"/>
        </w:rPr>
        <w:t>ürdürülebilir, uzun vadeli büyümeye nasıl geri döneceğimiz, şu anda dünyanın dört bir yanındaki yönetim kurul</w:t>
      </w:r>
      <w:r w:rsidR="00DF1998">
        <w:rPr>
          <w:rFonts w:ascii="Arial" w:hAnsi="Arial" w:cs="Arial"/>
        </w:rPr>
        <w:t>u odaların</w:t>
      </w:r>
      <w:r>
        <w:rPr>
          <w:rFonts w:ascii="Arial" w:hAnsi="Arial" w:cs="Arial"/>
        </w:rPr>
        <w:t>da</w:t>
      </w:r>
      <w:r w:rsidR="00DF1998" w:rsidRPr="00B412EA">
        <w:rPr>
          <w:rFonts w:ascii="Arial" w:hAnsi="Arial" w:cs="Arial"/>
        </w:rPr>
        <w:t xml:space="preserve"> ve siyasi </w:t>
      </w:r>
      <w:r w:rsidR="00DF1998">
        <w:rPr>
          <w:rFonts w:ascii="Arial" w:hAnsi="Arial" w:cs="Arial"/>
        </w:rPr>
        <w:t xml:space="preserve">dünyada en çok sorulan soruların başında geliyor. </w:t>
      </w:r>
      <w:r>
        <w:rPr>
          <w:rFonts w:ascii="Arial" w:hAnsi="Arial" w:cs="Arial"/>
        </w:rPr>
        <w:t>D</w:t>
      </w:r>
      <w:r w:rsidR="00DF1998" w:rsidRPr="00B412EA">
        <w:rPr>
          <w:rFonts w:ascii="Arial" w:hAnsi="Arial" w:cs="Arial"/>
        </w:rPr>
        <w:t xml:space="preserve">ünya çapındaki ekonomi uzmanlarının detaylı analizine </w:t>
      </w:r>
      <w:r w:rsidR="00DF1998">
        <w:rPr>
          <w:rFonts w:ascii="Arial" w:hAnsi="Arial" w:cs="Arial"/>
        </w:rPr>
        <w:t xml:space="preserve">dayanan tahminlerden oluşan </w:t>
      </w:r>
      <w:r>
        <w:rPr>
          <w:rFonts w:ascii="Arial" w:hAnsi="Arial" w:cs="Arial"/>
        </w:rPr>
        <w:t>bu r</w:t>
      </w:r>
      <w:r w:rsidR="00DF1998">
        <w:rPr>
          <w:rFonts w:ascii="Arial" w:hAnsi="Arial" w:cs="Arial"/>
        </w:rPr>
        <w:t>aporumuzda ortaya çıkan sonuçlar</w:t>
      </w:r>
      <w:r>
        <w:rPr>
          <w:rFonts w:ascii="Arial" w:hAnsi="Arial" w:cs="Arial"/>
        </w:rPr>
        <w:t>,</w:t>
      </w:r>
      <w:r w:rsidR="00DF1998">
        <w:rPr>
          <w:rFonts w:ascii="Arial" w:hAnsi="Arial" w:cs="Arial"/>
        </w:rPr>
        <w:t xml:space="preserve"> </w:t>
      </w:r>
      <w:r>
        <w:rPr>
          <w:rFonts w:ascii="Arial" w:hAnsi="Arial" w:cs="Arial"/>
        </w:rPr>
        <w:t xml:space="preserve">küresel ekonomide </w:t>
      </w:r>
      <w:r w:rsidR="00DF1998" w:rsidRPr="00B412EA">
        <w:rPr>
          <w:rFonts w:ascii="Arial" w:hAnsi="Arial" w:cs="Arial"/>
        </w:rPr>
        <w:t xml:space="preserve">ileride neler olabileceğine dair iyi bir gösterge </w:t>
      </w:r>
      <w:r>
        <w:rPr>
          <w:rFonts w:ascii="Arial" w:hAnsi="Arial" w:cs="Arial"/>
        </w:rPr>
        <w:t xml:space="preserve">sunuyor. Bu sonuçlar, </w:t>
      </w:r>
      <w:r w:rsidR="00DF1998" w:rsidRPr="00B412EA">
        <w:rPr>
          <w:rFonts w:ascii="Arial" w:hAnsi="Arial" w:cs="Arial"/>
        </w:rPr>
        <w:t xml:space="preserve">iş </w:t>
      </w:r>
      <w:r w:rsidR="00DF1998">
        <w:rPr>
          <w:rFonts w:ascii="Arial" w:hAnsi="Arial" w:cs="Arial"/>
        </w:rPr>
        <w:t xml:space="preserve">dünyasındaki </w:t>
      </w:r>
      <w:r w:rsidR="00DF1998" w:rsidRPr="00B412EA">
        <w:rPr>
          <w:rFonts w:ascii="Arial" w:hAnsi="Arial" w:cs="Arial"/>
        </w:rPr>
        <w:t>liderler</w:t>
      </w:r>
      <w:r w:rsidR="00DF1998">
        <w:rPr>
          <w:rFonts w:ascii="Arial" w:hAnsi="Arial" w:cs="Arial"/>
        </w:rPr>
        <w:t>e</w:t>
      </w:r>
      <w:r w:rsidR="00DF1998" w:rsidRPr="00B412EA">
        <w:rPr>
          <w:rFonts w:ascii="Arial" w:hAnsi="Arial" w:cs="Arial"/>
        </w:rPr>
        <w:t xml:space="preserve"> sürdürülebilir</w:t>
      </w:r>
      <w:r w:rsidR="00DF1998">
        <w:rPr>
          <w:rFonts w:ascii="Arial" w:hAnsi="Arial" w:cs="Arial"/>
        </w:rPr>
        <w:t xml:space="preserve"> ve </w:t>
      </w:r>
      <w:r w:rsidR="00DF1998" w:rsidRPr="00B412EA">
        <w:rPr>
          <w:rFonts w:ascii="Arial" w:hAnsi="Arial" w:cs="Arial"/>
        </w:rPr>
        <w:t>sağlam stratejiler geliştirmeleri</w:t>
      </w:r>
      <w:r w:rsidR="00DF1998">
        <w:rPr>
          <w:rFonts w:ascii="Arial" w:hAnsi="Arial" w:cs="Arial"/>
        </w:rPr>
        <w:t>ne yardımcı olabilir.” dedi.</w:t>
      </w:r>
    </w:p>
    <w:p w14:paraId="6F67C5BD" w14:textId="77777777" w:rsidR="00293DA9" w:rsidRDefault="00293DA9" w:rsidP="00CC5814">
      <w:pPr>
        <w:spacing w:after="0" w:line="300" w:lineRule="auto"/>
        <w:contextualSpacing/>
        <w:jc w:val="both"/>
        <w:rPr>
          <w:rFonts w:ascii="Arial" w:hAnsi="Arial" w:cs="Arial"/>
        </w:rPr>
      </w:pPr>
    </w:p>
    <w:p w14:paraId="244556EF" w14:textId="17CA6BA7" w:rsidR="00CC5814" w:rsidRPr="00CC5814" w:rsidRDefault="00293DA9" w:rsidP="00CC5814">
      <w:pPr>
        <w:spacing w:after="0" w:line="300" w:lineRule="auto"/>
        <w:contextualSpacing/>
        <w:jc w:val="both"/>
        <w:rPr>
          <w:rFonts w:ascii="Arial" w:hAnsi="Arial" w:cs="Arial"/>
          <w:b/>
          <w:bCs/>
        </w:rPr>
      </w:pPr>
      <w:r w:rsidRPr="00293DA9">
        <w:rPr>
          <w:rFonts w:ascii="Arial" w:hAnsi="Arial" w:cs="Arial"/>
          <w:b/>
          <w:bCs/>
        </w:rPr>
        <w:t>Enflasyon artık merkezde değil</w:t>
      </w:r>
    </w:p>
    <w:p w14:paraId="206C5F8E" w14:textId="095054C0" w:rsidR="00CC5814" w:rsidRDefault="00E10E8D" w:rsidP="00293DA9">
      <w:pPr>
        <w:spacing w:after="0" w:line="300" w:lineRule="auto"/>
        <w:contextualSpacing/>
        <w:jc w:val="both"/>
        <w:rPr>
          <w:rFonts w:ascii="Arial" w:hAnsi="Arial" w:cs="Arial"/>
        </w:rPr>
      </w:pPr>
      <w:r>
        <w:rPr>
          <w:rFonts w:ascii="Arial" w:hAnsi="Arial" w:cs="Arial"/>
        </w:rPr>
        <w:t>KPMG’nin “Küresel Ekonomik Görünüm” raporuna göre k</w:t>
      </w:r>
      <w:r w:rsidR="00293DA9" w:rsidRPr="00293DA9">
        <w:rPr>
          <w:rFonts w:ascii="Arial" w:hAnsi="Arial" w:cs="Arial"/>
        </w:rPr>
        <w:t>üresel ekonomi</w:t>
      </w:r>
      <w:r w:rsidR="00293DA9">
        <w:rPr>
          <w:rFonts w:ascii="Arial" w:hAnsi="Arial" w:cs="Arial"/>
        </w:rPr>
        <w:t>k</w:t>
      </w:r>
      <w:r w:rsidR="00293DA9" w:rsidRPr="00293DA9">
        <w:rPr>
          <w:rFonts w:ascii="Arial" w:hAnsi="Arial" w:cs="Arial"/>
        </w:rPr>
        <w:t xml:space="preserve"> görünüm yılın başlarında</w:t>
      </w:r>
      <w:r w:rsidR="00293DA9">
        <w:rPr>
          <w:rFonts w:ascii="Arial" w:hAnsi="Arial" w:cs="Arial"/>
        </w:rPr>
        <w:t xml:space="preserve">n itibaren </w:t>
      </w:r>
      <w:r w:rsidR="00293DA9" w:rsidRPr="00293DA9">
        <w:rPr>
          <w:rFonts w:ascii="Arial" w:hAnsi="Arial" w:cs="Arial"/>
        </w:rPr>
        <w:t xml:space="preserve">olumlu </w:t>
      </w:r>
      <w:r w:rsidR="00293DA9">
        <w:rPr>
          <w:rFonts w:ascii="Arial" w:hAnsi="Arial" w:cs="Arial"/>
        </w:rPr>
        <w:t xml:space="preserve">seyir izliyor. </w:t>
      </w:r>
      <w:r w:rsidR="00293DA9" w:rsidRPr="00293DA9">
        <w:rPr>
          <w:rFonts w:ascii="Arial" w:hAnsi="Arial" w:cs="Arial"/>
        </w:rPr>
        <w:t>Küresel enerji fiyatlarının Ukrayna işgali öncesinde görülen seviyelere geri dönmesiyle birlikte enflasyonist baskılar hafiflemeye başla</w:t>
      </w:r>
      <w:r w:rsidR="00293DA9">
        <w:rPr>
          <w:rFonts w:ascii="Arial" w:hAnsi="Arial" w:cs="Arial"/>
        </w:rPr>
        <w:t>dı</w:t>
      </w:r>
      <w:r w:rsidR="00293DA9" w:rsidRPr="00293DA9">
        <w:rPr>
          <w:rFonts w:ascii="Arial" w:hAnsi="Arial" w:cs="Arial"/>
        </w:rPr>
        <w:t xml:space="preserve">. Buna ek olarak, işgalin ardından enerji fiyatlarında görülen artışın baz etkileri de ortadan </w:t>
      </w:r>
      <w:r w:rsidR="002B1F8C">
        <w:rPr>
          <w:rFonts w:ascii="Arial" w:hAnsi="Arial" w:cs="Arial"/>
        </w:rPr>
        <w:t>kalkıyor</w:t>
      </w:r>
      <w:r w:rsidR="00293DA9">
        <w:rPr>
          <w:rFonts w:ascii="Arial" w:hAnsi="Arial" w:cs="Arial"/>
        </w:rPr>
        <w:t xml:space="preserve">. Bu durumun </w:t>
      </w:r>
      <w:r w:rsidR="00293DA9" w:rsidRPr="00293DA9">
        <w:rPr>
          <w:rFonts w:ascii="Arial" w:hAnsi="Arial" w:cs="Arial"/>
        </w:rPr>
        <w:t xml:space="preserve">yılın geri kalanında enflasyon üzerinde daha fazla aşağı yönlü baskı </w:t>
      </w:r>
      <w:r w:rsidR="00293DA9">
        <w:rPr>
          <w:rFonts w:ascii="Arial" w:hAnsi="Arial" w:cs="Arial"/>
        </w:rPr>
        <w:t xml:space="preserve">oluşturacağı </w:t>
      </w:r>
      <w:r w:rsidR="00293DA9">
        <w:rPr>
          <w:rFonts w:ascii="Arial" w:hAnsi="Arial" w:cs="Arial"/>
        </w:rPr>
        <w:lastRenderedPageBreak/>
        <w:t>tahmin ediliyor</w:t>
      </w:r>
      <w:r w:rsidR="00293DA9" w:rsidRPr="00293DA9">
        <w:rPr>
          <w:rFonts w:ascii="Arial" w:hAnsi="Arial" w:cs="Arial"/>
        </w:rPr>
        <w:t xml:space="preserve">. Diğer </w:t>
      </w:r>
      <w:r w:rsidR="00293DA9">
        <w:rPr>
          <w:rFonts w:ascii="Arial" w:hAnsi="Arial" w:cs="Arial"/>
        </w:rPr>
        <w:t xml:space="preserve">yandan </w:t>
      </w:r>
      <w:r w:rsidR="00293DA9" w:rsidRPr="00293DA9">
        <w:rPr>
          <w:rFonts w:ascii="Arial" w:hAnsi="Arial" w:cs="Arial"/>
        </w:rPr>
        <w:t>emtia fiyatlarının yanı sıra küresel gıda fiyatları</w:t>
      </w:r>
      <w:r w:rsidR="00293DA9">
        <w:rPr>
          <w:rFonts w:ascii="Arial" w:hAnsi="Arial" w:cs="Arial"/>
        </w:rPr>
        <w:t>nda</w:t>
      </w:r>
      <w:r w:rsidR="00293DA9" w:rsidRPr="00293DA9">
        <w:rPr>
          <w:rFonts w:ascii="Arial" w:hAnsi="Arial" w:cs="Arial"/>
        </w:rPr>
        <w:t xml:space="preserve"> da gevşe</w:t>
      </w:r>
      <w:r w:rsidR="00293DA9">
        <w:rPr>
          <w:rFonts w:ascii="Arial" w:hAnsi="Arial" w:cs="Arial"/>
        </w:rPr>
        <w:t>meler görülüyor</w:t>
      </w:r>
      <w:r w:rsidR="00293DA9" w:rsidRPr="00293DA9">
        <w:rPr>
          <w:rFonts w:ascii="Arial" w:hAnsi="Arial" w:cs="Arial"/>
        </w:rPr>
        <w:t>.</w:t>
      </w:r>
      <w:r w:rsidR="00293DA9">
        <w:rPr>
          <w:rFonts w:ascii="Arial" w:hAnsi="Arial" w:cs="Arial"/>
        </w:rPr>
        <w:t xml:space="preserve"> Raporda y</w:t>
      </w:r>
      <w:r w:rsidR="00293DA9" w:rsidRPr="00293DA9">
        <w:rPr>
          <w:rFonts w:ascii="Arial" w:hAnsi="Arial" w:cs="Arial"/>
        </w:rPr>
        <w:t>urt</w:t>
      </w:r>
      <w:r w:rsidR="00293DA9">
        <w:rPr>
          <w:rFonts w:ascii="Arial" w:hAnsi="Arial" w:cs="Arial"/>
        </w:rPr>
        <w:t xml:space="preserve"> </w:t>
      </w:r>
      <w:r w:rsidR="00293DA9" w:rsidRPr="00293DA9">
        <w:rPr>
          <w:rFonts w:ascii="Arial" w:hAnsi="Arial" w:cs="Arial"/>
        </w:rPr>
        <w:t>içi enflasyonist baskılar</w:t>
      </w:r>
      <w:r w:rsidR="00293DA9">
        <w:rPr>
          <w:rFonts w:ascii="Arial" w:hAnsi="Arial" w:cs="Arial"/>
        </w:rPr>
        <w:t>ın</w:t>
      </w:r>
      <w:r w:rsidR="00293DA9" w:rsidRPr="00293DA9">
        <w:rPr>
          <w:rFonts w:ascii="Arial" w:hAnsi="Arial" w:cs="Arial"/>
        </w:rPr>
        <w:t xml:space="preserve"> nispeten yüksek kalmaya devam </w:t>
      </w:r>
      <w:r w:rsidR="00293DA9">
        <w:rPr>
          <w:rFonts w:ascii="Arial" w:hAnsi="Arial" w:cs="Arial"/>
        </w:rPr>
        <w:t xml:space="preserve">ettiği </w:t>
      </w:r>
      <w:r w:rsidR="00293DA9" w:rsidRPr="00293DA9">
        <w:rPr>
          <w:rFonts w:ascii="Arial" w:hAnsi="Arial" w:cs="Arial"/>
        </w:rPr>
        <w:t xml:space="preserve">bazı ekonomilerde </w:t>
      </w:r>
      <w:r w:rsidR="00293DA9">
        <w:rPr>
          <w:rFonts w:ascii="Arial" w:hAnsi="Arial" w:cs="Arial"/>
        </w:rPr>
        <w:t xml:space="preserve">dahi </w:t>
      </w:r>
      <w:r w:rsidR="00293DA9" w:rsidRPr="00293DA9">
        <w:rPr>
          <w:rFonts w:ascii="Arial" w:hAnsi="Arial" w:cs="Arial"/>
        </w:rPr>
        <w:t>enflasyon</w:t>
      </w:r>
      <w:r w:rsidR="00293DA9">
        <w:rPr>
          <w:rFonts w:ascii="Arial" w:hAnsi="Arial" w:cs="Arial"/>
        </w:rPr>
        <w:t>un</w:t>
      </w:r>
      <w:r w:rsidR="00293DA9" w:rsidRPr="00293DA9">
        <w:rPr>
          <w:rFonts w:ascii="Arial" w:hAnsi="Arial" w:cs="Arial"/>
        </w:rPr>
        <w:t xml:space="preserve"> muhtemelen geçen yılın ikinci yarısında zirveyi</w:t>
      </w:r>
      <w:r w:rsidR="00293DA9">
        <w:rPr>
          <w:rFonts w:ascii="Arial" w:hAnsi="Arial" w:cs="Arial"/>
        </w:rPr>
        <w:t xml:space="preserve"> gördüğü </w:t>
      </w:r>
      <w:r w:rsidR="00293DA9" w:rsidRPr="00293DA9">
        <w:rPr>
          <w:rFonts w:ascii="Arial" w:hAnsi="Arial" w:cs="Arial"/>
        </w:rPr>
        <w:t>ve manşet enflasyonun bu yıl düşmeye devam etmesi</w:t>
      </w:r>
      <w:r w:rsidR="00293DA9">
        <w:rPr>
          <w:rFonts w:ascii="Arial" w:hAnsi="Arial" w:cs="Arial"/>
        </w:rPr>
        <w:t xml:space="preserve">nin beklendiği belirtiliyor. </w:t>
      </w:r>
      <w:r w:rsidR="00293DA9" w:rsidRPr="00293DA9">
        <w:rPr>
          <w:rFonts w:ascii="Arial" w:hAnsi="Arial" w:cs="Arial"/>
        </w:rPr>
        <w:t xml:space="preserve"> </w:t>
      </w:r>
    </w:p>
    <w:p w14:paraId="16472302" w14:textId="77777777" w:rsidR="00E10E8D" w:rsidRPr="00CC5814" w:rsidRDefault="00E10E8D" w:rsidP="00293DA9">
      <w:pPr>
        <w:spacing w:after="0" w:line="300" w:lineRule="auto"/>
        <w:contextualSpacing/>
        <w:jc w:val="both"/>
        <w:rPr>
          <w:rFonts w:ascii="Arial" w:hAnsi="Arial" w:cs="Arial"/>
        </w:rPr>
      </w:pPr>
    </w:p>
    <w:p w14:paraId="0BA736E2" w14:textId="509D5691" w:rsidR="00641F15" w:rsidRPr="00CC5814" w:rsidRDefault="00641F15" w:rsidP="00641F15">
      <w:pPr>
        <w:spacing w:after="0" w:line="300" w:lineRule="auto"/>
        <w:contextualSpacing/>
        <w:jc w:val="both"/>
        <w:rPr>
          <w:rFonts w:ascii="Arial" w:hAnsi="Arial" w:cs="Arial"/>
          <w:b/>
          <w:bCs/>
        </w:rPr>
      </w:pPr>
      <w:r w:rsidRPr="008C38A3">
        <w:rPr>
          <w:rFonts w:ascii="Arial" w:hAnsi="Arial" w:cs="Arial"/>
          <w:b/>
          <w:bCs/>
        </w:rPr>
        <w:t>Büyüme için alan</w:t>
      </w:r>
      <w:r w:rsidR="00E10E8D">
        <w:rPr>
          <w:rFonts w:ascii="Arial" w:hAnsi="Arial" w:cs="Arial"/>
          <w:b/>
          <w:bCs/>
        </w:rPr>
        <w:t xml:space="preserve"> var</w:t>
      </w:r>
    </w:p>
    <w:p w14:paraId="28F13F2A" w14:textId="77777777" w:rsidR="00641F15" w:rsidRPr="00CC5814" w:rsidRDefault="00641F15" w:rsidP="00641F15">
      <w:pPr>
        <w:spacing w:after="0" w:line="300" w:lineRule="auto"/>
        <w:contextualSpacing/>
        <w:jc w:val="both"/>
        <w:rPr>
          <w:rFonts w:ascii="Arial" w:hAnsi="Arial" w:cs="Arial"/>
        </w:rPr>
      </w:pPr>
      <w:r w:rsidRPr="008C38A3">
        <w:rPr>
          <w:rFonts w:ascii="Arial" w:hAnsi="Arial" w:cs="Arial"/>
        </w:rPr>
        <w:t>Covid</w:t>
      </w:r>
      <w:r>
        <w:rPr>
          <w:rFonts w:ascii="Arial" w:hAnsi="Arial" w:cs="Arial"/>
        </w:rPr>
        <w:t>-19</w:t>
      </w:r>
      <w:r w:rsidRPr="008C38A3">
        <w:rPr>
          <w:rFonts w:ascii="Arial" w:hAnsi="Arial" w:cs="Arial"/>
        </w:rPr>
        <w:t xml:space="preserve"> ile ilgili kısıtlamaların kaldırılmasının ardından Çin ekonomisinin nispeten sorunsuz bir şekilde yeniden açılmasıyla bu yıl bir miktar olumlu büyüme ivmesi bekleniyor. Küresel tedarik zincirleri üzerindeki baskı son aylarda önemli ölçüde azalırken nakliye maliyetleri de düştü. Bu durum</w:t>
      </w:r>
      <w:r>
        <w:rPr>
          <w:rFonts w:ascii="Arial" w:hAnsi="Arial" w:cs="Arial"/>
        </w:rPr>
        <w:t>un</w:t>
      </w:r>
      <w:r w:rsidRPr="008C38A3">
        <w:rPr>
          <w:rFonts w:ascii="Arial" w:hAnsi="Arial" w:cs="Arial"/>
        </w:rPr>
        <w:t xml:space="preserve"> bazı enflasyonist baskıların hafiflemesine ve tedarik kapasitesinin artmasına yardımcı ol</w:t>
      </w:r>
      <w:r>
        <w:rPr>
          <w:rFonts w:ascii="Arial" w:hAnsi="Arial" w:cs="Arial"/>
        </w:rPr>
        <w:t>ması bekleniyor</w:t>
      </w:r>
      <w:r w:rsidRPr="008C38A3">
        <w:rPr>
          <w:rFonts w:ascii="Arial" w:hAnsi="Arial" w:cs="Arial"/>
        </w:rPr>
        <w:t xml:space="preserve">. </w:t>
      </w:r>
      <w:r>
        <w:rPr>
          <w:rFonts w:ascii="Arial" w:hAnsi="Arial" w:cs="Arial"/>
        </w:rPr>
        <w:t xml:space="preserve">Diğer yandan </w:t>
      </w:r>
      <w:r w:rsidRPr="008C38A3">
        <w:rPr>
          <w:rFonts w:ascii="Arial" w:hAnsi="Arial" w:cs="Arial"/>
        </w:rPr>
        <w:t>tüketici talebinin de bu yıl toparlanması bekleniyor. Nitekim Avrupa'da tüketici güveni nispeten düşük seviyelerde kalsa da iyileşmeye başladı.</w:t>
      </w:r>
      <w:r>
        <w:rPr>
          <w:rFonts w:ascii="Arial" w:hAnsi="Arial" w:cs="Arial"/>
        </w:rPr>
        <w:t xml:space="preserve"> Ayrıca </w:t>
      </w:r>
      <w:r w:rsidRPr="0042711F">
        <w:rPr>
          <w:rFonts w:ascii="Arial" w:hAnsi="Arial" w:cs="Arial"/>
        </w:rPr>
        <w:t>bu yıl işsizlikte önemli bir artış bekle</w:t>
      </w:r>
      <w:r>
        <w:rPr>
          <w:rFonts w:ascii="Arial" w:hAnsi="Arial" w:cs="Arial"/>
        </w:rPr>
        <w:t>nmediğinin de kaydedildiği raporda b</w:t>
      </w:r>
      <w:r w:rsidRPr="0042711F">
        <w:rPr>
          <w:rFonts w:ascii="Arial" w:hAnsi="Arial" w:cs="Arial"/>
        </w:rPr>
        <w:t>u durum</w:t>
      </w:r>
      <w:r>
        <w:rPr>
          <w:rFonts w:ascii="Arial" w:hAnsi="Arial" w:cs="Arial"/>
        </w:rPr>
        <w:t>un</w:t>
      </w:r>
      <w:r w:rsidRPr="0042711F">
        <w:rPr>
          <w:rFonts w:ascii="Arial" w:hAnsi="Arial" w:cs="Arial"/>
        </w:rPr>
        <w:t>, hane halkının gelirleri ve tüketim harcamaları için önemli bir destek sağlayaca</w:t>
      </w:r>
      <w:r>
        <w:rPr>
          <w:rFonts w:ascii="Arial" w:hAnsi="Arial" w:cs="Arial"/>
        </w:rPr>
        <w:t>ğı belirtiliyor</w:t>
      </w:r>
      <w:r w:rsidRPr="0042711F">
        <w:rPr>
          <w:rFonts w:ascii="Arial" w:hAnsi="Arial" w:cs="Arial"/>
        </w:rPr>
        <w:t xml:space="preserve">. Ücret artışlarının gelecek yıldan itibaren bir kez daha enflasyonun önüne geçmesiyle hane halkının satın alma gücünün </w:t>
      </w:r>
      <w:r>
        <w:rPr>
          <w:rFonts w:ascii="Arial" w:hAnsi="Arial" w:cs="Arial"/>
        </w:rPr>
        <w:t xml:space="preserve">de </w:t>
      </w:r>
      <w:r w:rsidRPr="0042711F">
        <w:rPr>
          <w:rFonts w:ascii="Arial" w:hAnsi="Arial" w:cs="Arial"/>
        </w:rPr>
        <w:t>orta vadede kademeli olarak toparlanması beklen</w:t>
      </w:r>
      <w:r>
        <w:rPr>
          <w:rFonts w:ascii="Arial" w:hAnsi="Arial" w:cs="Arial"/>
        </w:rPr>
        <w:t>iyor</w:t>
      </w:r>
      <w:r w:rsidRPr="0042711F">
        <w:rPr>
          <w:rFonts w:ascii="Arial" w:hAnsi="Arial" w:cs="Arial"/>
        </w:rPr>
        <w:t>.</w:t>
      </w:r>
    </w:p>
    <w:p w14:paraId="4A10F78A" w14:textId="77777777" w:rsidR="00641F15" w:rsidRPr="00CC5814" w:rsidRDefault="00641F15" w:rsidP="00641F15">
      <w:pPr>
        <w:spacing w:after="0" w:line="300" w:lineRule="auto"/>
        <w:contextualSpacing/>
        <w:jc w:val="both"/>
        <w:rPr>
          <w:rFonts w:ascii="Arial" w:hAnsi="Arial" w:cs="Arial"/>
        </w:rPr>
      </w:pPr>
    </w:p>
    <w:p w14:paraId="07F53557" w14:textId="50CC1698" w:rsidR="00641F15" w:rsidRDefault="00641F15" w:rsidP="00641F15">
      <w:pPr>
        <w:spacing w:after="0" w:line="300" w:lineRule="auto"/>
        <w:contextualSpacing/>
        <w:jc w:val="both"/>
        <w:rPr>
          <w:rFonts w:ascii="Arial" w:hAnsi="Arial" w:cs="Arial"/>
        </w:rPr>
      </w:pPr>
      <w:r w:rsidRPr="00FC7144">
        <w:rPr>
          <w:rFonts w:ascii="Arial" w:hAnsi="Arial" w:cs="Arial"/>
        </w:rPr>
        <w:t>İş</w:t>
      </w:r>
      <w:r>
        <w:rPr>
          <w:rFonts w:ascii="Arial" w:hAnsi="Arial" w:cs="Arial"/>
        </w:rPr>
        <w:t xml:space="preserve"> </w:t>
      </w:r>
      <w:r w:rsidRPr="00FC7144">
        <w:rPr>
          <w:rFonts w:ascii="Arial" w:hAnsi="Arial" w:cs="Arial"/>
        </w:rPr>
        <w:t>gücü piyasasının dayanıklılığına ve iyileşen enflasyon koşullarına rağmen</w:t>
      </w:r>
      <w:r>
        <w:rPr>
          <w:rFonts w:ascii="Arial" w:hAnsi="Arial" w:cs="Arial"/>
        </w:rPr>
        <w:t xml:space="preserve"> raporda, </w:t>
      </w:r>
      <w:r w:rsidRPr="00FC7144">
        <w:rPr>
          <w:rFonts w:ascii="Arial" w:hAnsi="Arial" w:cs="Arial"/>
        </w:rPr>
        <w:t xml:space="preserve">küresel ekonomik büyümenin önümüzdeki iki yıl boyunca nispeten ılımlı </w:t>
      </w:r>
      <w:r>
        <w:rPr>
          <w:rFonts w:ascii="Arial" w:hAnsi="Arial" w:cs="Arial"/>
        </w:rPr>
        <w:t>seyretmesi</w:t>
      </w:r>
      <w:r w:rsidR="002B1F8C">
        <w:rPr>
          <w:rFonts w:ascii="Arial" w:hAnsi="Arial" w:cs="Arial"/>
        </w:rPr>
        <w:t>nin</w:t>
      </w:r>
      <w:r>
        <w:rPr>
          <w:rFonts w:ascii="Arial" w:hAnsi="Arial" w:cs="Arial"/>
        </w:rPr>
        <w:t xml:space="preserve"> </w:t>
      </w:r>
      <w:r w:rsidRPr="00FC7144">
        <w:rPr>
          <w:rFonts w:ascii="Arial" w:hAnsi="Arial" w:cs="Arial"/>
        </w:rPr>
        <w:t>ve uzun vadeli ortalamasının altında kalması</w:t>
      </w:r>
      <w:r>
        <w:rPr>
          <w:rFonts w:ascii="Arial" w:hAnsi="Arial" w:cs="Arial"/>
        </w:rPr>
        <w:t>nın</w:t>
      </w:r>
      <w:r w:rsidRPr="00FC7144">
        <w:rPr>
          <w:rFonts w:ascii="Arial" w:hAnsi="Arial" w:cs="Arial"/>
        </w:rPr>
        <w:t xml:space="preserve"> bekl</w:t>
      </w:r>
      <w:r>
        <w:rPr>
          <w:rFonts w:ascii="Arial" w:hAnsi="Arial" w:cs="Arial"/>
        </w:rPr>
        <w:t>endiğine dikkat çekiliyor</w:t>
      </w:r>
      <w:r w:rsidRPr="00FC7144">
        <w:rPr>
          <w:rFonts w:ascii="Arial" w:hAnsi="Arial" w:cs="Arial"/>
        </w:rPr>
        <w:t xml:space="preserve">. Küresel büyümenin Çin ekonomisindeki toparlanma ve bazı gelişmekte olan piyasalardaki nispeten güçlü büyümeden kaynaklanması beklenirken </w:t>
      </w:r>
      <w:r>
        <w:rPr>
          <w:rFonts w:ascii="Arial" w:hAnsi="Arial" w:cs="Arial"/>
        </w:rPr>
        <w:t xml:space="preserve">Euro </w:t>
      </w:r>
      <w:r w:rsidRPr="00FC7144">
        <w:rPr>
          <w:rFonts w:ascii="Arial" w:hAnsi="Arial" w:cs="Arial"/>
        </w:rPr>
        <w:t xml:space="preserve">Bölgesi ve ABD ekonomilerinin önümüzdeki iki yıl boyunca küresel büyümeye daha az katkıda </w:t>
      </w:r>
      <w:r>
        <w:rPr>
          <w:rFonts w:ascii="Arial" w:hAnsi="Arial" w:cs="Arial"/>
        </w:rPr>
        <w:t>bulunacağı tahmin ediliyor</w:t>
      </w:r>
      <w:r w:rsidRPr="00FC7144">
        <w:rPr>
          <w:rFonts w:ascii="Arial" w:hAnsi="Arial" w:cs="Arial"/>
        </w:rPr>
        <w:t>.</w:t>
      </w:r>
    </w:p>
    <w:p w14:paraId="5A861E2A" w14:textId="77777777" w:rsidR="00CC5814" w:rsidRPr="00CC5814" w:rsidRDefault="00CC5814" w:rsidP="00CC5814">
      <w:pPr>
        <w:spacing w:after="0" w:line="300" w:lineRule="auto"/>
        <w:contextualSpacing/>
        <w:jc w:val="both"/>
        <w:rPr>
          <w:rFonts w:ascii="Arial" w:hAnsi="Arial" w:cs="Arial"/>
        </w:rPr>
      </w:pPr>
    </w:p>
    <w:p w14:paraId="664008B2" w14:textId="6CE59C8D" w:rsidR="00CC5814" w:rsidRPr="00CC5814" w:rsidRDefault="00293DA9" w:rsidP="00CC5814">
      <w:pPr>
        <w:spacing w:after="0" w:line="300" w:lineRule="auto"/>
        <w:contextualSpacing/>
        <w:jc w:val="both"/>
        <w:rPr>
          <w:rFonts w:ascii="Arial" w:hAnsi="Arial" w:cs="Arial"/>
          <w:b/>
          <w:bCs/>
        </w:rPr>
      </w:pPr>
      <w:r w:rsidRPr="00293DA9">
        <w:rPr>
          <w:rFonts w:ascii="Arial" w:hAnsi="Arial" w:cs="Arial"/>
          <w:b/>
          <w:bCs/>
        </w:rPr>
        <w:t>Merkez bankaları daha zorlu bir görünümle karşı karşıya</w:t>
      </w:r>
    </w:p>
    <w:p w14:paraId="62287C00" w14:textId="7CE2424B" w:rsidR="00CC5814" w:rsidRPr="00CC5814" w:rsidRDefault="002B1F8C" w:rsidP="00CC5814">
      <w:pPr>
        <w:spacing w:after="0" w:line="300" w:lineRule="auto"/>
        <w:contextualSpacing/>
        <w:jc w:val="both"/>
        <w:rPr>
          <w:rFonts w:ascii="Arial" w:hAnsi="Arial" w:cs="Arial"/>
        </w:rPr>
      </w:pPr>
      <w:r>
        <w:rPr>
          <w:rFonts w:ascii="Arial" w:hAnsi="Arial" w:cs="Arial"/>
        </w:rPr>
        <w:t>Rapora göre k</w:t>
      </w:r>
      <w:r w:rsidR="00293DA9">
        <w:rPr>
          <w:rFonts w:ascii="Arial" w:hAnsi="Arial" w:cs="Arial"/>
        </w:rPr>
        <w:t>üresel çapta e</w:t>
      </w:r>
      <w:r w:rsidR="00293DA9" w:rsidRPr="00293DA9">
        <w:rPr>
          <w:rFonts w:ascii="Arial" w:hAnsi="Arial" w:cs="Arial"/>
        </w:rPr>
        <w:t>nflasyon görünümü önemli ölçüde iyileş</w:t>
      </w:r>
      <w:r w:rsidR="00293DA9">
        <w:rPr>
          <w:rFonts w:ascii="Arial" w:hAnsi="Arial" w:cs="Arial"/>
        </w:rPr>
        <w:t xml:space="preserve">se de </w:t>
      </w:r>
      <w:r w:rsidR="00293DA9" w:rsidRPr="00293DA9">
        <w:rPr>
          <w:rFonts w:ascii="Arial" w:hAnsi="Arial" w:cs="Arial"/>
        </w:rPr>
        <w:t xml:space="preserve">birçok merkez bankası temkinli kalmaya devam </w:t>
      </w:r>
      <w:r w:rsidR="00293DA9">
        <w:rPr>
          <w:rFonts w:ascii="Arial" w:hAnsi="Arial" w:cs="Arial"/>
        </w:rPr>
        <w:t>ediyor</w:t>
      </w:r>
      <w:r w:rsidR="00293DA9" w:rsidRPr="00293DA9">
        <w:rPr>
          <w:rFonts w:ascii="Arial" w:hAnsi="Arial" w:cs="Arial"/>
        </w:rPr>
        <w:t xml:space="preserve">. </w:t>
      </w:r>
      <w:r w:rsidR="00293DA9">
        <w:rPr>
          <w:rFonts w:ascii="Arial" w:hAnsi="Arial" w:cs="Arial"/>
        </w:rPr>
        <w:t>Özellikle ç</w:t>
      </w:r>
      <w:r w:rsidR="00293DA9" w:rsidRPr="00293DA9">
        <w:rPr>
          <w:rFonts w:ascii="Arial" w:hAnsi="Arial" w:cs="Arial"/>
        </w:rPr>
        <w:t xml:space="preserve">ekirdek enflasyonun (gıda ve enerji gibi kalemler hariç) inatçı bir şekilde yüksek seyretmesi ve bazı ülkelerdeki nispeten sıkı ekonomik ortam nedeniyle fiyat artışlarının ekonominin geneline yayılmasıyla birlikte enflasyonun </w:t>
      </w:r>
      <w:r w:rsidR="00EF3A67">
        <w:rPr>
          <w:rFonts w:ascii="Arial" w:hAnsi="Arial" w:cs="Arial"/>
        </w:rPr>
        <w:t xml:space="preserve">kalıcı olmasından </w:t>
      </w:r>
      <w:r w:rsidR="00293DA9" w:rsidRPr="00293DA9">
        <w:rPr>
          <w:rFonts w:ascii="Arial" w:hAnsi="Arial" w:cs="Arial"/>
        </w:rPr>
        <w:t xml:space="preserve">endişe </w:t>
      </w:r>
      <w:r w:rsidR="00EF3A67">
        <w:rPr>
          <w:rFonts w:ascii="Arial" w:hAnsi="Arial" w:cs="Arial"/>
        </w:rPr>
        <w:t>ediliyor</w:t>
      </w:r>
      <w:r w:rsidR="00293DA9" w:rsidRPr="00293DA9">
        <w:rPr>
          <w:rFonts w:ascii="Arial" w:hAnsi="Arial" w:cs="Arial"/>
        </w:rPr>
        <w:t>.</w:t>
      </w:r>
      <w:r w:rsidR="00EF3A67">
        <w:rPr>
          <w:rFonts w:ascii="Arial" w:hAnsi="Arial" w:cs="Arial"/>
        </w:rPr>
        <w:t xml:space="preserve"> Rapor</w:t>
      </w:r>
      <w:r>
        <w:rPr>
          <w:rFonts w:ascii="Arial" w:hAnsi="Arial" w:cs="Arial"/>
        </w:rPr>
        <w:t xml:space="preserve">da, </w:t>
      </w:r>
      <w:r w:rsidR="00EF3A67">
        <w:rPr>
          <w:rFonts w:ascii="Arial" w:hAnsi="Arial" w:cs="Arial"/>
        </w:rPr>
        <w:t>A</w:t>
      </w:r>
      <w:r w:rsidR="00EF3A67" w:rsidRPr="00EF3A67">
        <w:rPr>
          <w:rFonts w:ascii="Arial" w:hAnsi="Arial" w:cs="Arial"/>
        </w:rPr>
        <w:t>BD'de Silicon Valley Bank ve Signature Bank'ın çöküşüyle tetiklenen bankacılık sistemindeki son gerilimler</w:t>
      </w:r>
      <w:r>
        <w:rPr>
          <w:rFonts w:ascii="Arial" w:hAnsi="Arial" w:cs="Arial"/>
        </w:rPr>
        <w:t>in</w:t>
      </w:r>
      <w:r w:rsidR="00EF3A67" w:rsidRPr="00EF3A67">
        <w:rPr>
          <w:rFonts w:ascii="Arial" w:hAnsi="Arial" w:cs="Arial"/>
        </w:rPr>
        <w:t>, merkez bankaları için işleri zorlaştırabil</w:t>
      </w:r>
      <w:r>
        <w:rPr>
          <w:rFonts w:ascii="Arial" w:hAnsi="Arial" w:cs="Arial"/>
        </w:rPr>
        <w:t>eceğine dikkat çekiliyor</w:t>
      </w:r>
      <w:r w:rsidR="00EF3A67" w:rsidRPr="00EF3A67">
        <w:rPr>
          <w:rFonts w:ascii="Arial" w:hAnsi="Arial" w:cs="Arial"/>
        </w:rPr>
        <w:t xml:space="preserve">. </w:t>
      </w:r>
      <w:r w:rsidR="00EF3A67">
        <w:rPr>
          <w:rFonts w:ascii="Arial" w:hAnsi="Arial" w:cs="Arial"/>
        </w:rPr>
        <w:t xml:space="preserve">Bankacılık sektörünün ortaya çıkardığı bu </w:t>
      </w:r>
      <w:r w:rsidR="00EF3A67" w:rsidRPr="00EF3A67">
        <w:rPr>
          <w:rFonts w:ascii="Arial" w:hAnsi="Arial" w:cs="Arial"/>
        </w:rPr>
        <w:t>belirsizlik kaçınılmaz olarak kredi koşullarını sıkılaştırırken, benzeri görülmemiş bir parasal sıkılaştırma döneminin ardından piyasalar</w:t>
      </w:r>
      <w:r w:rsidR="00EF3A67">
        <w:rPr>
          <w:rFonts w:ascii="Arial" w:hAnsi="Arial" w:cs="Arial"/>
        </w:rPr>
        <w:t>da</w:t>
      </w:r>
      <w:r w:rsidR="00EF3A67" w:rsidRPr="00EF3A67">
        <w:rPr>
          <w:rFonts w:ascii="Arial" w:hAnsi="Arial" w:cs="Arial"/>
        </w:rPr>
        <w:t xml:space="preserve"> kırılganlığ</w:t>
      </w:r>
      <w:r w:rsidR="00EF3A67">
        <w:rPr>
          <w:rFonts w:ascii="Arial" w:hAnsi="Arial" w:cs="Arial"/>
        </w:rPr>
        <w:t xml:space="preserve">a neden olabilir. </w:t>
      </w:r>
      <w:r w:rsidR="00EF3A67" w:rsidRPr="00EF3A67">
        <w:rPr>
          <w:rFonts w:ascii="Arial" w:hAnsi="Arial" w:cs="Arial"/>
        </w:rPr>
        <w:t>Geçtiğimiz yıl politika faiz oranlarında keskin bir yükseliş yaşandı ve çoğu merkez bankası yıl içinde faiz oranlarını önemli ölçüde arttırdı. Sıkılaştırma döngüsü bazı ekonomilerde neredeyse sonuna ulaşırken başta Fed ve ECB olmak üzere diğer merkez bankalarının daha fazla sıkılaştırmaya gitmesi bekleniyordu. Ancak, bankacılık sektörü</w:t>
      </w:r>
      <w:r w:rsidR="008C38A3">
        <w:rPr>
          <w:rFonts w:ascii="Arial" w:hAnsi="Arial" w:cs="Arial"/>
        </w:rPr>
        <w:t xml:space="preserve">ndeki bu </w:t>
      </w:r>
      <w:r w:rsidR="00EF3A67" w:rsidRPr="00EF3A67">
        <w:rPr>
          <w:rFonts w:ascii="Arial" w:hAnsi="Arial" w:cs="Arial"/>
        </w:rPr>
        <w:t>son gelişmeler faiz oranlarının daha erken ve daha düşük seviyelerde zirve yapmasına neden olabilir.</w:t>
      </w:r>
    </w:p>
    <w:p w14:paraId="62230FDB" w14:textId="77777777" w:rsidR="00CC5814" w:rsidRPr="00CC5814" w:rsidRDefault="00CC5814" w:rsidP="00CC5814">
      <w:pPr>
        <w:spacing w:after="0" w:line="300" w:lineRule="auto"/>
        <w:contextualSpacing/>
        <w:jc w:val="both"/>
        <w:rPr>
          <w:rFonts w:ascii="Arial" w:hAnsi="Arial" w:cs="Arial"/>
        </w:rPr>
      </w:pPr>
    </w:p>
    <w:p w14:paraId="28266002" w14:textId="178FF83B" w:rsidR="004A399D" w:rsidRPr="004D64F2" w:rsidRDefault="00F704C4" w:rsidP="00BA1F99">
      <w:pPr>
        <w:spacing w:after="0" w:line="300" w:lineRule="auto"/>
        <w:jc w:val="both"/>
        <w:rPr>
          <w:rFonts w:ascii="Arial" w:hAnsi="Arial" w:cs="Arial"/>
        </w:rPr>
      </w:pPr>
      <w:r w:rsidRPr="004D64F2">
        <w:rPr>
          <w:rFonts w:ascii="Arial" w:hAnsi="Arial" w:cs="Arial"/>
        </w:rPr>
        <w:t xml:space="preserve">Raporun </w:t>
      </w:r>
      <w:r w:rsidR="004A399D" w:rsidRPr="004D64F2">
        <w:rPr>
          <w:rFonts w:ascii="Arial" w:hAnsi="Arial" w:cs="Arial"/>
        </w:rPr>
        <w:t xml:space="preserve">tamamına </w:t>
      </w:r>
      <w:hyperlink r:id="rId11" w:history="1">
        <w:r w:rsidR="004A399D" w:rsidRPr="004D64F2">
          <w:rPr>
            <w:rStyle w:val="Kpr"/>
            <w:rFonts w:ascii="Arial" w:hAnsi="Arial" w:cs="Arial"/>
          </w:rPr>
          <w:t>buradan</w:t>
        </w:r>
      </w:hyperlink>
      <w:r w:rsidR="004A399D" w:rsidRPr="004D64F2">
        <w:rPr>
          <w:rFonts w:ascii="Arial" w:hAnsi="Arial" w:cs="Arial"/>
        </w:rPr>
        <w:t xml:space="preserve"> ulaşabilirsiniz. </w:t>
      </w:r>
    </w:p>
    <w:p w14:paraId="1452D3B2" w14:textId="0C299C32" w:rsidR="00511A4F" w:rsidRPr="004D64F2" w:rsidRDefault="00511A4F" w:rsidP="00FB099A">
      <w:pPr>
        <w:rPr>
          <w:rFonts w:ascii="Arial" w:hAnsi="Arial" w:cs="Arial"/>
        </w:rPr>
      </w:pPr>
    </w:p>
    <w:p w14:paraId="588C1322"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b/>
          <w:bCs/>
          <w:sz w:val="18"/>
          <w:szCs w:val="18"/>
        </w:rPr>
        <w:t xml:space="preserve">Bilgi için: </w:t>
      </w:r>
      <w:r w:rsidRPr="004D64F2">
        <w:rPr>
          <w:rStyle w:val="tabchar"/>
          <w:rFonts w:asciiTheme="minorHAnsi" w:hAnsiTheme="minorHAnsi" w:cstheme="minorHAnsi"/>
          <w:sz w:val="18"/>
          <w:szCs w:val="18"/>
        </w:rPr>
        <w:tab/>
      </w:r>
      <w:r w:rsidRPr="004D64F2">
        <w:rPr>
          <w:rStyle w:val="eop"/>
          <w:rFonts w:asciiTheme="minorHAnsi" w:hAnsiTheme="minorHAnsi" w:cstheme="minorHAnsi"/>
          <w:sz w:val="18"/>
          <w:szCs w:val="18"/>
        </w:rPr>
        <w:t> </w:t>
      </w:r>
    </w:p>
    <w:p w14:paraId="10C6D7B2"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color w:val="000000"/>
          <w:sz w:val="18"/>
          <w:szCs w:val="18"/>
        </w:rPr>
        <w:lastRenderedPageBreak/>
        <w:t>Ceren Moral Aru</w:t>
      </w:r>
      <w:r w:rsidRPr="004D64F2">
        <w:rPr>
          <w:rStyle w:val="eop"/>
          <w:rFonts w:asciiTheme="minorHAnsi" w:hAnsiTheme="minorHAnsi" w:cstheme="minorHAnsi"/>
          <w:color w:val="000000"/>
          <w:sz w:val="18"/>
          <w:szCs w:val="18"/>
        </w:rPr>
        <w:t> </w:t>
      </w:r>
    </w:p>
    <w:p w14:paraId="374D810F"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color w:val="000000"/>
          <w:sz w:val="18"/>
          <w:szCs w:val="18"/>
        </w:rPr>
        <w:t>0533 921 43 53</w:t>
      </w:r>
      <w:r w:rsidRPr="004D64F2">
        <w:rPr>
          <w:rStyle w:val="eop"/>
          <w:rFonts w:asciiTheme="minorHAnsi" w:hAnsiTheme="minorHAnsi" w:cstheme="minorHAnsi"/>
          <w:color w:val="000000"/>
          <w:sz w:val="18"/>
          <w:szCs w:val="18"/>
        </w:rPr>
        <w:t> </w:t>
      </w:r>
    </w:p>
    <w:p w14:paraId="335CFB89"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color w:val="000000"/>
          <w:sz w:val="18"/>
          <w:szCs w:val="18"/>
        </w:rPr>
        <w:t>cerenm@marjinal.com.tr</w:t>
      </w:r>
      <w:r w:rsidRPr="004D64F2">
        <w:rPr>
          <w:rStyle w:val="eop"/>
          <w:rFonts w:asciiTheme="minorHAnsi" w:hAnsiTheme="minorHAnsi" w:cstheme="minorHAnsi"/>
          <w:color w:val="000000"/>
          <w:sz w:val="18"/>
          <w:szCs w:val="18"/>
        </w:rPr>
        <w:t> </w:t>
      </w:r>
    </w:p>
    <w:p w14:paraId="112A7D81"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eop"/>
          <w:rFonts w:asciiTheme="minorHAnsi" w:hAnsiTheme="minorHAnsi" w:cstheme="minorHAnsi"/>
          <w:sz w:val="18"/>
          <w:szCs w:val="18"/>
        </w:rPr>
        <w:t> </w:t>
      </w:r>
    </w:p>
    <w:p w14:paraId="261D8353" w14:textId="77777777" w:rsidR="008E1CCE" w:rsidRPr="004D64F2" w:rsidRDefault="008E1CCE" w:rsidP="008E1CCE">
      <w:pPr>
        <w:pStyle w:val="paragraph"/>
        <w:spacing w:before="0" w:beforeAutospacing="0" w:after="0" w:afterAutospacing="0"/>
        <w:contextualSpacing/>
        <w:jc w:val="both"/>
        <w:textAlignment w:val="baseline"/>
        <w:rPr>
          <w:rFonts w:asciiTheme="minorHAnsi" w:hAnsiTheme="minorHAnsi" w:cstheme="minorHAnsi"/>
          <w:sz w:val="18"/>
          <w:szCs w:val="18"/>
        </w:rPr>
      </w:pPr>
      <w:r w:rsidRPr="004D64F2">
        <w:rPr>
          <w:rStyle w:val="normaltextrun"/>
          <w:rFonts w:asciiTheme="minorHAnsi" w:hAnsiTheme="minorHAnsi" w:cstheme="minorHAnsi"/>
          <w:b/>
          <w:bCs/>
          <w:sz w:val="18"/>
          <w:szCs w:val="18"/>
          <w:u w:val="single"/>
        </w:rPr>
        <w:t>KPMG Hakkında</w:t>
      </w:r>
      <w:r w:rsidRPr="004D64F2">
        <w:rPr>
          <w:rStyle w:val="eop"/>
          <w:rFonts w:asciiTheme="minorHAnsi" w:hAnsiTheme="minorHAnsi" w:cstheme="minorHAnsi"/>
          <w:sz w:val="18"/>
          <w:szCs w:val="18"/>
        </w:rPr>
        <w:t> </w:t>
      </w:r>
    </w:p>
    <w:p w14:paraId="5543C93D" w14:textId="77777777" w:rsidR="008E1CCE" w:rsidRDefault="008E1CCE" w:rsidP="008E1CCE">
      <w:pPr>
        <w:pStyle w:val="paragraph"/>
        <w:spacing w:after="0"/>
        <w:contextualSpacing/>
        <w:jc w:val="both"/>
        <w:textAlignment w:val="baseline"/>
      </w:pPr>
      <w:r w:rsidRPr="004D64F2">
        <w:rPr>
          <w:rStyle w:val="normaltextrun"/>
          <w:rFonts w:asciiTheme="minorHAnsi" w:hAnsiTheme="minorHAnsi" w:cstheme="minorHAnsi"/>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için </w:t>
      </w:r>
      <w:hyperlink r:id="rId12" w:history="1">
        <w:r w:rsidRPr="004D64F2">
          <w:rPr>
            <w:rStyle w:val="Kpr"/>
            <w:rFonts w:asciiTheme="minorHAnsi" w:hAnsiTheme="minorHAnsi" w:cstheme="minorHAnsi"/>
            <w:sz w:val="18"/>
            <w:szCs w:val="18"/>
          </w:rPr>
          <w:t>www.kpmg.com.tr</w:t>
        </w:r>
      </w:hyperlink>
      <w:r w:rsidRPr="004D64F2">
        <w:rPr>
          <w:rStyle w:val="normaltextrun"/>
          <w:rFonts w:asciiTheme="minorHAnsi" w:hAnsiTheme="minorHAnsi" w:cstheme="minorHAnsi"/>
          <w:color w:val="000000"/>
          <w:sz w:val="18"/>
          <w:szCs w:val="18"/>
        </w:rPr>
        <w:t xml:space="preserve"> adresine başvurabilirsiniz.</w:t>
      </w:r>
      <w:r w:rsidRPr="00540BBF">
        <w:t xml:space="preserve"> </w:t>
      </w:r>
    </w:p>
    <w:sectPr w:rsidR="008E1CCE" w:rsidSect="00D322B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5715" w14:textId="77777777" w:rsidR="00A63AE9" w:rsidRDefault="00A63AE9" w:rsidP="00D322B8">
      <w:pPr>
        <w:spacing w:after="0" w:line="240" w:lineRule="auto"/>
      </w:pPr>
      <w:r>
        <w:separator/>
      </w:r>
    </w:p>
  </w:endnote>
  <w:endnote w:type="continuationSeparator" w:id="0">
    <w:p w14:paraId="46C31FA7" w14:textId="77777777" w:rsidR="00A63AE9" w:rsidRDefault="00A63AE9" w:rsidP="00D322B8">
      <w:pPr>
        <w:spacing w:after="0" w:line="240" w:lineRule="auto"/>
      </w:pPr>
      <w:r>
        <w:continuationSeparator/>
      </w:r>
    </w:p>
  </w:endnote>
  <w:endnote w:type="continuationNotice" w:id="1">
    <w:p w14:paraId="57020F56" w14:textId="77777777" w:rsidR="00A63AE9" w:rsidRDefault="00A63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C98F" w14:textId="77777777" w:rsidR="006A2510" w:rsidRDefault="006A25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02E3" w14:textId="77777777" w:rsidR="00A63AE9" w:rsidRDefault="00A63AE9" w:rsidP="00D322B8">
      <w:pPr>
        <w:spacing w:after="0" w:line="240" w:lineRule="auto"/>
      </w:pPr>
      <w:r>
        <w:separator/>
      </w:r>
    </w:p>
  </w:footnote>
  <w:footnote w:type="continuationSeparator" w:id="0">
    <w:p w14:paraId="773ACA9D" w14:textId="77777777" w:rsidR="00A63AE9" w:rsidRDefault="00A63AE9" w:rsidP="00D322B8">
      <w:pPr>
        <w:spacing w:after="0" w:line="240" w:lineRule="auto"/>
      </w:pPr>
      <w:r>
        <w:continuationSeparator/>
      </w:r>
    </w:p>
  </w:footnote>
  <w:footnote w:type="continuationNotice" w:id="1">
    <w:p w14:paraId="1EDD6D41" w14:textId="77777777" w:rsidR="00A63AE9" w:rsidRDefault="00A63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Resim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EB6"/>
    <w:multiLevelType w:val="hybridMultilevel"/>
    <w:tmpl w:val="9B64B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066230">
    <w:abstractNumId w:val="2"/>
  </w:num>
  <w:num w:numId="2" w16cid:durableId="321278680">
    <w:abstractNumId w:val="4"/>
  </w:num>
  <w:num w:numId="3" w16cid:durableId="1036085165">
    <w:abstractNumId w:val="3"/>
  </w:num>
  <w:num w:numId="4" w16cid:durableId="1990211361">
    <w:abstractNumId w:val="5"/>
  </w:num>
  <w:num w:numId="5" w16cid:durableId="1194537580">
    <w:abstractNumId w:val="1"/>
  </w:num>
  <w:num w:numId="6" w16cid:durableId="176476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11454"/>
    <w:rsid w:val="000271D2"/>
    <w:rsid w:val="000344C6"/>
    <w:rsid w:val="00065A4B"/>
    <w:rsid w:val="00073870"/>
    <w:rsid w:val="0008122D"/>
    <w:rsid w:val="000859AF"/>
    <w:rsid w:val="000B037E"/>
    <w:rsid w:val="000C46F9"/>
    <w:rsid w:val="000C4E2B"/>
    <w:rsid w:val="000C5B2E"/>
    <w:rsid w:val="001007D9"/>
    <w:rsid w:val="00113973"/>
    <w:rsid w:val="00113D8D"/>
    <w:rsid w:val="0013228F"/>
    <w:rsid w:val="00137590"/>
    <w:rsid w:val="00147319"/>
    <w:rsid w:val="0017373B"/>
    <w:rsid w:val="00181FEB"/>
    <w:rsid w:val="00191BCB"/>
    <w:rsid w:val="001A11D2"/>
    <w:rsid w:val="001B55F3"/>
    <w:rsid w:val="001C64F9"/>
    <w:rsid w:val="001D7018"/>
    <w:rsid w:val="001E4F15"/>
    <w:rsid w:val="001E6E5B"/>
    <w:rsid w:val="001F682E"/>
    <w:rsid w:val="002228AF"/>
    <w:rsid w:val="0022416D"/>
    <w:rsid w:val="0022721D"/>
    <w:rsid w:val="0027572E"/>
    <w:rsid w:val="00281304"/>
    <w:rsid w:val="00293DA9"/>
    <w:rsid w:val="002A54DC"/>
    <w:rsid w:val="002B1F8C"/>
    <w:rsid w:val="002C1784"/>
    <w:rsid w:val="002C69A1"/>
    <w:rsid w:val="002D584F"/>
    <w:rsid w:val="002E1634"/>
    <w:rsid w:val="002F3948"/>
    <w:rsid w:val="0031765C"/>
    <w:rsid w:val="00320E15"/>
    <w:rsid w:val="0033122E"/>
    <w:rsid w:val="0034608F"/>
    <w:rsid w:val="00371F12"/>
    <w:rsid w:val="00375FBB"/>
    <w:rsid w:val="00376117"/>
    <w:rsid w:val="00376CAF"/>
    <w:rsid w:val="00376E1E"/>
    <w:rsid w:val="00377A44"/>
    <w:rsid w:val="00392BF8"/>
    <w:rsid w:val="00393938"/>
    <w:rsid w:val="003942D8"/>
    <w:rsid w:val="003A7662"/>
    <w:rsid w:val="003B622F"/>
    <w:rsid w:val="003B673F"/>
    <w:rsid w:val="003C439A"/>
    <w:rsid w:val="003C6440"/>
    <w:rsid w:val="003C7904"/>
    <w:rsid w:val="003C7EA2"/>
    <w:rsid w:val="003D7A57"/>
    <w:rsid w:val="003F5B88"/>
    <w:rsid w:val="00401F5B"/>
    <w:rsid w:val="004136C3"/>
    <w:rsid w:val="004270D8"/>
    <w:rsid w:val="0042711F"/>
    <w:rsid w:val="00443895"/>
    <w:rsid w:val="00451B1C"/>
    <w:rsid w:val="0046013E"/>
    <w:rsid w:val="00492F82"/>
    <w:rsid w:val="00493016"/>
    <w:rsid w:val="004A0495"/>
    <w:rsid w:val="004A17A6"/>
    <w:rsid w:val="004A399D"/>
    <w:rsid w:val="004D64F2"/>
    <w:rsid w:val="004F2DB6"/>
    <w:rsid w:val="00511475"/>
    <w:rsid w:val="00511A4F"/>
    <w:rsid w:val="00515CFF"/>
    <w:rsid w:val="00534FA2"/>
    <w:rsid w:val="00544781"/>
    <w:rsid w:val="00551841"/>
    <w:rsid w:val="00551879"/>
    <w:rsid w:val="005547A1"/>
    <w:rsid w:val="00554A60"/>
    <w:rsid w:val="005A0087"/>
    <w:rsid w:val="005B1116"/>
    <w:rsid w:val="005C2E52"/>
    <w:rsid w:val="005C472D"/>
    <w:rsid w:val="005C6118"/>
    <w:rsid w:val="005C7F0D"/>
    <w:rsid w:val="005F0E8D"/>
    <w:rsid w:val="005F5B05"/>
    <w:rsid w:val="005F66E8"/>
    <w:rsid w:val="00606AD7"/>
    <w:rsid w:val="00611493"/>
    <w:rsid w:val="006336D0"/>
    <w:rsid w:val="00641F15"/>
    <w:rsid w:val="006426E7"/>
    <w:rsid w:val="00664709"/>
    <w:rsid w:val="00670ED5"/>
    <w:rsid w:val="00675F0B"/>
    <w:rsid w:val="006840AC"/>
    <w:rsid w:val="00685A79"/>
    <w:rsid w:val="006914F7"/>
    <w:rsid w:val="00691774"/>
    <w:rsid w:val="00693178"/>
    <w:rsid w:val="006950C3"/>
    <w:rsid w:val="006A2510"/>
    <w:rsid w:val="006B5C80"/>
    <w:rsid w:val="006C0CC3"/>
    <w:rsid w:val="006C764C"/>
    <w:rsid w:val="006C7AAF"/>
    <w:rsid w:val="006F7AF2"/>
    <w:rsid w:val="00732F42"/>
    <w:rsid w:val="00737D9D"/>
    <w:rsid w:val="00745D55"/>
    <w:rsid w:val="007462CD"/>
    <w:rsid w:val="00766E69"/>
    <w:rsid w:val="00774FF2"/>
    <w:rsid w:val="00783AE9"/>
    <w:rsid w:val="00784114"/>
    <w:rsid w:val="007B59CD"/>
    <w:rsid w:val="007C5C32"/>
    <w:rsid w:val="007D16C4"/>
    <w:rsid w:val="007D3441"/>
    <w:rsid w:val="007D428A"/>
    <w:rsid w:val="00812B22"/>
    <w:rsid w:val="008264E0"/>
    <w:rsid w:val="00846E63"/>
    <w:rsid w:val="008A0814"/>
    <w:rsid w:val="008A7BC2"/>
    <w:rsid w:val="008B255B"/>
    <w:rsid w:val="008C38A3"/>
    <w:rsid w:val="008D4B37"/>
    <w:rsid w:val="008E1CCE"/>
    <w:rsid w:val="008F5F78"/>
    <w:rsid w:val="008F77A3"/>
    <w:rsid w:val="009073F9"/>
    <w:rsid w:val="00912EF3"/>
    <w:rsid w:val="00914A5F"/>
    <w:rsid w:val="009156C2"/>
    <w:rsid w:val="00917AD1"/>
    <w:rsid w:val="009307A7"/>
    <w:rsid w:val="0093489B"/>
    <w:rsid w:val="00940D8A"/>
    <w:rsid w:val="00946E34"/>
    <w:rsid w:val="0095123B"/>
    <w:rsid w:val="00952D46"/>
    <w:rsid w:val="00955B7B"/>
    <w:rsid w:val="00955D65"/>
    <w:rsid w:val="00960BB3"/>
    <w:rsid w:val="0097526A"/>
    <w:rsid w:val="00990FFA"/>
    <w:rsid w:val="009D1304"/>
    <w:rsid w:val="009D7FBB"/>
    <w:rsid w:val="00A61764"/>
    <w:rsid w:val="00A63AE9"/>
    <w:rsid w:val="00A64CAB"/>
    <w:rsid w:val="00A76CA9"/>
    <w:rsid w:val="00A97A31"/>
    <w:rsid w:val="00AA5D89"/>
    <w:rsid w:val="00AB5A5D"/>
    <w:rsid w:val="00AC4401"/>
    <w:rsid w:val="00AD1559"/>
    <w:rsid w:val="00AD337D"/>
    <w:rsid w:val="00AE5173"/>
    <w:rsid w:val="00AF5D95"/>
    <w:rsid w:val="00B41012"/>
    <w:rsid w:val="00B41214"/>
    <w:rsid w:val="00B412EA"/>
    <w:rsid w:val="00B47104"/>
    <w:rsid w:val="00B639B1"/>
    <w:rsid w:val="00B90A10"/>
    <w:rsid w:val="00B97D91"/>
    <w:rsid w:val="00BA1F99"/>
    <w:rsid w:val="00BA2B2C"/>
    <w:rsid w:val="00BB0308"/>
    <w:rsid w:val="00BB0E6C"/>
    <w:rsid w:val="00BB16FC"/>
    <w:rsid w:val="00BC72CA"/>
    <w:rsid w:val="00BD5E0A"/>
    <w:rsid w:val="00BD7DC2"/>
    <w:rsid w:val="00BE1CA0"/>
    <w:rsid w:val="00BF5F40"/>
    <w:rsid w:val="00C03BF9"/>
    <w:rsid w:val="00C333D6"/>
    <w:rsid w:val="00C36793"/>
    <w:rsid w:val="00C55430"/>
    <w:rsid w:val="00C66C8D"/>
    <w:rsid w:val="00C77633"/>
    <w:rsid w:val="00C80D55"/>
    <w:rsid w:val="00C836CC"/>
    <w:rsid w:val="00C84601"/>
    <w:rsid w:val="00C87E24"/>
    <w:rsid w:val="00C93B6F"/>
    <w:rsid w:val="00CB65E3"/>
    <w:rsid w:val="00CC5814"/>
    <w:rsid w:val="00CE67D2"/>
    <w:rsid w:val="00D14152"/>
    <w:rsid w:val="00D1624B"/>
    <w:rsid w:val="00D16F7C"/>
    <w:rsid w:val="00D322B8"/>
    <w:rsid w:val="00D45DB2"/>
    <w:rsid w:val="00D50691"/>
    <w:rsid w:val="00D65A96"/>
    <w:rsid w:val="00D778F5"/>
    <w:rsid w:val="00DC6FDB"/>
    <w:rsid w:val="00DD1909"/>
    <w:rsid w:val="00DD6E3B"/>
    <w:rsid w:val="00DF1998"/>
    <w:rsid w:val="00DF1D3C"/>
    <w:rsid w:val="00DF3A7E"/>
    <w:rsid w:val="00E10E8D"/>
    <w:rsid w:val="00E253EF"/>
    <w:rsid w:val="00E474F8"/>
    <w:rsid w:val="00E533B4"/>
    <w:rsid w:val="00E57B5B"/>
    <w:rsid w:val="00E6506C"/>
    <w:rsid w:val="00E83E4D"/>
    <w:rsid w:val="00E95096"/>
    <w:rsid w:val="00EA793F"/>
    <w:rsid w:val="00EB668D"/>
    <w:rsid w:val="00ED793F"/>
    <w:rsid w:val="00EE14DE"/>
    <w:rsid w:val="00EE39F8"/>
    <w:rsid w:val="00EF3A67"/>
    <w:rsid w:val="00F00CB2"/>
    <w:rsid w:val="00F14548"/>
    <w:rsid w:val="00F375D1"/>
    <w:rsid w:val="00F569BC"/>
    <w:rsid w:val="00F704C4"/>
    <w:rsid w:val="00FB099A"/>
    <w:rsid w:val="00FC7144"/>
    <w:rsid w:val="00FE4671"/>
    <w:rsid w:val="00FF6C55"/>
    <w:rsid w:val="00FF7D9C"/>
    <w:rsid w:val="02BD7A2E"/>
    <w:rsid w:val="04A32E60"/>
    <w:rsid w:val="0CCC2DFF"/>
    <w:rsid w:val="157284E0"/>
    <w:rsid w:val="2978FB61"/>
    <w:rsid w:val="5C042AE0"/>
    <w:rsid w:val="617E7ED0"/>
    <w:rsid w:val="680C9087"/>
    <w:rsid w:val="75E58A75"/>
    <w:rsid w:val="7AE8D7EE"/>
    <w:rsid w:val="7F562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4A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410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1012"/>
    <w:rPr>
      <w:sz w:val="20"/>
      <w:szCs w:val="20"/>
    </w:rPr>
  </w:style>
  <w:style w:type="character" w:styleId="DipnotBavurusu">
    <w:name w:val="footnote reference"/>
    <w:basedOn w:val="VarsaylanParagrafYazTipi"/>
    <w:uiPriority w:val="99"/>
    <w:semiHidden/>
    <w:unhideWhenUsed/>
    <w:rsid w:val="00B41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kpmg.com/content/dam/kpmg/xx/pdf/2023/03/kpmg-global-economic-outlook-h1-2023-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İlk Öğe ve Tarih" Version="1987"/>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D17C3-D377-4B37-AC3E-455F5C718453}">
  <ds:schemaRefs>
    <ds:schemaRef ds:uri="http://schemas.openxmlformats.org/officeDocument/2006/bibliography"/>
  </ds:schemaRefs>
</ds:datastoreItem>
</file>

<file path=customXml/itemProps2.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1FEA5539-B5DB-4264-8B7E-5662E82D2C61}">
  <ds:schemaRefs>
    <ds:schemaRef ds:uri="http://schemas.microsoft.com/sharepoint/v3/contenttype/forms"/>
  </ds:schemaRefs>
</ds:datastoreItem>
</file>

<file path=customXml/itemProps4.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5974</Characters>
  <Application>Microsoft Office Word</Application>
  <DocSecurity>0</DocSecurity>
  <Lines>49</Lines>
  <Paragraphs>14</Paragraphs>
  <ScaleCrop>false</ScaleCrop>
  <Company>KPMG</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5</cp:revision>
  <dcterms:created xsi:type="dcterms:W3CDTF">2023-04-11T10:57:00Z</dcterms:created>
  <dcterms:modified xsi:type="dcterms:W3CDTF">2023-05-06T06:58:00Z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