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A1C04" w14:textId="77777777" w:rsidR="00AE1357" w:rsidRPr="004964CE" w:rsidRDefault="00AE1357" w:rsidP="00AE1357">
      <w:pPr>
        <w:spacing w:before="100" w:beforeAutospacing="1" w:after="100" w:afterAutospacing="1" w:line="360" w:lineRule="auto"/>
        <w:jc w:val="both"/>
        <w:rPr>
          <w:rFonts w:ascii="Verdana" w:hAnsi="Verdana" w:cs="Times New Roman"/>
          <w:sz w:val="20"/>
          <w:szCs w:val="20"/>
        </w:rPr>
      </w:pPr>
      <w:bookmarkStart w:id="0" w:name="_GoBack"/>
      <w:bookmarkEnd w:id="0"/>
      <w:r w:rsidRPr="004964CE">
        <w:rPr>
          <w:rFonts w:ascii="Verdana" w:hAnsi="Verdana"/>
          <w:b/>
          <w:sz w:val="32"/>
          <w:szCs w:val="20"/>
          <w:u w:val="single"/>
        </w:rPr>
        <w:t>BASIN BÜLTENİ</w:t>
      </w:r>
      <w:r w:rsidRPr="004964CE">
        <w:rPr>
          <w:rFonts w:ascii="Verdana" w:hAnsi="Verdana" w:cs="Times New Roman"/>
          <w:sz w:val="20"/>
          <w:szCs w:val="20"/>
        </w:rPr>
        <w:t xml:space="preserve"> </w:t>
      </w:r>
    </w:p>
    <w:p w14:paraId="48E19986" w14:textId="77777777" w:rsidR="00B24E64" w:rsidRPr="004964CE" w:rsidRDefault="00B24E64" w:rsidP="00AE1357">
      <w:pPr>
        <w:spacing w:before="100" w:beforeAutospacing="1" w:after="100" w:afterAutospacing="1" w:line="360" w:lineRule="auto"/>
        <w:jc w:val="center"/>
        <w:rPr>
          <w:rFonts w:ascii="Verdana" w:hAnsi="Verdana" w:cs="Times New Roman"/>
          <w:b/>
          <w:sz w:val="28"/>
          <w:szCs w:val="20"/>
        </w:rPr>
      </w:pPr>
      <w:r w:rsidRPr="004964CE">
        <w:rPr>
          <w:rFonts w:ascii="Verdana" w:hAnsi="Verdana" w:cs="Times New Roman"/>
          <w:b/>
          <w:sz w:val="28"/>
          <w:szCs w:val="20"/>
        </w:rPr>
        <w:t>AstraZeneca Türkiye, Balıkesir’de sağlıklı nefesler çoğalsın diye “Solunum Ormanı” kuruyor</w:t>
      </w:r>
    </w:p>
    <w:p w14:paraId="11CB7BE1" w14:textId="76E90378" w:rsidR="00F54ED2" w:rsidRPr="004964CE" w:rsidRDefault="003D021E" w:rsidP="00F54ED2">
      <w:pPr>
        <w:spacing w:line="360" w:lineRule="auto"/>
        <w:jc w:val="center"/>
        <w:rPr>
          <w:rFonts w:ascii="Verdana" w:hAnsi="Verdana" w:cs="Arial"/>
          <w:b/>
          <w:sz w:val="24"/>
          <w:szCs w:val="24"/>
        </w:rPr>
      </w:pPr>
      <w:r w:rsidRPr="004964CE">
        <w:rPr>
          <w:rFonts w:ascii="Verdana" w:hAnsi="Verdana" w:cs="Arial"/>
          <w:b/>
          <w:sz w:val="24"/>
          <w:szCs w:val="24"/>
        </w:rPr>
        <w:t xml:space="preserve">Astım ve KOAH tedavisinde 15 yılı geride bırakan </w:t>
      </w:r>
      <w:r w:rsidR="004D30D3" w:rsidRPr="004964CE">
        <w:rPr>
          <w:rFonts w:ascii="Verdana" w:hAnsi="Verdana" w:cs="Arial"/>
          <w:b/>
          <w:sz w:val="24"/>
          <w:szCs w:val="24"/>
        </w:rPr>
        <w:t xml:space="preserve">AstraZeneca Türkiye, </w:t>
      </w:r>
      <w:r w:rsidRPr="004964CE">
        <w:rPr>
          <w:rFonts w:ascii="Verdana" w:hAnsi="Verdana" w:cs="Arial"/>
          <w:b/>
          <w:sz w:val="24"/>
          <w:szCs w:val="24"/>
        </w:rPr>
        <w:t xml:space="preserve">Symbicort lansmanının 15’inci yılı vesilesiyle </w:t>
      </w:r>
      <w:r w:rsidR="004D30D3" w:rsidRPr="004964CE">
        <w:rPr>
          <w:rFonts w:ascii="Verdana" w:hAnsi="Verdana" w:cs="Times New Roman"/>
          <w:b/>
          <w:sz w:val="24"/>
          <w:szCs w:val="24"/>
        </w:rPr>
        <w:t>Balıkesir’de</w:t>
      </w:r>
      <w:r w:rsidR="004D30D3" w:rsidRPr="004964CE">
        <w:rPr>
          <w:rFonts w:ascii="Verdana" w:hAnsi="Verdana" w:cs="Arial"/>
          <w:b/>
          <w:sz w:val="24"/>
          <w:szCs w:val="24"/>
        </w:rPr>
        <w:t xml:space="preserve"> 5.500 ağaçlık bir hatıra ormanı oluşturmak için harekete geçti.</w:t>
      </w:r>
      <w:r w:rsidR="007623FE" w:rsidRPr="004964CE">
        <w:rPr>
          <w:rFonts w:ascii="Verdana" w:hAnsi="Verdana" w:cs="Arial"/>
          <w:b/>
          <w:sz w:val="24"/>
          <w:szCs w:val="24"/>
          <w:vertAlign w:val="superscript"/>
        </w:rPr>
        <w:t>1</w:t>
      </w:r>
      <w:r w:rsidR="004D30D3" w:rsidRPr="004964CE">
        <w:rPr>
          <w:rFonts w:ascii="Verdana" w:hAnsi="Verdana" w:cs="Arial"/>
          <w:b/>
          <w:sz w:val="24"/>
          <w:szCs w:val="24"/>
        </w:rPr>
        <w:t xml:space="preserve"> TEMA Vakfı </w:t>
      </w:r>
      <w:r w:rsidR="006514B9">
        <w:rPr>
          <w:rFonts w:ascii="Verdana" w:hAnsi="Verdana" w:cs="Arial"/>
          <w:b/>
          <w:sz w:val="24"/>
          <w:szCs w:val="24"/>
        </w:rPr>
        <w:t>aracılığıyla</w:t>
      </w:r>
      <w:r w:rsidR="006514B9" w:rsidRPr="004964CE">
        <w:rPr>
          <w:rFonts w:ascii="Verdana" w:hAnsi="Verdana" w:cs="Arial"/>
          <w:b/>
          <w:sz w:val="24"/>
          <w:szCs w:val="24"/>
        </w:rPr>
        <w:t xml:space="preserve"> </w:t>
      </w:r>
      <w:r w:rsidR="00EC03A2" w:rsidRPr="004964CE">
        <w:rPr>
          <w:rFonts w:ascii="Verdana" w:hAnsi="Verdana" w:cs="Arial"/>
          <w:b/>
          <w:sz w:val="24"/>
          <w:szCs w:val="24"/>
        </w:rPr>
        <w:t>bu sonbaharda ilk fidanın</w:t>
      </w:r>
      <w:r w:rsidR="004D30D3" w:rsidRPr="004964CE">
        <w:rPr>
          <w:rFonts w:ascii="Verdana" w:hAnsi="Verdana" w:cs="Arial"/>
          <w:b/>
          <w:sz w:val="24"/>
          <w:szCs w:val="24"/>
        </w:rPr>
        <w:t xml:space="preserve"> toprakla buluşturulacağı AstraZeneca </w:t>
      </w:r>
      <w:r w:rsidR="000E5F6C">
        <w:rPr>
          <w:rFonts w:ascii="Verdana" w:hAnsi="Verdana" w:cs="Arial"/>
          <w:b/>
          <w:sz w:val="24"/>
          <w:szCs w:val="24"/>
        </w:rPr>
        <w:t xml:space="preserve">Solunum </w:t>
      </w:r>
      <w:r w:rsidR="004D30D3" w:rsidRPr="004964CE">
        <w:rPr>
          <w:rFonts w:ascii="Verdana" w:hAnsi="Verdana" w:cs="Arial"/>
          <w:b/>
          <w:sz w:val="24"/>
          <w:szCs w:val="24"/>
        </w:rPr>
        <w:t xml:space="preserve">Hatıra Ormanı’ndaki fidanlar gelişip orman vasfı kazandığında </w:t>
      </w:r>
      <w:r w:rsidR="00381A70">
        <w:rPr>
          <w:rFonts w:ascii="Verdana" w:hAnsi="Verdana" w:cs="Arial"/>
          <w:b/>
          <w:sz w:val="24"/>
          <w:szCs w:val="24"/>
        </w:rPr>
        <w:t>35 yılda yaklaşık 600 ton oksijen üretecek ve yılda 123 tona yakın tozu süzecek</w:t>
      </w:r>
      <w:r w:rsidR="004D30D3" w:rsidRPr="004964CE">
        <w:rPr>
          <w:rFonts w:ascii="Verdana" w:hAnsi="Verdana" w:cs="Arial"/>
          <w:b/>
          <w:sz w:val="24"/>
          <w:szCs w:val="24"/>
        </w:rPr>
        <w:t xml:space="preserve">. 400’ü aşkın kadrosuyla, 1999 yılından bu yana Türkiye’de faaliyet gösteren </w:t>
      </w:r>
      <w:r w:rsidR="004D30D3" w:rsidRPr="004964CE">
        <w:rPr>
          <w:rFonts w:ascii="Verdana" w:hAnsi="Verdana"/>
          <w:b/>
          <w:sz w:val="24"/>
          <w:szCs w:val="24"/>
        </w:rPr>
        <w:t>AstraZeneca</w:t>
      </w:r>
      <w:r w:rsidR="006F58B7" w:rsidRPr="004964CE">
        <w:rPr>
          <w:rFonts w:ascii="Verdana" w:hAnsi="Verdana"/>
          <w:b/>
          <w:sz w:val="24"/>
          <w:szCs w:val="24"/>
        </w:rPr>
        <w:t xml:space="preserve"> Türkiye</w:t>
      </w:r>
      <w:r w:rsidR="00EC03A2" w:rsidRPr="004964CE">
        <w:rPr>
          <w:rFonts w:ascii="Verdana" w:hAnsi="Verdana" w:cs="Arial"/>
          <w:b/>
          <w:sz w:val="24"/>
          <w:szCs w:val="24"/>
        </w:rPr>
        <w:t xml:space="preserve">’nin </w:t>
      </w:r>
      <w:r w:rsidR="004D30D3" w:rsidRPr="004964CE">
        <w:rPr>
          <w:rFonts w:ascii="Verdana" w:hAnsi="Verdana" w:cs="Arial"/>
          <w:b/>
          <w:sz w:val="24"/>
          <w:szCs w:val="24"/>
        </w:rPr>
        <w:t>Ülke Başkanı Serkan Barış, “</w:t>
      </w:r>
      <w:r w:rsidR="004535CB" w:rsidRPr="004964CE">
        <w:rPr>
          <w:rFonts w:ascii="Verdana" w:hAnsi="Verdana" w:cs="Arial"/>
          <w:b/>
          <w:sz w:val="24"/>
          <w:szCs w:val="24"/>
        </w:rPr>
        <w:t>Dün ve bugün olduğu gibi, yarın da sağlıkla alınan her nefes</w:t>
      </w:r>
      <w:r w:rsidR="00F54ED2" w:rsidRPr="004964CE">
        <w:rPr>
          <w:rFonts w:ascii="Verdana" w:hAnsi="Verdana" w:cs="Arial"/>
          <w:b/>
          <w:sz w:val="24"/>
          <w:szCs w:val="24"/>
        </w:rPr>
        <w:t>in bir parçası olmak için çalışmaya devam edeceğiz”</w:t>
      </w:r>
      <w:r w:rsidR="004D30D3" w:rsidRPr="004964CE">
        <w:rPr>
          <w:rFonts w:ascii="Verdana" w:hAnsi="Verdana" w:cs="Arial"/>
          <w:b/>
          <w:sz w:val="24"/>
          <w:szCs w:val="24"/>
        </w:rPr>
        <w:t xml:space="preserve"> </w:t>
      </w:r>
      <w:r w:rsidR="004D30D3" w:rsidRPr="004964CE">
        <w:rPr>
          <w:rFonts w:ascii="Verdana" w:hAnsi="Verdana"/>
          <w:b/>
          <w:sz w:val="24"/>
          <w:szCs w:val="24"/>
        </w:rPr>
        <w:t>dedi.</w:t>
      </w:r>
    </w:p>
    <w:p w14:paraId="465C242E" w14:textId="77777777" w:rsidR="00F54ED2" w:rsidRPr="004964CE" w:rsidRDefault="00F54ED2" w:rsidP="00F54ED2">
      <w:pPr>
        <w:spacing w:line="360" w:lineRule="auto"/>
      </w:pPr>
    </w:p>
    <w:p w14:paraId="57E4D073" w14:textId="43647643" w:rsidR="006F58B7" w:rsidRPr="004964CE" w:rsidRDefault="003D021E" w:rsidP="003D021E">
      <w:pPr>
        <w:spacing w:line="360" w:lineRule="auto"/>
        <w:jc w:val="both"/>
        <w:rPr>
          <w:rFonts w:eastAsia="Calibri" w:cs="Times New Roman"/>
          <w:sz w:val="21"/>
          <w:szCs w:val="21"/>
          <w:vertAlign w:val="superscript"/>
          <w:lang w:eastAsia="tr-TR" w:bidi="tr-TR"/>
        </w:rPr>
      </w:pPr>
      <w:r w:rsidRPr="004964CE">
        <w:rPr>
          <w:rFonts w:ascii="Verdana" w:hAnsi="Verdana" w:cs="Arial"/>
          <w:bCs/>
          <w:sz w:val="20"/>
          <w:szCs w:val="20"/>
        </w:rPr>
        <w:t xml:space="preserve">Solunum hastalıklarının tedavisine yönelik güçlü portföyünden illham alan </w:t>
      </w:r>
      <w:r w:rsidR="00F54ED2" w:rsidRPr="004964CE">
        <w:rPr>
          <w:rFonts w:ascii="Verdana" w:hAnsi="Verdana" w:cs="Arial"/>
          <w:bCs/>
          <w:sz w:val="20"/>
          <w:szCs w:val="20"/>
        </w:rPr>
        <w:t xml:space="preserve">AstraZeneca Türkiye, geçtiğimiz aylarda Riva’da oluşturduğu 10.000 ağaçlık hatıra ormanından sonra, şimdi de Balıkesir’de </w:t>
      </w:r>
      <w:r w:rsidR="00B17BE5" w:rsidRPr="004964CE">
        <w:rPr>
          <w:rFonts w:ascii="Verdana" w:hAnsi="Verdana" w:cs="Arial"/>
          <w:bCs/>
          <w:sz w:val="20"/>
          <w:szCs w:val="20"/>
        </w:rPr>
        <w:t xml:space="preserve">TEMA Vakfı </w:t>
      </w:r>
      <w:r w:rsidR="00B17BE5">
        <w:rPr>
          <w:rFonts w:ascii="Verdana" w:hAnsi="Verdana" w:cs="Arial"/>
          <w:bCs/>
          <w:sz w:val="20"/>
          <w:szCs w:val="20"/>
        </w:rPr>
        <w:t xml:space="preserve">aracılığıyla </w:t>
      </w:r>
      <w:r w:rsidR="00F54ED2" w:rsidRPr="004964CE">
        <w:rPr>
          <w:rFonts w:ascii="Verdana" w:hAnsi="Verdana" w:cs="Arial"/>
          <w:bCs/>
          <w:sz w:val="20"/>
          <w:szCs w:val="20"/>
        </w:rPr>
        <w:t>5.500 ağaçlık bir hatıra ormanı oluştur</w:t>
      </w:r>
      <w:r w:rsidR="00B17BE5">
        <w:rPr>
          <w:rFonts w:ascii="Verdana" w:hAnsi="Verdana" w:cs="Arial"/>
          <w:bCs/>
          <w:sz w:val="20"/>
          <w:szCs w:val="20"/>
        </w:rPr>
        <w:t>acak.</w:t>
      </w:r>
      <w:r w:rsidR="008516F9">
        <w:rPr>
          <w:rFonts w:ascii="Verdana" w:hAnsi="Verdana" w:cs="Arial"/>
          <w:bCs/>
          <w:sz w:val="20"/>
          <w:szCs w:val="20"/>
        </w:rPr>
        <w:t xml:space="preserve"> </w:t>
      </w:r>
      <w:r w:rsidRPr="004964CE">
        <w:rPr>
          <w:rFonts w:ascii="Verdana" w:hAnsi="Verdana" w:cs="Arial"/>
          <w:bCs/>
          <w:sz w:val="20"/>
          <w:szCs w:val="20"/>
        </w:rPr>
        <w:t>Symbicort’un lansmanının 15’</w:t>
      </w:r>
      <w:r w:rsidR="005B57B6">
        <w:rPr>
          <w:rFonts w:ascii="Verdana" w:hAnsi="Verdana" w:cs="Arial"/>
          <w:bCs/>
          <w:sz w:val="20"/>
          <w:szCs w:val="20"/>
        </w:rPr>
        <w:t>i</w:t>
      </w:r>
      <w:r w:rsidRPr="004964CE">
        <w:rPr>
          <w:rFonts w:ascii="Verdana" w:hAnsi="Verdana" w:cs="Arial"/>
          <w:bCs/>
          <w:sz w:val="20"/>
          <w:szCs w:val="20"/>
        </w:rPr>
        <w:t>nci yılını ölümsüzleştirmek için kurulacak “AstraZe</w:t>
      </w:r>
      <w:r w:rsidR="00EC03A2" w:rsidRPr="004964CE">
        <w:rPr>
          <w:rFonts w:ascii="Verdana" w:hAnsi="Verdana" w:cs="Arial"/>
          <w:bCs/>
          <w:sz w:val="20"/>
          <w:szCs w:val="20"/>
        </w:rPr>
        <w:t>neca Solunum Hatıra Ormanı” ile</w:t>
      </w:r>
      <w:r w:rsidR="006F58B7" w:rsidRPr="004964CE">
        <w:rPr>
          <w:rFonts w:ascii="Verdana" w:hAnsi="Verdana" w:cs="Arial"/>
          <w:bCs/>
          <w:sz w:val="20"/>
          <w:szCs w:val="20"/>
        </w:rPr>
        <w:t xml:space="preserve"> AstraZeneca</w:t>
      </w:r>
      <w:r w:rsidRPr="004964CE">
        <w:rPr>
          <w:rFonts w:ascii="Verdana" w:hAnsi="Verdana" w:cs="Arial"/>
          <w:bCs/>
          <w:sz w:val="20"/>
          <w:szCs w:val="20"/>
        </w:rPr>
        <w:t>,</w:t>
      </w:r>
      <w:r w:rsidR="006F58B7" w:rsidRPr="004964CE">
        <w:rPr>
          <w:rFonts w:ascii="Verdana" w:hAnsi="Verdana" w:cs="Arial"/>
          <w:bCs/>
          <w:sz w:val="20"/>
          <w:szCs w:val="20"/>
        </w:rPr>
        <w:t xml:space="preserve"> global olarak taahhüt ettiği “sürdürülebilirlik” hedefi doğrultusunda bir adım daha atmış oldu. Aynı zamanda faaliyetlerindeki enerji ve yakıt verimliliğini iyileştirerek ve fosil yakıtlar yerine düşük karbonlu alternatifler arayarak sera gazı sal</w:t>
      </w:r>
      <w:r w:rsidR="002D6B0C" w:rsidRPr="004964CE">
        <w:rPr>
          <w:rFonts w:ascii="Verdana" w:hAnsi="Verdana" w:cs="Arial"/>
          <w:bCs/>
          <w:sz w:val="20"/>
          <w:szCs w:val="20"/>
        </w:rPr>
        <w:t>ı</w:t>
      </w:r>
      <w:r w:rsidR="006F58B7" w:rsidRPr="004964CE">
        <w:rPr>
          <w:rFonts w:ascii="Verdana" w:hAnsi="Verdana" w:cs="Arial"/>
          <w:bCs/>
          <w:sz w:val="20"/>
          <w:szCs w:val="20"/>
        </w:rPr>
        <w:t>mını da düşürmeye çalışan AstraZeneca, 2015 boyunca hava ve karayolu seyahati ve yük taşımacılığından kaynaklana</w:t>
      </w:r>
      <w:r w:rsidR="00F455D3" w:rsidRPr="004964CE">
        <w:rPr>
          <w:rFonts w:ascii="Verdana" w:hAnsi="Verdana" w:cs="Arial"/>
          <w:bCs/>
          <w:sz w:val="20"/>
          <w:szCs w:val="20"/>
        </w:rPr>
        <w:t>n sal</w:t>
      </w:r>
      <w:r w:rsidR="002D6B0C" w:rsidRPr="004964CE">
        <w:rPr>
          <w:rFonts w:ascii="Verdana" w:hAnsi="Verdana" w:cs="Arial"/>
          <w:bCs/>
          <w:sz w:val="20"/>
          <w:szCs w:val="20"/>
        </w:rPr>
        <w:t>ı</w:t>
      </w:r>
      <w:r w:rsidR="006F58B7" w:rsidRPr="004964CE">
        <w:rPr>
          <w:rFonts w:ascii="Verdana" w:hAnsi="Verdana" w:cs="Arial"/>
          <w:bCs/>
          <w:sz w:val="20"/>
          <w:szCs w:val="20"/>
        </w:rPr>
        <w:t>mı</w:t>
      </w:r>
      <w:r w:rsidR="00F455D3" w:rsidRPr="004964CE">
        <w:rPr>
          <w:rFonts w:ascii="Verdana" w:hAnsi="Verdana" w:cs="Arial"/>
          <w:bCs/>
          <w:sz w:val="20"/>
          <w:szCs w:val="20"/>
        </w:rPr>
        <w:t xml:space="preserve">nı </w:t>
      </w:r>
      <w:r w:rsidR="006F58B7" w:rsidRPr="004964CE">
        <w:rPr>
          <w:rFonts w:ascii="Verdana" w:hAnsi="Verdana" w:cs="Arial"/>
          <w:bCs/>
          <w:sz w:val="20"/>
          <w:szCs w:val="20"/>
        </w:rPr>
        <w:t xml:space="preserve">önemli derecede </w:t>
      </w:r>
      <w:r w:rsidR="00F455D3" w:rsidRPr="004964CE">
        <w:rPr>
          <w:rFonts w:ascii="Verdana" w:hAnsi="Verdana" w:cs="Arial"/>
          <w:bCs/>
          <w:sz w:val="20"/>
          <w:szCs w:val="20"/>
        </w:rPr>
        <w:t xml:space="preserve">azalttı ve </w:t>
      </w:r>
      <w:r w:rsidR="006F58B7" w:rsidRPr="004964CE">
        <w:rPr>
          <w:rFonts w:ascii="Verdana" w:hAnsi="Verdana" w:cs="Arial"/>
          <w:bCs/>
          <w:sz w:val="20"/>
          <w:szCs w:val="20"/>
        </w:rPr>
        <w:t>yenilenebilir kaynaklar</w:t>
      </w:r>
      <w:r w:rsidR="00F455D3" w:rsidRPr="004964CE">
        <w:rPr>
          <w:rFonts w:ascii="Verdana" w:hAnsi="Verdana" w:cs="Arial"/>
          <w:bCs/>
          <w:sz w:val="20"/>
          <w:szCs w:val="20"/>
        </w:rPr>
        <w:t>ın enerji tüketimindeki payını %6,1'e</w:t>
      </w:r>
      <w:r w:rsidR="006F58B7" w:rsidRPr="004964CE">
        <w:rPr>
          <w:rFonts w:ascii="Verdana" w:hAnsi="Verdana" w:cs="Arial"/>
          <w:bCs/>
          <w:sz w:val="20"/>
          <w:szCs w:val="20"/>
        </w:rPr>
        <w:t xml:space="preserve"> yüksel</w:t>
      </w:r>
      <w:r w:rsidR="00F455D3" w:rsidRPr="004964CE">
        <w:rPr>
          <w:rFonts w:ascii="Verdana" w:hAnsi="Verdana" w:cs="Arial"/>
          <w:bCs/>
          <w:sz w:val="20"/>
          <w:szCs w:val="20"/>
        </w:rPr>
        <w:t>tt</w:t>
      </w:r>
      <w:r w:rsidR="006F58B7" w:rsidRPr="004964CE">
        <w:rPr>
          <w:rFonts w:ascii="Verdana" w:hAnsi="Verdana" w:cs="Arial"/>
          <w:bCs/>
          <w:sz w:val="20"/>
          <w:szCs w:val="20"/>
        </w:rPr>
        <w:t>i.</w:t>
      </w:r>
      <w:r w:rsidR="007623FE" w:rsidRPr="004964CE">
        <w:rPr>
          <w:rFonts w:ascii="Verdana" w:hAnsi="Verdana" w:cs="Arial"/>
          <w:bCs/>
          <w:sz w:val="20"/>
          <w:szCs w:val="20"/>
          <w:vertAlign w:val="superscript"/>
        </w:rPr>
        <w:t>2</w:t>
      </w:r>
    </w:p>
    <w:p w14:paraId="001DC085" w14:textId="77777777" w:rsidR="006F58B7" w:rsidRPr="004964CE" w:rsidRDefault="006F58B7" w:rsidP="00F54ED2">
      <w:pPr>
        <w:spacing w:line="360" w:lineRule="auto"/>
        <w:jc w:val="both"/>
        <w:rPr>
          <w:rFonts w:ascii="Verdana" w:hAnsi="Verdana" w:cs="Arial"/>
          <w:bCs/>
          <w:sz w:val="20"/>
          <w:szCs w:val="20"/>
        </w:rPr>
      </w:pPr>
    </w:p>
    <w:p w14:paraId="106F61A5" w14:textId="088571B1" w:rsidR="00B24E64" w:rsidRPr="004964CE" w:rsidRDefault="00F455D3" w:rsidP="003D021E">
      <w:pPr>
        <w:spacing w:line="360" w:lineRule="auto"/>
        <w:jc w:val="both"/>
      </w:pPr>
      <w:r w:rsidRPr="004964CE">
        <w:rPr>
          <w:rFonts w:ascii="Verdana" w:hAnsi="Verdana" w:cs="Arial"/>
          <w:bCs/>
          <w:sz w:val="20"/>
          <w:szCs w:val="20"/>
        </w:rPr>
        <w:t>AstraZeneca Türkiye Ülke Başkanı Serkan Barış şunları söyledi: “</w:t>
      </w:r>
      <w:r w:rsidR="00EC03A2" w:rsidRPr="004964CE">
        <w:rPr>
          <w:rFonts w:ascii="Verdana" w:hAnsi="Verdana" w:cs="Arial"/>
          <w:bCs/>
          <w:sz w:val="20"/>
          <w:szCs w:val="20"/>
        </w:rPr>
        <w:t>Oluşturduğumuz b</w:t>
      </w:r>
      <w:r w:rsidR="003D021E" w:rsidRPr="004964CE">
        <w:rPr>
          <w:rFonts w:ascii="Verdana" w:hAnsi="Verdana" w:cs="Arial"/>
          <w:bCs/>
          <w:sz w:val="20"/>
          <w:szCs w:val="20"/>
        </w:rPr>
        <w:t xml:space="preserve">u hatıra ormanıyla hem güçlü solunum portföyümüzü ve Symbicort’un 15’inci yılını ölümsüzleştirmek hem de bu yolda bizi yalnız bırakmayan </w:t>
      </w:r>
      <w:r w:rsidR="00EC03A2" w:rsidRPr="004964CE">
        <w:rPr>
          <w:rFonts w:ascii="Verdana" w:hAnsi="Verdana" w:cs="Arial"/>
          <w:bCs/>
          <w:sz w:val="20"/>
          <w:szCs w:val="20"/>
        </w:rPr>
        <w:t>paydaşlarımız</w:t>
      </w:r>
      <w:r w:rsidR="003D021E" w:rsidRPr="004964CE">
        <w:rPr>
          <w:rFonts w:ascii="Verdana" w:hAnsi="Verdana" w:cs="Arial"/>
          <w:bCs/>
          <w:sz w:val="20"/>
          <w:szCs w:val="20"/>
        </w:rPr>
        <w:t>, çalışanlarımız ve tüm Türkiye için anlamlı ve sürdürülebilir bir proje</w:t>
      </w:r>
      <w:r w:rsidR="00EC03A2" w:rsidRPr="004964CE">
        <w:rPr>
          <w:rFonts w:ascii="Verdana" w:hAnsi="Verdana" w:cs="Arial"/>
          <w:bCs/>
          <w:sz w:val="20"/>
          <w:szCs w:val="20"/>
        </w:rPr>
        <w:t>ye imza atmak</w:t>
      </w:r>
      <w:r w:rsidR="003D021E" w:rsidRPr="004964CE">
        <w:rPr>
          <w:rFonts w:ascii="Verdana" w:hAnsi="Verdana" w:cs="Arial"/>
          <w:bCs/>
          <w:sz w:val="20"/>
          <w:szCs w:val="20"/>
        </w:rPr>
        <w:t xml:space="preserve"> istedik. </w:t>
      </w:r>
      <w:r w:rsidR="00F54ED2" w:rsidRPr="004964CE">
        <w:rPr>
          <w:rFonts w:ascii="Verdana" w:hAnsi="Verdana" w:cs="Arial"/>
          <w:bCs/>
          <w:sz w:val="20"/>
          <w:szCs w:val="20"/>
        </w:rPr>
        <w:t xml:space="preserve">AstraZeneca </w:t>
      </w:r>
      <w:r w:rsidRPr="004964CE">
        <w:rPr>
          <w:rFonts w:ascii="Verdana" w:hAnsi="Verdana" w:cs="Arial"/>
          <w:bCs/>
          <w:sz w:val="20"/>
          <w:szCs w:val="20"/>
        </w:rPr>
        <w:t xml:space="preserve">olarak </w:t>
      </w:r>
      <w:r w:rsidR="00F54ED2" w:rsidRPr="004964CE">
        <w:rPr>
          <w:rFonts w:ascii="Verdana" w:hAnsi="Verdana" w:cs="Arial"/>
          <w:bCs/>
          <w:sz w:val="20"/>
          <w:szCs w:val="20"/>
        </w:rPr>
        <w:t xml:space="preserve">bir yandan bilimin </w:t>
      </w:r>
      <w:r w:rsidR="00F54ED2" w:rsidRPr="004964CE">
        <w:rPr>
          <w:rFonts w:ascii="Verdana" w:hAnsi="Verdana" w:cs="Arial"/>
          <w:bCs/>
          <w:sz w:val="20"/>
          <w:szCs w:val="20"/>
        </w:rPr>
        <w:lastRenderedPageBreak/>
        <w:t>sınırlarını zorlayarak yaşama değer katan ilaçları keşfetmek ve ihtiyaç sahiplerine ulaştırmak için çalışırken, bir yandan da faaliyetleri</w:t>
      </w:r>
      <w:r w:rsidRPr="004964CE">
        <w:rPr>
          <w:rFonts w:ascii="Verdana" w:hAnsi="Verdana" w:cs="Arial"/>
          <w:bCs/>
          <w:sz w:val="20"/>
          <w:szCs w:val="20"/>
        </w:rPr>
        <w:t>miz</w:t>
      </w:r>
      <w:r w:rsidR="00F54ED2" w:rsidRPr="004964CE">
        <w:rPr>
          <w:rFonts w:ascii="Verdana" w:hAnsi="Verdana" w:cs="Arial"/>
          <w:bCs/>
          <w:sz w:val="20"/>
          <w:szCs w:val="20"/>
        </w:rPr>
        <w:t xml:space="preserve">in çevre ve doğal </w:t>
      </w:r>
      <w:r w:rsidR="009E728D">
        <w:rPr>
          <w:rFonts w:ascii="Verdana" w:hAnsi="Verdana" w:cs="Arial"/>
          <w:bCs/>
          <w:sz w:val="20"/>
          <w:szCs w:val="20"/>
        </w:rPr>
        <w:t>varlık</w:t>
      </w:r>
      <w:r w:rsidR="009E728D" w:rsidRPr="004964CE">
        <w:rPr>
          <w:rFonts w:ascii="Verdana" w:hAnsi="Verdana" w:cs="Arial"/>
          <w:bCs/>
          <w:sz w:val="20"/>
          <w:szCs w:val="20"/>
        </w:rPr>
        <w:t xml:space="preserve">lar </w:t>
      </w:r>
      <w:r w:rsidR="00F54ED2" w:rsidRPr="004964CE">
        <w:rPr>
          <w:rFonts w:ascii="Verdana" w:hAnsi="Verdana" w:cs="Arial"/>
          <w:bCs/>
          <w:sz w:val="20"/>
          <w:szCs w:val="20"/>
        </w:rPr>
        <w:t>üzerinde olumsuz etkiler yaratmaması için en büyük çabayı göstermeye devam ediyor</w:t>
      </w:r>
      <w:r w:rsidRPr="004964CE">
        <w:rPr>
          <w:rFonts w:ascii="Verdana" w:hAnsi="Verdana" w:cs="Arial"/>
          <w:bCs/>
          <w:sz w:val="20"/>
          <w:szCs w:val="20"/>
        </w:rPr>
        <w:t>uz</w:t>
      </w:r>
      <w:r w:rsidR="00F54ED2" w:rsidRPr="004964CE">
        <w:rPr>
          <w:rFonts w:ascii="Verdana" w:hAnsi="Verdana" w:cs="Arial"/>
          <w:bCs/>
          <w:sz w:val="20"/>
          <w:szCs w:val="20"/>
        </w:rPr>
        <w:t>.</w:t>
      </w:r>
      <w:r w:rsidRPr="004964CE">
        <w:rPr>
          <w:rFonts w:ascii="Verdana" w:hAnsi="Verdana" w:cs="Arial"/>
          <w:bCs/>
          <w:sz w:val="20"/>
          <w:szCs w:val="20"/>
        </w:rPr>
        <w:t xml:space="preserve"> Şimdi de, solunum konusundaki geniş portföyümüzden aldığımız güçle, </w:t>
      </w:r>
      <w:r w:rsidR="00B24E64" w:rsidRPr="004964CE">
        <w:rPr>
          <w:rFonts w:ascii="Verdana" w:hAnsi="Verdana" w:cs="Arial"/>
          <w:bCs/>
          <w:sz w:val="20"/>
          <w:szCs w:val="20"/>
        </w:rPr>
        <w:t xml:space="preserve">sağlıklı nefesler çoğalsın diye TEMA Vakfı </w:t>
      </w:r>
      <w:r w:rsidR="00FA4055">
        <w:rPr>
          <w:rFonts w:ascii="Verdana" w:hAnsi="Verdana" w:cs="Arial"/>
          <w:bCs/>
          <w:sz w:val="20"/>
          <w:szCs w:val="20"/>
        </w:rPr>
        <w:t>aracılığıyla</w:t>
      </w:r>
      <w:r w:rsidR="00B24E64" w:rsidRPr="004964CE">
        <w:rPr>
          <w:rFonts w:ascii="Verdana" w:hAnsi="Verdana" w:cs="Arial"/>
          <w:bCs/>
          <w:sz w:val="20"/>
          <w:szCs w:val="20"/>
        </w:rPr>
        <w:t xml:space="preserve"> Balıkesir’de Ast</w:t>
      </w:r>
      <w:r w:rsidRPr="004964CE">
        <w:rPr>
          <w:rFonts w:ascii="Verdana" w:hAnsi="Verdana" w:cs="Arial"/>
          <w:bCs/>
          <w:sz w:val="20"/>
          <w:szCs w:val="20"/>
        </w:rPr>
        <w:t xml:space="preserve">raZeneca Solunum Hatıra </w:t>
      </w:r>
      <w:r w:rsidR="006D5FF5">
        <w:rPr>
          <w:rFonts w:ascii="Verdana" w:hAnsi="Verdana" w:cs="Arial"/>
          <w:bCs/>
          <w:sz w:val="20"/>
          <w:szCs w:val="20"/>
        </w:rPr>
        <w:t>O</w:t>
      </w:r>
      <w:r w:rsidRPr="004964CE">
        <w:rPr>
          <w:rFonts w:ascii="Verdana" w:hAnsi="Verdana" w:cs="Arial"/>
          <w:bCs/>
          <w:sz w:val="20"/>
          <w:szCs w:val="20"/>
        </w:rPr>
        <w:t>rmanı</w:t>
      </w:r>
      <w:r w:rsidR="006D5FF5">
        <w:rPr>
          <w:rFonts w:ascii="Verdana" w:hAnsi="Verdana" w:cs="Arial"/>
          <w:bCs/>
          <w:sz w:val="20"/>
          <w:szCs w:val="20"/>
        </w:rPr>
        <w:t>’</w:t>
      </w:r>
      <w:r w:rsidRPr="004964CE">
        <w:rPr>
          <w:rFonts w:ascii="Verdana" w:hAnsi="Verdana" w:cs="Arial"/>
          <w:bCs/>
          <w:sz w:val="20"/>
          <w:szCs w:val="20"/>
        </w:rPr>
        <w:t>nı kurmak için harekete geçtik</w:t>
      </w:r>
      <w:r w:rsidR="00B24E64" w:rsidRPr="004964CE">
        <w:rPr>
          <w:rFonts w:ascii="Verdana" w:hAnsi="Verdana" w:cs="Arial"/>
          <w:bCs/>
          <w:sz w:val="20"/>
          <w:szCs w:val="20"/>
        </w:rPr>
        <w:t>.</w:t>
      </w:r>
      <w:r w:rsidR="00E12118" w:rsidRPr="004964CE">
        <w:rPr>
          <w:rFonts w:ascii="Verdana" w:hAnsi="Verdana" w:cs="Arial"/>
          <w:bCs/>
          <w:sz w:val="20"/>
          <w:szCs w:val="20"/>
        </w:rPr>
        <w:t xml:space="preserve"> </w:t>
      </w:r>
      <w:r w:rsidR="00E12118" w:rsidRPr="004964CE">
        <w:rPr>
          <w:rFonts w:ascii="Verdana" w:hAnsi="Verdana"/>
          <w:sz w:val="20"/>
          <w:szCs w:val="20"/>
        </w:rPr>
        <w:t xml:space="preserve">Tüm faaliyetlerimizi çevresel sürdürülebilirliği, doğal </w:t>
      </w:r>
      <w:r w:rsidR="000F57ED">
        <w:rPr>
          <w:rFonts w:ascii="Verdana" w:hAnsi="Verdana"/>
          <w:sz w:val="20"/>
          <w:szCs w:val="20"/>
        </w:rPr>
        <w:t>varlık</w:t>
      </w:r>
      <w:r w:rsidR="000F57ED" w:rsidRPr="004964CE">
        <w:rPr>
          <w:rFonts w:ascii="Verdana" w:hAnsi="Verdana"/>
          <w:sz w:val="20"/>
          <w:szCs w:val="20"/>
        </w:rPr>
        <w:t xml:space="preserve">ları </w:t>
      </w:r>
      <w:r w:rsidR="00E12118" w:rsidRPr="004964CE">
        <w:rPr>
          <w:rFonts w:ascii="Verdana" w:hAnsi="Verdana"/>
          <w:sz w:val="20"/>
          <w:szCs w:val="20"/>
        </w:rPr>
        <w:t>ve iklim dengelerini önemseyen ve koruyan bir şekilde gerçekleştirmek en önemli ilkelerimizden biri ve bu hatıra ormanı bu anlamda çok önemli bir yerde duruyor. AstraZeneca Türkiye olarak bu alanda kaydettiğimiz ilerlemeyi sürdürmeye ve kurumumuz büyüdükçe üzerimize düşen görevin daha fazlasını yapmakta kararlıyız. Balıkesir’deki hatıra ormanımızın hepimize daha sağlıklı nefesler ve daha temiz ve sürdürülebilir bir çevre için ilham vermesi dileğiyle…”</w:t>
      </w:r>
    </w:p>
    <w:p w14:paraId="1C01BAAE" w14:textId="77777777" w:rsidR="003D021E" w:rsidRPr="004964CE" w:rsidRDefault="003D021E" w:rsidP="003D021E">
      <w:pPr>
        <w:rPr>
          <w:rFonts w:ascii="Verdana" w:hAnsi="Verdana"/>
          <w:sz w:val="20"/>
          <w:szCs w:val="20"/>
        </w:rPr>
      </w:pPr>
    </w:p>
    <w:p w14:paraId="09636EDA" w14:textId="02673CF7" w:rsidR="00775BF8" w:rsidRPr="004964CE" w:rsidRDefault="00AE1357" w:rsidP="00775BF8">
      <w:pPr>
        <w:spacing w:line="360" w:lineRule="auto"/>
        <w:jc w:val="both"/>
        <w:rPr>
          <w:rFonts w:eastAsia="Calibri" w:cs="Times New Roman"/>
          <w:sz w:val="21"/>
          <w:szCs w:val="21"/>
          <w:vertAlign w:val="superscript"/>
          <w:lang w:eastAsia="tr-TR" w:bidi="tr-TR"/>
        </w:rPr>
      </w:pPr>
      <w:r w:rsidRPr="004964CE">
        <w:rPr>
          <w:rFonts w:ascii="Verdana" w:hAnsi="Verdana"/>
          <w:sz w:val="20"/>
          <w:szCs w:val="20"/>
        </w:rPr>
        <w:t xml:space="preserve">Çevresel sürdürülebilirlik, doğal </w:t>
      </w:r>
      <w:r w:rsidR="0045036D">
        <w:rPr>
          <w:rFonts w:ascii="Verdana" w:hAnsi="Verdana"/>
          <w:sz w:val="20"/>
          <w:szCs w:val="20"/>
        </w:rPr>
        <w:t>varlık</w:t>
      </w:r>
      <w:r w:rsidR="0045036D" w:rsidRPr="004964CE">
        <w:rPr>
          <w:rFonts w:ascii="Verdana" w:hAnsi="Verdana"/>
          <w:sz w:val="20"/>
          <w:szCs w:val="20"/>
        </w:rPr>
        <w:t xml:space="preserve">ların </w:t>
      </w:r>
      <w:r w:rsidRPr="004964CE">
        <w:rPr>
          <w:rFonts w:ascii="Verdana" w:hAnsi="Verdana"/>
          <w:sz w:val="20"/>
          <w:szCs w:val="20"/>
        </w:rPr>
        <w:t xml:space="preserve">korunması ve iklim dengesinin muhafaza edilmesi ilkeleriyle hareket eden AstraZeneca, </w:t>
      </w:r>
      <w:r w:rsidR="00EB776D" w:rsidRPr="004964CE">
        <w:rPr>
          <w:rFonts w:ascii="Verdana" w:hAnsi="Verdana"/>
          <w:sz w:val="20"/>
          <w:szCs w:val="20"/>
        </w:rPr>
        <w:t>karbon ve su performansını ve hedeflerini</w:t>
      </w:r>
      <w:r w:rsidR="00E12118" w:rsidRPr="004964CE">
        <w:rPr>
          <w:rFonts w:ascii="Verdana" w:hAnsi="Verdana"/>
          <w:sz w:val="20"/>
          <w:szCs w:val="20"/>
        </w:rPr>
        <w:t>, Karbon Saydamlık Projesi (CDP) dâhil olmak üzere şirket dışı</w:t>
      </w:r>
      <w:r w:rsidR="00775BF8" w:rsidRPr="004964CE">
        <w:rPr>
          <w:rFonts w:ascii="Verdana" w:hAnsi="Verdana"/>
          <w:sz w:val="20"/>
          <w:szCs w:val="20"/>
        </w:rPr>
        <w:t xml:space="preserve"> mercilere açıklıyor</w:t>
      </w:r>
      <w:r w:rsidR="00E12118" w:rsidRPr="004964CE">
        <w:rPr>
          <w:rFonts w:ascii="Verdana" w:hAnsi="Verdana"/>
          <w:sz w:val="20"/>
          <w:szCs w:val="20"/>
        </w:rPr>
        <w:t xml:space="preserve">. 2015 Paris İklim Konferansı'nda iklim değişikliği performansıyla ilişkili hedefler ve bilgilerin kamuya açıklanması için CDP taahhütlerine </w:t>
      </w:r>
      <w:r w:rsidR="00775BF8" w:rsidRPr="004964CE">
        <w:rPr>
          <w:rFonts w:ascii="Verdana" w:hAnsi="Verdana"/>
          <w:sz w:val="20"/>
          <w:szCs w:val="20"/>
        </w:rPr>
        <w:t>de katılan AstraZeneca’n</w:t>
      </w:r>
      <w:r w:rsidR="002D6B0C" w:rsidRPr="004964CE">
        <w:rPr>
          <w:rFonts w:ascii="Verdana" w:hAnsi="Verdana"/>
          <w:sz w:val="20"/>
          <w:szCs w:val="20"/>
        </w:rPr>
        <w:t>ın</w:t>
      </w:r>
      <w:r w:rsidR="00775BF8" w:rsidRPr="004964CE">
        <w:rPr>
          <w:rFonts w:ascii="Verdana" w:hAnsi="Verdana"/>
          <w:sz w:val="20"/>
          <w:szCs w:val="20"/>
        </w:rPr>
        <w:t xml:space="preserve"> küresel sürdürülebilirliğe olan katkısı yakın zamanda CDP İklim Değişikliği “A Listesi” unvanı ile takdir edildi.</w:t>
      </w:r>
      <w:r w:rsidR="007623FE" w:rsidRPr="004964CE">
        <w:rPr>
          <w:rFonts w:ascii="Verdana" w:hAnsi="Verdana"/>
          <w:sz w:val="20"/>
          <w:szCs w:val="20"/>
          <w:vertAlign w:val="superscript"/>
        </w:rPr>
        <w:t>3</w:t>
      </w:r>
      <w:r w:rsidR="00775BF8" w:rsidRPr="004964CE">
        <w:rPr>
          <w:rFonts w:ascii="Verdana" w:hAnsi="Verdana"/>
          <w:sz w:val="20"/>
          <w:szCs w:val="20"/>
        </w:rPr>
        <w:t xml:space="preserve"> AstraZeneca ayrıca, Haziran 2016'da %100 yenilenebilir güç kullanmak için dünyanın önde gelen şirketleriyle küresel bir çevresel taahhüde katıldı. RE100 olarak adlandırılan bu ortak girişim, temiz ve yenilenebilir enerjinin teşvik edildiği, kazançlı bir düşük karbon ekonomisine ilham vermek amacıyla 2014 yılında New York'taki İklim Haftası'nda kurulmuştu.</w:t>
      </w:r>
      <w:r w:rsidR="007623FE" w:rsidRPr="004964CE">
        <w:rPr>
          <w:rFonts w:ascii="Verdana" w:hAnsi="Verdana"/>
          <w:sz w:val="20"/>
          <w:szCs w:val="20"/>
          <w:vertAlign w:val="superscript"/>
        </w:rPr>
        <w:t>4</w:t>
      </w:r>
    </w:p>
    <w:p w14:paraId="46A04B61" w14:textId="77777777" w:rsidR="00775BF8" w:rsidRPr="004964CE" w:rsidRDefault="00775BF8" w:rsidP="00775BF8">
      <w:pPr>
        <w:spacing w:line="360" w:lineRule="auto"/>
        <w:jc w:val="both"/>
        <w:rPr>
          <w:rFonts w:ascii="Verdana" w:hAnsi="Verdana"/>
          <w:sz w:val="20"/>
          <w:szCs w:val="20"/>
        </w:rPr>
      </w:pPr>
    </w:p>
    <w:p w14:paraId="0E78AC32" w14:textId="77777777" w:rsidR="00AE1357" w:rsidRPr="004964CE" w:rsidRDefault="00775BF8" w:rsidP="00775BF8">
      <w:pPr>
        <w:spacing w:line="360" w:lineRule="auto"/>
        <w:jc w:val="both"/>
        <w:rPr>
          <w:rFonts w:ascii="Verdana" w:hAnsi="Verdana"/>
          <w:sz w:val="20"/>
          <w:szCs w:val="20"/>
        </w:rPr>
      </w:pPr>
      <w:r w:rsidRPr="004964CE">
        <w:rPr>
          <w:rFonts w:ascii="Verdana" w:hAnsi="Verdana"/>
          <w:sz w:val="20"/>
          <w:szCs w:val="20"/>
        </w:rPr>
        <w:t xml:space="preserve">AstraZeneca </w:t>
      </w:r>
      <w:r w:rsidR="00AE1357" w:rsidRPr="004964CE">
        <w:rPr>
          <w:rFonts w:ascii="Verdana" w:hAnsi="Verdana"/>
          <w:sz w:val="20"/>
          <w:szCs w:val="20"/>
        </w:rPr>
        <w:t>2025 global çevresel sürdürülebilirlik hedeflerini şöyle özetliyor:</w:t>
      </w:r>
    </w:p>
    <w:p w14:paraId="4672B97A" w14:textId="77777777" w:rsidR="00775BF8" w:rsidRPr="004964CE" w:rsidRDefault="00775BF8" w:rsidP="00775BF8">
      <w:pPr>
        <w:spacing w:line="360" w:lineRule="auto"/>
        <w:jc w:val="both"/>
        <w:rPr>
          <w:rFonts w:ascii="Verdana" w:hAnsi="Verdana"/>
          <w:sz w:val="20"/>
          <w:szCs w:val="20"/>
        </w:rPr>
      </w:pPr>
    </w:p>
    <w:p w14:paraId="3A4269D1" w14:textId="77777777" w:rsidR="00AE1357" w:rsidRPr="004964CE" w:rsidRDefault="00AE1357" w:rsidP="00775BF8">
      <w:pPr>
        <w:pStyle w:val="ListeParagraf"/>
        <w:numPr>
          <w:ilvl w:val="0"/>
          <w:numId w:val="4"/>
        </w:numPr>
        <w:spacing w:line="360" w:lineRule="auto"/>
        <w:jc w:val="both"/>
        <w:rPr>
          <w:rFonts w:ascii="Verdana" w:hAnsi="Verdana"/>
          <w:sz w:val="20"/>
          <w:szCs w:val="20"/>
        </w:rPr>
      </w:pPr>
      <w:r w:rsidRPr="004964CE">
        <w:rPr>
          <w:rFonts w:ascii="Verdana" w:hAnsi="Verdana"/>
          <w:b/>
          <w:bCs/>
          <w:sz w:val="20"/>
          <w:szCs w:val="20"/>
        </w:rPr>
        <w:t>Karbon salımı:</w:t>
      </w:r>
      <w:r w:rsidRPr="004964CE">
        <w:rPr>
          <w:rFonts w:ascii="Verdana" w:hAnsi="Verdana"/>
          <w:sz w:val="20"/>
          <w:szCs w:val="20"/>
        </w:rPr>
        <w:t xml:space="preserve"> AstraZeneca daha önce sera gazı ayak izini 2015 itibariyle %20 oranında azaltmayı hedefledi ve bunu başararak sera gazı ayak izini %21 oranında azaltarak 704.073 tona düşürdü.</w:t>
      </w:r>
      <w:r w:rsidR="007623FE" w:rsidRPr="004964CE">
        <w:rPr>
          <w:rFonts w:ascii="Verdana" w:hAnsi="Verdana"/>
          <w:sz w:val="20"/>
          <w:szCs w:val="20"/>
          <w:vertAlign w:val="superscript"/>
        </w:rPr>
        <w:t>5</w:t>
      </w:r>
      <w:r w:rsidRPr="004964CE">
        <w:rPr>
          <w:rFonts w:ascii="Verdana" w:hAnsi="Verdana"/>
          <w:sz w:val="20"/>
          <w:szCs w:val="20"/>
        </w:rPr>
        <w:t xml:space="preserve"> Şimdiki hedef ise karbon ayak izini 2015 değerleriyle aynı seviyede tutmak ve 2025 itibariyle toplam karbon yoğunluğunu %30 azaltmak.</w:t>
      </w:r>
    </w:p>
    <w:p w14:paraId="20E2515E" w14:textId="77777777" w:rsidR="00AE1357" w:rsidRPr="004964CE" w:rsidRDefault="00AE1357" w:rsidP="00775BF8">
      <w:pPr>
        <w:pStyle w:val="ListeParagraf"/>
        <w:numPr>
          <w:ilvl w:val="0"/>
          <w:numId w:val="4"/>
        </w:numPr>
        <w:spacing w:line="360" w:lineRule="auto"/>
        <w:jc w:val="both"/>
        <w:rPr>
          <w:rFonts w:ascii="Verdana" w:hAnsi="Verdana"/>
          <w:sz w:val="20"/>
          <w:szCs w:val="20"/>
        </w:rPr>
      </w:pPr>
      <w:r w:rsidRPr="004964CE">
        <w:rPr>
          <w:rFonts w:ascii="Verdana" w:hAnsi="Verdana"/>
          <w:b/>
          <w:bCs/>
          <w:sz w:val="20"/>
          <w:szCs w:val="20"/>
        </w:rPr>
        <w:t>Kaynak tasarrufu:</w:t>
      </w:r>
      <w:r w:rsidRPr="004964CE">
        <w:rPr>
          <w:rFonts w:ascii="Verdana" w:hAnsi="Verdana"/>
          <w:sz w:val="20"/>
          <w:szCs w:val="20"/>
        </w:rPr>
        <w:t xml:space="preserve"> enerji ve yakıt tasarrufunu artırmak ve düşük karbonlu alternatifler bulmak</w:t>
      </w:r>
    </w:p>
    <w:p w14:paraId="25583FD8" w14:textId="77777777" w:rsidR="00AE1357" w:rsidRPr="004964CE" w:rsidRDefault="00AE1357" w:rsidP="00775BF8">
      <w:pPr>
        <w:pStyle w:val="ListeParagraf"/>
        <w:numPr>
          <w:ilvl w:val="0"/>
          <w:numId w:val="4"/>
        </w:numPr>
        <w:spacing w:line="360" w:lineRule="auto"/>
        <w:jc w:val="both"/>
        <w:rPr>
          <w:rFonts w:ascii="Verdana" w:hAnsi="Verdana"/>
          <w:sz w:val="20"/>
          <w:szCs w:val="20"/>
        </w:rPr>
      </w:pPr>
      <w:r w:rsidRPr="004964CE">
        <w:rPr>
          <w:rFonts w:ascii="Verdana" w:hAnsi="Verdana"/>
          <w:b/>
          <w:bCs/>
          <w:sz w:val="20"/>
          <w:szCs w:val="20"/>
        </w:rPr>
        <w:t>Yenilenebilir enerji:</w:t>
      </w:r>
      <w:r w:rsidRPr="004964CE">
        <w:rPr>
          <w:rFonts w:ascii="Verdana" w:hAnsi="Verdana"/>
          <w:sz w:val="20"/>
          <w:szCs w:val="20"/>
        </w:rPr>
        <w:t xml:space="preserve"> 2025 itibariyle %100 oranında yenilenebilir enerji kullanmak (AstraZeneca bu hedefiyle, bu taahhüdü veren dünya genelindeki 64 büyük şirketin arasında yer alıyor</w:t>
      </w:r>
      <w:r w:rsidR="0063250A" w:rsidRPr="004964CE">
        <w:rPr>
          <w:rFonts w:ascii="Verdana" w:hAnsi="Verdana"/>
          <w:sz w:val="20"/>
          <w:szCs w:val="20"/>
          <w:vertAlign w:val="superscript"/>
        </w:rPr>
        <w:t>4</w:t>
      </w:r>
      <w:r w:rsidRPr="004964CE">
        <w:rPr>
          <w:rFonts w:ascii="Verdana" w:hAnsi="Verdana"/>
          <w:sz w:val="20"/>
          <w:szCs w:val="20"/>
        </w:rPr>
        <w:t>)</w:t>
      </w:r>
    </w:p>
    <w:p w14:paraId="4595F9E4" w14:textId="77777777" w:rsidR="00AE1357" w:rsidRPr="004964CE" w:rsidRDefault="00AE1357" w:rsidP="00775BF8">
      <w:pPr>
        <w:pStyle w:val="ListeParagraf"/>
        <w:numPr>
          <w:ilvl w:val="0"/>
          <w:numId w:val="4"/>
        </w:numPr>
        <w:spacing w:line="360" w:lineRule="auto"/>
        <w:jc w:val="both"/>
        <w:rPr>
          <w:rFonts w:ascii="Verdana" w:hAnsi="Verdana"/>
          <w:sz w:val="20"/>
          <w:szCs w:val="20"/>
        </w:rPr>
      </w:pPr>
      <w:r w:rsidRPr="004964CE">
        <w:rPr>
          <w:rFonts w:ascii="Verdana" w:hAnsi="Verdana"/>
          <w:b/>
          <w:bCs/>
          <w:sz w:val="20"/>
          <w:szCs w:val="20"/>
        </w:rPr>
        <w:t>Atık üretimi:</w:t>
      </w:r>
      <w:r w:rsidRPr="004964CE">
        <w:rPr>
          <w:rFonts w:ascii="Verdana" w:hAnsi="Verdana"/>
          <w:sz w:val="20"/>
          <w:szCs w:val="20"/>
        </w:rPr>
        <w:t xml:space="preserve"> 2015 değerleri üzerinden %10’luk düşüş sağlamak </w:t>
      </w:r>
    </w:p>
    <w:p w14:paraId="25A0710D" w14:textId="77777777" w:rsidR="00AE1357" w:rsidRPr="004964CE" w:rsidRDefault="00AE1357" w:rsidP="00775BF8">
      <w:pPr>
        <w:pStyle w:val="ListeParagraf"/>
        <w:numPr>
          <w:ilvl w:val="0"/>
          <w:numId w:val="4"/>
        </w:numPr>
        <w:spacing w:line="360" w:lineRule="auto"/>
        <w:jc w:val="both"/>
        <w:rPr>
          <w:rFonts w:ascii="Verdana" w:hAnsi="Verdana"/>
          <w:sz w:val="20"/>
          <w:szCs w:val="20"/>
        </w:rPr>
      </w:pPr>
      <w:r w:rsidRPr="004964CE">
        <w:rPr>
          <w:rFonts w:ascii="Verdana" w:hAnsi="Verdana"/>
          <w:b/>
          <w:bCs/>
          <w:sz w:val="20"/>
          <w:szCs w:val="20"/>
        </w:rPr>
        <w:t>Su tüketimi:</w:t>
      </w:r>
      <w:r w:rsidRPr="004964CE">
        <w:rPr>
          <w:rFonts w:ascii="Verdana" w:hAnsi="Verdana"/>
          <w:sz w:val="20"/>
          <w:szCs w:val="20"/>
        </w:rPr>
        <w:t xml:space="preserve"> operasyonlar büyüse de su tüketiminin 2015 değerlerinin aşmaması</w:t>
      </w:r>
    </w:p>
    <w:p w14:paraId="171DD5AB" w14:textId="77777777" w:rsidR="007D65BD" w:rsidRPr="00775BF8" w:rsidRDefault="00AE1357" w:rsidP="00775BF8">
      <w:pPr>
        <w:pStyle w:val="ListeParagraf"/>
        <w:numPr>
          <w:ilvl w:val="0"/>
          <w:numId w:val="4"/>
        </w:numPr>
        <w:spacing w:line="360" w:lineRule="auto"/>
        <w:jc w:val="both"/>
        <w:rPr>
          <w:rFonts w:ascii="Verdana" w:hAnsi="Verdana"/>
          <w:sz w:val="20"/>
          <w:szCs w:val="20"/>
        </w:rPr>
      </w:pPr>
      <w:r w:rsidRPr="00775BF8">
        <w:rPr>
          <w:rFonts w:ascii="Verdana" w:hAnsi="Verdana"/>
          <w:sz w:val="20"/>
          <w:szCs w:val="20"/>
        </w:rPr>
        <w:lastRenderedPageBreak/>
        <w:t>Ürünlerin üretim öncesi aşamasından ürün kullanım süresinin sonuna kadar olan sürecinde etkin çevresel yönetimin sağlanması</w:t>
      </w:r>
    </w:p>
    <w:p w14:paraId="6E9AC1B5" w14:textId="77777777" w:rsidR="00E12118" w:rsidRDefault="00E12118" w:rsidP="00E12118">
      <w:pPr>
        <w:spacing w:line="360" w:lineRule="auto"/>
        <w:ind w:right="-64"/>
        <w:contextualSpacing/>
        <w:jc w:val="both"/>
        <w:rPr>
          <w:rFonts w:ascii="Verdana" w:hAnsi="Verdana"/>
          <w:color w:val="808080" w:themeColor="background1" w:themeShade="80"/>
          <w:sz w:val="20"/>
          <w:szCs w:val="20"/>
        </w:rPr>
      </w:pPr>
    </w:p>
    <w:p w14:paraId="42062C9F" w14:textId="77777777" w:rsidR="00AA5BEB" w:rsidRPr="004964CE" w:rsidRDefault="004B1B7F"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 xml:space="preserve">Referanslar: </w:t>
      </w:r>
    </w:p>
    <w:p w14:paraId="01EAB0F3" w14:textId="23087BDF" w:rsidR="004B1B7F" w:rsidRPr="004964CE" w:rsidRDefault="0058468E"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 xml:space="preserve">1 Symbicort </w:t>
      </w:r>
      <w:r w:rsidR="00962216">
        <w:rPr>
          <w:rFonts w:ascii="Verdana" w:hAnsi="Verdana"/>
          <w:color w:val="808080" w:themeColor="background1" w:themeShade="80"/>
          <w:sz w:val="18"/>
          <w:szCs w:val="20"/>
        </w:rPr>
        <w:t>160</w:t>
      </w:r>
      <w:r w:rsidRPr="004964CE">
        <w:rPr>
          <w:rFonts w:ascii="Verdana" w:hAnsi="Verdana"/>
          <w:color w:val="808080" w:themeColor="background1" w:themeShade="80"/>
          <w:sz w:val="18"/>
          <w:szCs w:val="20"/>
        </w:rPr>
        <w:t>/4,5 Turbuhaler KÜB</w:t>
      </w:r>
      <w:r w:rsidR="00962216">
        <w:rPr>
          <w:rFonts w:ascii="Verdana" w:hAnsi="Verdana"/>
          <w:color w:val="808080" w:themeColor="background1" w:themeShade="80"/>
          <w:sz w:val="18"/>
          <w:szCs w:val="20"/>
        </w:rPr>
        <w:t xml:space="preserve"> </w:t>
      </w:r>
    </w:p>
    <w:p w14:paraId="2392FDF2" w14:textId="77777777" w:rsidR="004B1B7F" w:rsidRPr="004964CE" w:rsidRDefault="004B1B7F"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2 Data on file</w:t>
      </w:r>
      <w:r w:rsidR="00114915" w:rsidRPr="004964CE">
        <w:rPr>
          <w:rFonts w:ascii="Verdana" w:hAnsi="Verdana"/>
          <w:color w:val="808080" w:themeColor="background1" w:themeShade="80"/>
          <w:sz w:val="18"/>
          <w:szCs w:val="20"/>
        </w:rPr>
        <w:t xml:space="preserve">: </w:t>
      </w:r>
      <w:hyperlink r:id="rId5" w:history="1">
        <w:r w:rsidR="00114915" w:rsidRPr="004964CE">
          <w:rPr>
            <w:rStyle w:val="Kpr"/>
            <w:rFonts w:ascii="Verdana" w:hAnsi="Verdana"/>
            <w:sz w:val="18"/>
            <w:szCs w:val="20"/>
          </w:rPr>
          <w:t>https://www.astrazeneca.com/content/dam/az/PDF/Environmental-Sustainability.pdf</w:t>
        </w:r>
      </w:hyperlink>
      <w:r w:rsidR="00114915" w:rsidRPr="004964CE">
        <w:rPr>
          <w:rFonts w:ascii="Verdana" w:hAnsi="Verdana"/>
          <w:color w:val="808080" w:themeColor="background1" w:themeShade="80"/>
          <w:sz w:val="18"/>
          <w:szCs w:val="20"/>
        </w:rPr>
        <w:t xml:space="preserve"> </w:t>
      </w:r>
    </w:p>
    <w:p w14:paraId="5924F213" w14:textId="77777777" w:rsidR="007623FE" w:rsidRPr="004964CE" w:rsidRDefault="007623FE"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 xml:space="preserve">3 </w:t>
      </w:r>
      <w:r w:rsidR="0058468E" w:rsidRPr="004964CE">
        <w:rPr>
          <w:rFonts w:ascii="Verdana" w:hAnsi="Verdana"/>
          <w:color w:val="808080" w:themeColor="background1" w:themeShade="80"/>
          <w:sz w:val="18"/>
          <w:szCs w:val="20"/>
        </w:rPr>
        <w:t xml:space="preserve">Data on </w:t>
      </w:r>
      <w:r w:rsidR="0074633D" w:rsidRPr="004964CE">
        <w:rPr>
          <w:rFonts w:ascii="Verdana" w:hAnsi="Verdana"/>
          <w:color w:val="808080" w:themeColor="background1" w:themeShade="80"/>
          <w:sz w:val="18"/>
          <w:szCs w:val="20"/>
        </w:rPr>
        <w:t>file</w:t>
      </w:r>
      <w:r w:rsidR="00114915" w:rsidRPr="004964CE">
        <w:rPr>
          <w:rFonts w:ascii="Verdana" w:hAnsi="Verdana"/>
          <w:color w:val="808080" w:themeColor="background1" w:themeShade="80"/>
          <w:sz w:val="18"/>
          <w:szCs w:val="20"/>
        </w:rPr>
        <w:t xml:space="preserve">: </w:t>
      </w:r>
      <w:hyperlink r:id="rId6" w:history="1">
        <w:r w:rsidR="00114915" w:rsidRPr="004964CE">
          <w:rPr>
            <w:rStyle w:val="Kpr"/>
            <w:rFonts w:ascii="Verdana" w:hAnsi="Verdana"/>
            <w:sz w:val="18"/>
            <w:szCs w:val="20"/>
          </w:rPr>
          <w:t>https://www.astrazeneca.com/content/dam/az/PDF/Environmental-Sustainability.pdf</w:t>
        </w:r>
      </w:hyperlink>
      <w:r w:rsidR="00114915" w:rsidRPr="004964CE">
        <w:rPr>
          <w:rFonts w:ascii="Verdana" w:hAnsi="Verdana"/>
          <w:color w:val="808080" w:themeColor="background1" w:themeShade="80"/>
          <w:sz w:val="18"/>
          <w:szCs w:val="20"/>
        </w:rPr>
        <w:t xml:space="preserve"> </w:t>
      </w:r>
    </w:p>
    <w:p w14:paraId="7967A67B" w14:textId="77777777" w:rsidR="007623FE" w:rsidRPr="004964CE" w:rsidRDefault="007623FE"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4 Data on file</w:t>
      </w:r>
      <w:r w:rsidR="005B3840" w:rsidRPr="004964CE">
        <w:rPr>
          <w:rFonts w:ascii="Verdana" w:hAnsi="Verdana"/>
          <w:color w:val="808080" w:themeColor="background1" w:themeShade="80"/>
          <w:sz w:val="18"/>
          <w:szCs w:val="20"/>
        </w:rPr>
        <w:t xml:space="preserve">: </w:t>
      </w:r>
      <w:hyperlink r:id="rId7" w:history="1">
        <w:r w:rsidR="005B3840" w:rsidRPr="004964CE">
          <w:rPr>
            <w:rStyle w:val="Kpr"/>
            <w:rFonts w:ascii="Verdana" w:hAnsi="Verdana"/>
            <w:sz w:val="18"/>
            <w:szCs w:val="20"/>
          </w:rPr>
          <w:t>https://www.astrazeneca.com/content/dam/az/PDF/Environmental-Sustainability.pdf</w:t>
        </w:r>
      </w:hyperlink>
      <w:r w:rsidR="005B3840" w:rsidRPr="004964CE">
        <w:rPr>
          <w:rFonts w:ascii="Verdana" w:hAnsi="Verdana"/>
          <w:color w:val="808080" w:themeColor="background1" w:themeShade="80"/>
          <w:sz w:val="18"/>
          <w:szCs w:val="20"/>
        </w:rPr>
        <w:t xml:space="preserve"> </w:t>
      </w:r>
    </w:p>
    <w:p w14:paraId="186AA5E3" w14:textId="77777777" w:rsidR="0058468E" w:rsidRPr="004964CE" w:rsidRDefault="0058468E" w:rsidP="00E12118">
      <w:pPr>
        <w:spacing w:line="360" w:lineRule="auto"/>
        <w:ind w:right="-64"/>
        <w:contextualSpacing/>
        <w:jc w:val="both"/>
        <w:rPr>
          <w:rFonts w:ascii="Verdana" w:hAnsi="Verdana"/>
          <w:color w:val="808080" w:themeColor="background1" w:themeShade="80"/>
          <w:sz w:val="18"/>
          <w:szCs w:val="20"/>
        </w:rPr>
      </w:pPr>
      <w:r w:rsidRPr="004964CE">
        <w:rPr>
          <w:rFonts w:ascii="Verdana" w:hAnsi="Verdana"/>
          <w:color w:val="808080" w:themeColor="background1" w:themeShade="80"/>
          <w:sz w:val="18"/>
          <w:szCs w:val="20"/>
        </w:rPr>
        <w:t>5 Data on file</w:t>
      </w:r>
      <w:r w:rsidR="005B3840" w:rsidRPr="004964CE">
        <w:rPr>
          <w:rFonts w:ascii="Verdana" w:hAnsi="Verdana"/>
          <w:color w:val="808080" w:themeColor="background1" w:themeShade="80"/>
          <w:sz w:val="18"/>
          <w:szCs w:val="20"/>
        </w:rPr>
        <w:t xml:space="preserve">: </w:t>
      </w:r>
      <w:hyperlink r:id="rId8" w:history="1">
        <w:r w:rsidR="005B3840" w:rsidRPr="004964CE">
          <w:rPr>
            <w:rStyle w:val="Kpr"/>
            <w:rFonts w:ascii="Verdana" w:hAnsi="Verdana"/>
            <w:sz w:val="18"/>
            <w:szCs w:val="20"/>
          </w:rPr>
          <w:t>https://www.astrazeneca.com/content/dam/az/PDF/Environmental-Sustainability.pdf</w:t>
        </w:r>
      </w:hyperlink>
      <w:r w:rsidR="005B3840" w:rsidRPr="004964CE">
        <w:rPr>
          <w:rFonts w:ascii="Verdana" w:hAnsi="Verdana"/>
          <w:color w:val="808080" w:themeColor="background1" w:themeShade="80"/>
          <w:sz w:val="18"/>
          <w:szCs w:val="20"/>
        </w:rPr>
        <w:t xml:space="preserve"> </w:t>
      </w:r>
    </w:p>
    <w:p w14:paraId="4E6AA9D7" w14:textId="77777777" w:rsidR="00AA5BEB" w:rsidRDefault="00AA5BEB" w:rsidP="00AA5BEB">
      <w:pPr>
        <w:spacing w:line="360" w:lineRule="auto"/>
        <w:jc w:val="both"/>
        <w:rPr>
          <w:rFonts w:ascii="Verdana" w:hAnsi="Verdana" w:cs="Arial"/>
          <w:sz w:val="20"/>
          <w:szCs w:val="20"/>
        </w:rPr>
      </w:pPr>
    </w:p>
    <w:p w14:paraId="6D0275AB" w14:textId="77777777" w:rsidR="00AA5BEB" w:rsidRDefault="00AA5BEB" w:rsidP="00AA5BEB">
      <w:pPr>
        <w:widowControl w:val="0"/>
        <w:autoSpaceDE w:val="0"/>
        <w:autoSpaceDN w:val="0"/>
        <w:adjustRightInd w:val="0"/>
        <w:rPr>
          <w:rFonts w:ascii="Verdana" w:hAnsi="Verdana" w:cs="Verdana"/>
          <w:sz w:val="18"/>
          <w:szCs w:val="20"/>
        </w:rPr>
      </w:pPr>
      <w:r>
        <w:rPr>
          <w:rFonts w:ascii="Verdana" w:hAnsi="Verdana" w:cs="Verdana"/>
          <w:b/>
          <w:bCs/>
          <w:sz w:val="18"/>
          <w:szCs w:val="20"/>
        </w:rPr>
        <w:t>İlgili Kişi:</w:t>
      </w:r>
    </w:p>
    <w:p w14:paraId="126915CA" w14:textId="77777777" w:rsidR="00AA5BEB" w:rsidRDefault="00AA5BEB" w:rsidP="00AA5BEB">
      <w:pPr>
        <w:widowControl w:val="0"/>
        <w:autoSpaceDE w:val="0"/>
        <w:autoSpaceDN w:val="0"/>
        <w:adjustRightInd w:val="0"/>
        <w:rPr>
          <w:rFonts w:ascii="Verdana" w:hAnsi="Verdana" w:cs="Verdana"/>
          <w:sz w:val="18"/>
          <w:szCs w:val="20"/>
        </w:rPr>
      </w:pPr>
      <w:r>
        <w:rPr>
          <w:rFonts w:ascii="Verdana" w:hAnsi="Verdana" w:cs="Verdana"/>
          <w:sz w:val="18"/>
          <w:szCs w:val="20"/>
        </w:rPr>
        <w:t>Dilek Özcan</w:t>
      </w:r>
    </w:p>
    <w:p w14:paraId="647592D0" w14:textId="77777777" w:rsidR="00AA5BEB" w:rsidRDefault="00AA5BEB" w:rsidP="00AA5BEB">
      <w:pPr>
        <w:widowControl w:val="0"/>
        <w:autoSpaceDE w:val="0"/>
        <w:autoSpaceDN w:val="0"/>
        <w:adjustRightInd w:val="0"/>
        <w:rPr>
          <w:rFonts w:ascii="Verdana" w:hAnsi="Verdana" w:cs="Verdana"/>
          <w:sz w:val="18"/>
          <w:szCs w:val="20"/>
        </w:rPr>
      </w:pPr>
      <w:r>
        <w:rPr>
          <w:rFonts w:ascii="Verdana" w:hAnsi="Verdana" w:cs="Verdana"/>
          <w:sz w:val="18"/>
          <w:szCs w:val="20"/>
        </w:rPr>
        <w:t>Bordo PR</w:t>
      </w:r>
    </w:p>
    <w:p w14:paraId="0D8E2AC1" w14:textId="77777777" w:rsidR="00AA5BEB" w:rsidRDefault="00AA5BEB" w:rsidP="00AA5BEB">
      <w:pPr>
        <w:widowControl w:val="0"/>
        <w:autoSpaceDE w:val="0"/>
        <w:autoSpaceDN w:val="0"/>
        <w:adjustRightInd w:val="0"/>
        <w:rPr>
          <w:rFonts w:ascii="Verdana" w:hAnsi="Verdana" w:cs="Verdana"/>
          <w:sz w:val="18"/>
          <w:szCs w:val="20"/>
        </w:rPr>
      </w:pPr>
      <w:r>
        <w:rPr>
          <w:rFonts w:ascii="Verdana" w:hAnsi="Verdana" w:cs="Verdana"/>
          <w:sz w:val="18"/>
          <w:szCs w:val="20"/>
        </w:rPr>
        <w:t xml:space="preserve">0533 927 23 93 </w:t>
      </w:r>
    </w:p>
    <w:p w14:paraId="220AE4E3" w14:textId="77777777" w:rsidR="00AA5BEB" w:rsidRPr="0096232E" w:rsidRDefault="009D0302" w:rsidP="00AA5BEB">
      <w:pPr>
        <w:widowControl w:val="0"/>
        <w:autoSpaceDE w:val="0"/>
        <w:autoSpaceDN w:val="0"/>
        <w:adjustRightInd w:val="0"/>
        <w:rPr>
          <w:rFonts w:ascii="Verdana" w:hAnsi="Verdana" w:cs="Verdana"/>
          <w:sz w:val="18"/>
          <w:szCs w:val="20"/>
        </w:rPr>
      </w:pPr>
      <w:hyperlink r:id="rId9" w:history="1">
        <w:r w:rsidR="00AA5BEB">
          <w:rPr>
            <w:rStyle w:val="Kpr"/>
            <w:rFonts w:ascii="Verdana" w:hAnsi="Verdana" w:cs="Verdana"/>
            <w:sz w:val="18"/>
          </w:rPr>
          <w:t>dileko@bordopr.com</w:t>
        </w:r>
      </w:hyperlink>
    </w:p>
    <w:p w14:paraId="16FBA9D7" w14:textId="77777777" w:rsidR="00AA5BEB" w:rsidRDefault="00AA5BEB" w:rsidP="00AA5BEB">
      <w:pPr>
        <w:spacing w:line="360" w:lineRule="auto"/>
        <w:rPr>
          <w:rFonts w:ascii="Verdana" w:hAnsi="Verdana" w:cs="Arial"/>
        </w:rPr>
      </w:pPr>
    </w:p>
    <w:p w14:paraId="4FAF5A9F" w14:textId="77777777" w:rsidR="00AA5BEB" w:rsidRDefault="00AA5BEB" w:rsidP="00AA5BEB">
      <w:pPr>
        <w:jc w:val="both"/>
        <w:rPr>
          <w:rFonts w:ascii="Verdana" w:hAnsi="Verdana" w:cs="Arial"/>
          <w:b/>
          <w:sz w:val="16"/>
          <w:szCs w:val="16"/>
        </w:rPr>
      </w:pPr>
      <w:r>
        <w:rPr>
          <w:rFonts w:ascii="Verdana" w:hAnsi="Verdana" w:cs="Arial"/>
          <w:b/>
          <w:sz w:val="16"/>
          <w:szCs w:val="16"/>
        </w:rPr>
        <w:t xml:space="preserve">AstraZeneca Hakkında </w:t>
      </w:r>
    </w:p>
    <w:p w14:paraId="15346479" w14:textId="77777777" w:rsidR="00AA5BEB" w:rsidRPr="00953A3C" w:rsidRDefault="00AA5BEB" w:rsidP="00AA5BEB">
      <w:pPr>
        <w:jc w:val="both"/>
        <w:rPr>
          <w:rFonts w:ascii="Verdana" w:hAnsi="Verdana"/>
          <w:color w:val="000000"/>
        </w:rPr>
      </w:pPr>
      <w:r>
        <w:rPr>
          <w:rFonts w:ascii="Verdana" w:hAnsi="Verdana" w:cs="Arial"/>
          <w:sz w:val="16"/>
          <w:szCs w:val="16"/>
        </w:rPr>
        <w:t>AstraZeneca özellikle solunum &amp; otoimmünite, kardiyovasküler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10" w:history="1">
        <w:r>
          <w:rPr>
            <w:rStyle w:val="Kpr"/>
            <w:rFonts w:ascii="Verdana" w:hAnsi="Verdana" w:cs="Arial"/>
            <w:sz w:val="16"/>
            <w:szCs w:val="16"/>
          </w:rPr>
          <w:t>http://www.astrazeneca.com/Turkey</w:t>
        </w:r>
      </w:hyperlink>
      <w:r>
        <w:rPr>
          <w:rFonts w:ascii="Verdana" w:hAnsi="Verdana" w:cs="Arial"/>
          <w:sz w:val="16"/>
          <w:szCs w:val="16"/>
        </w:rPr>
        <w:t xml:space="preserve"> adresimizi ziyaret edebilir veya </w:t>
      </w:r>
      <w:hyperlink r:id="rId11" w:history="1">
        <w:r>
          <w:rPr>
            <w:rStyle w:val="Kpr"/>
            <w:rFonts w:ascii="Verdana" w:hAnsi="Verdana" w:cs="Arial"/>
            <w:sz w:val="16"/>
            <w:szCs w:val="16"/>
          </w:rPr>
          <w:t>www.linkedin.com/company/astrazeneca-turkey</w:t>
        </w:r>
      </w:hyperlink>
      <w:r>
        <w:rPr>
          <w:rFonts w:ascii="Verdana" w:hAnsi="Verdana" w:cs="Arial"/>
          <w:sz w:val="16"/>
          <w:szCs w:val="16"/>
        </w:rPr>
        <w:t xml:space="preserve"> ile Linkedin’den takip edebilirsiniz.</w:t>
      </w:r>
    </w:p>
    <w:p w14:paraId="15FF4037" w14:textId="77777777" w:rsidR="00AA5BEB" w:rsidRDefault="00AA5BEB" w:rsidP="00E12118">
      <w:pPr>
        <w:spacing w:line="360" w:lineRule="auto"/>
        <w:ind w:right="-64"/>
        <w:contextualSpacing/>
        <w:jc w:val="both"/>
        <w:rPr>
          <w:rFonts w:ascii="Verdana" w:hAnsi="Verdana"/>
          <w:color w:val="808080" w:themeColor="background1" w:themeShade="80"/>
          <w:sz w:val="20"/>
          <w:szCs w:val="20"/>
        </w:rPr>
      </w:pPr>
    </w:p>
    <w:sectPr w:rsidR="00AA5BEB" w:rsidSect="0013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E96"/>
    <w:multiLevelType w:val="hybridMultilevel"/>
    <w:tmpl w:val="473C5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E2B3BA4"/>
    <w:multiLevelType w:val="hybridMultilevel"/>
    <w:tmpl w:val="A3743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875F26"/>
    <w:multiLevelType w:val="hybridMultilevel"/>
    <w:tmpl w:val="381E4A94"/>
    <w:lvl w:ilvl="0" w:tplc="D6D8A186">
      <w:start w:val="202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856122"/>
    <w:multiLevelType w:val="hybridMultilevel"/>
    <w:tmpl w:val="3CD04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9D"/>
    <w:rsid w:val="000E5F6C"/>
    <w:rsid w:val="000F57ED"/>
    <w:rsid w:val="00114915"/>
    <w:rsid w:val="00130E06"/>
    <w:rsid w:val="00183D54"/>
    <w:rsid w:val="00191FF1"/>
    <w:rsid w:val="00245787"/>
    <w:rsid w:val="002D6B0C"/>
    <w:rsid w:val="00381A70"/>
    <w:rsid w:val="003D021E"/>
    <w:rsid w:val="0042484B"/>
    <w:rsid w:val="004312A0"/>
    <w:rsid w:val="0045036D"/>
    <w:rsid w:val="004535CB"/>
    <w:rsid w:val="004964CE"/>
    <w:rsid w:val="004B1B7F"/>
    <w:rsid w:val="004D30D3"/>
    <w:rsid w:val="00535A0F"/>
    <w:rsid w:val="0058468E"/>
    <w:rsid w:val="005B3840"/>
    <w:rsid w:val="005B57B6"/>
    <w:rsid w:val="0063250A"/>
    <w:rsid w:val="006514B9"/>
    <w:rsid w:val="00661B24"/>
    <w:rsid w:val="006D5FF5"/>
    <w:rsid w:val="006F58B7"/>
    <w:rsid w:val="0074633D"/>
    <w:rsid w:val="00761D63"/>
    <w:rsid w:val="007623FE"/>
    <w:rsid w:val="00775BF8"/>
    <w:rsid w:val="007C329D"/>
    <w:rsid w:val="007D65BD"/>
    <w:rsid w:val="007D77DB"/>
    <w:rsid w:val="008516F9"/>
    <w:rsid w:val="00962216"/>
    <w:rsid w:val="00965F16"/>
    <w:rsid w:val="009D0302"/>
    <w:rsid w:val="009E728D"/>
    <w:rsid w:val="00A06D0B"/>
    <w:rsid w:val="00A214D1"/>
    <w:rsid w:val="00AA0719"/>
    <w:rsid w:val="00AA5BEB"/>
    <w:rsid w:val="00AD6E5E"/>
    <w:rsid w:val="00AE1357"/>
    <w:rsid w:val="00B17BE5"/>
    <w:rsid w:val="00B24E64"/>
    <w:rsid w:val="00CF6210"/>
    <w:rsid w:val="00D15A71"/>
    <w:rsid w:val="00E06B24"/>
    <w:rsid w:val="00E12118"/>
    <w:rsid w:val="00E32CBD"/>
    <w:rsid w:val="00E33303"/>
    <w:rsid w:val="00EB776D"/>
    <w:rsid w:val="00EC03A2"/>
    <w:rsid w:val="00F455D3"/>
    <w:rsid w:val="00F54ED2"/>
    <w:rsid w:val="00F82B94"/>
    <w:rsid w:val="00FA4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58C3"/>
  <w15:docId w15:val="{C0468FE0-5567-4729-87FC-13237C56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329D"/>
    <w:pPr>
      <w:spacing w:after="0" w:line="240" w:lineRule="auto"/>
    </w:pPr>
    <w:rPr>
      <w:rFonts w:ascii="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C329D"/>
    <w:pPr>
      <w:ind w:left="720"/>
    </w:pPr>
  </w:style>
  <w:style w:type="character" w:styleId="Gl">
    <w:name w:val="Strong"/>
    <w:basedOn w:val="VarsaylanParagrafYazTipi"/>
    <w:uiPriority w:val="22"/>
    <w:qFormat/>
    <w:rsid w:val="007C329D"/>
    <w:rPr>
      <w:b/>
      <w:bCs/>
    </w:rPr>
  </w:style>
  <w:style w:type="character" w:styleId="AklamaBavurusu">
    <w:name w:val="annotation reference"/>
    <w:basedOn w:val="VarsaylanParagrafYazTipi"/>
    <w:uiPriority w:val="99"/>
    <w:semiHidden/>
    <w:unhideWhenUsed/>
    <w:rsid w:val="004D30D3"/>
    <w:rPr>
      <w:sz w:val="16"/>
      <w:szCs w:val="16"/>
    </w:rPr>
  </w:style>
  <w:style w:type="paragraph" w:styleId="AklamaMetni">
    <w:name w:val="annotation text"/>
    <w:basedOn w:val="Normal"/>
    <w:link w:val="AklamaMetniChar"/>
    <w:uiPriority w:val="99"/>
    <w:unhideWhenUsed/>
    <w:rsid w:val="004D30D3"/>
    <w:rPr>
      <w:sz w:val="20"/>
      <w:szCs w:val="20"/>
    </w:rPr>
  </w:style>
  <w:style w:type="character" w:customStyle="1" w:styleId="AklamaMetniChar">
    <w:name w:val="Açıklama Metni Char"/>
    <w:basedOn w:val="VarsaylanParagrafYazTipi"/>
    <w:link w:val="AklamaMetni"/>
    <w:uiPriority w:val="99"/>
    <w:rsid w:val="004D30D3"/>
    <w:rPr>
      <w:rFonts w:ascii="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4D30D3"/>
    <w:rPr>
      <w:b/>
      <w:bCs/>
    </w:rPr>
  </w:style>
  <w:style w:type="character" w:customStyle="1" w:styleId="AklamaKonusuChar">
    <w:name w:val="Açıklama Konusu Char"/>
    <w:basedOn w:val="AklamaMetniChar"/>
    <w:link w:val="AklamaKonusu"/>
    <w:uiPriority w:val="99"/>
    <w:semiHidden/>
    <w:rsid w:val="004D30D3"/>
    <w:rPr>
      <w:rFonts w:ascii="Calibri" w:hAnsi="Calibri" w:cs="Calibri"/>
      <w:b/>
      <w:bCs/>
      <w:sz w:val="20"/>
      <w:szCs w:val="20"/>
      <w:lang w:val="tr-TR"/>
    </w:rPr>
  </w:style>
  <w:style w:type="paragraph" w:styleId="BalonMetni">
    <w:name w:val="Balloon Text"/>
    <w:basedOn w:val="Normal"/>
    <w:link w:val="BalonMetniChar"/>
    <w:uiPriority w:val="99"/>
    <w:semiHidden/>
    <w:unhideWhenUsed/>
    <w:rsid w:val="004D30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30D3"/>
    <w:rPr>
      <w:rFonts w:ascii="Segoe UI" w:hAnsi="Segoe UI" w:cs="Segoe UI"/>
      <w:sz w:val="18"/>
      <w:szCs w:val="18"/>
      <w:lang w:val="tr-TR"/>
    </w:rPr>
  </w:style>
  <w:style w:type="character" w:customStyle="1" w:styleId="ListeParagrafChar">
    <w:name w:val="Liste Paragraf Char"/>
    <w:basedOn w:val="VarsaylanParagrafYazTipi"/>
    <w:link w:val="ListeParagraf"/>
    <w:uiPriority w:val="34"/>
    <w:rsid w:val="00E12118"/>
    <w:rPr>
      <w:rFonts w:ascii="Calibri" w:hAnsi="Calibri" w:cs="Calibri"/>
      <w:lang w:val="tr-TR"/>
    </w:rPr>
  </w:style>
  <w:style w:type="character" w:styleId="Kpr">
    <w:name w:val="Hyperlink"/>
    <w:basedOn w:val="VarsaylanParagrafYazTipi"/>
    <w:uiPriority w:val="99"/>
    <w:unhideWhenUsed/>
    <w:rsid w:val="00AA5BEB"/>
    <w:rPr>
      <w:color w:val="0000FF"/>
      <w:u w:val="single"/>
    </w:rPr>
  </w:style>
  <w:style w:type="character" w:customStyle="1" w:styleId="UnresolvedMention1">
    <w:name w:val="Unresolved Mention1"/>
    <w:basedOn w:val="VarsaylanParagrafYazTipi"/>
    <w:uiPriority w:val="99"/>
    <w:rsid w:val="001149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6425">
      <w:bodyDiv w:val="1"/>
      <w:marLeft w:val="0"/>
      <w:marRight w:val="0"/>
      <w:marTop w:val="0"/>
      <w:marBottom w:val="0"/>
      <w:divBdr>
        <w:top w:val="none" w:sz="0" w:space="0" w:color="auto"/>
        <w:left w:val="none" w:sz="0" w:space="0" w:color="auto"/>
        <w:bottom w:val="none" w:sz="0" w:space="0" w:color="auto"/>
        <w:right w:val="none" w:sz="0" w:space="0" w:color="auto"/>
      </w:divBdr>
    </w:div>
    <w:div w:id="869336185">
      <w:bodyDiv w:val="1"/>
      <w:marLeft w:val="0"/>
      <w:marRight w:val="0"/>
      <w:marTop w:val="0"/>
      <w:marBottom w:val="0"/>
      <w:divBdr>
        <w:top w:val="none" w:sz="0" w:space="0" w:color="auto"/>
        <w:left w:val="none" w:sz="0" w:space="0" w:color="auto"/>
        <w:bottom w:val="none" w:sz="0" w:space="0" w:color="auto"/>
        <w:right w:val="none" w:sz="0" w:space="0" w:color="auto"/>
      </w:divBdr>
    </w:div>
    <w:div w:id="1311053524">
      <w:bodyDiv w:val="1"/>
      <w:marLeft w:val="0"/>
      <w:marRight w:val="0"/>
      <w:marTop w:val="0"/>
      <w:marBottom w:val="0"/>
      <w:divBdr>
        <w:top w:val="none" w:sz="0" w:space="0" w:color="auto"/>
        <w:left w:val="none" w:sz="0" w:space="0" w:color="auto"/>
        <w:bottom w:val="none" w:sz="0" w:space="0" w:color="auto"/>
        <w:right w:val="none" w:sz="0" w:space="0" w:color="auto"/>
      </w:divBdr>
    </w:div>
    <w:div w:id="1444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nkedin.com/company/astrazeneca-turke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strazeneca.com/content/dam/az/PDF/Environmental-Sustainability.pdf" TargetMode="External"/><Relationship Id="rId6" Type="http://schemas.openxmlformats.org/officeDocument/2006/relationships/hyperlink" Target="https://www.astrazeneca.com/content/dam/az/PDF/Environmental-Sustainability.pdf" TargetMode="External"/><Relationship Id="rId7" Type="http://schemas.openxmlformats.org/officeDocument/2006/relationships/hyperlink" Target="https://www.astrazeneca.com/content/dam/az/PDF/Environmental-Sustainability.pdf" TargetMode="External"/><Relationship Id="rId8" Type="http://schemas.openxmlformats.org/officeDocument/2006/relationships/hyperlink" Target="https://www.astrazeneca.com/content/dam/az/PDF/Environmental-Sustainability.pdf" TargetMode="External"/><Relationship Id="rId9" Type="http://schemas.openxmlformats.org/officeDocument/2006/relationships/hyperlink" Target="mailto:dileko@bordopr.com" TargetMode="External"/><Relationship Id="rId10" Type="http://schemas.openxmlformats.org/officeDocument/2006/relationships/hyperlink" Target="http://www.astrazeneca.com/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5670</Characters>
  <Application>Microsoft Macintosh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Cumhur Karabacakoğlu</cp:lastModifiedBy>
  <cp:revision>2</cp:revision>
  <dcterms:created xsi:type="dcterms:W3CDTF">2017-10-31T06:49:00Z</dcterms:created>
  <dcterms:modified xsi:type="dcterms:W3CDTF">2017-10-31T06:49:00Z</dcterms:modified>
</cp:coreProperties>
</file>