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EDD7" w14:textId="0C364D75" w:rsidR="00E35045" w:rsidRPr="00E320A6" w:rsidRDefault="007B579D" w:rsidP="011FFDED">
      <w:pPr>
        <w:pBdr>
          <w:bottom w:val="single" w:sz="6" w:space="1" w:color="000000"/>
        </w:pBdr>
        <w:rPr>
          <w:rFonts w:ascii="Verdana" w:eastAsia="Verdana" w:hAnsi="Verdana" w:cs="Verdana"/>
          <w:b/>
          <w:bCs/>
        </w:rPr>
      </w:pPr>
      <w:r w:rsidRPr="011FFDED">
        <w:rPr>
          <w:rFonts w:ascii="Verdana" w:eastAsia="Verdana" w:hAnsi="Verdana" w:cs="Verdana"/>
          <w:b/>
          <w:bCs/>
        </w:rPr>
        <w:t>BASIN BÜLTENİ</w:t>
      </w:r>
      <w:r>
        <w:tab/>
      </w:r>
      <w:r>
        <w:tab/>
      </w:r>
      <w:r>
        <w:tab/>
      </w:r>
      <w:r>
        <w:tab/>
      </w:r>
      <w:r w:rsidRPr="011FFDED">
        <w:rPr>
          <w:rFonts w:ascii="Verdana" w:eastAsia="Verdana" w:hAnsi="Verdana" w:cs="Verdana"/>
          <w:b/>
          <w:bCs/>
        </w:rPr>
        <w:t xml:space="preserve">                                            </w:t>
      </w:r>
      <w:r w:rsidR="6961B48B" w:rsidRPr="011FFDED">
        <w:rPr>
          <w:rFonts w:ascii="Verdana" w:eastAsia="Verdana" w:hAnsi="Verdana" w:cs="Verdana"/>
          <w:b/>
          <w:bCs/>
        </w:rPr>
        <w:t>20</w:t>
      </w:r>
      <w:r w:rsidRPr="011FFDED">
        <w:rPr>
          <w:rFonts w:ascii="Verdana" w:eastAsia="Verdana" w:hAnsi="Verdana" w:cs="Verdana"/>
          <w:b/>
          <w:bCs/>
        </w:rPr>
        <w:t>.02.2025</w:t>
      </w:r>
    </w:p>
    <w:p w14:paraId="43942001" w14:textId="77777777" w:rsidR="00E35045" w:rsidRPr="00E320A6" w:rsidRDefault="00E35045">
      <w:pPr>
        <w:spacing w:after="0" w:line="240" w:lineRule="auto"/>
        <w:jc w:val="center"/>
        <w:rPr>
          <w:rFonts w:ascii="Verdana" w:eastAsia="Verdana" w:hAnsi="Verdana" w:cs="Verdana"/>
          <w:b/>
          <w:sz w:val="44"/>
          <w:szCs w:val="44"/>
        </w:rPr>
      </w:pPr>
    </w:p>
    <w:p w14:paraId="249CAA78" w14:textId="04BDBDEF" w:rsidR="00E35045" w:rsidRPr="00E320A6" w:rsidRDefault="00EB58D0" w:rsidP="3212F08F">
      <w:pPr>
        <w:spacing w:after="0" w:line="240" w:lineRule="auto"/>
        <w:jc w:val="center"/>
        <w:rPr>
          <w:rFonts w:ascii="Verdana" w:eastAsia="Verdana" w:hAnsi="Verdana" w:cs="Verdana"/>
          <w:b/>
          <w:bCs/>
          <w:sz w:val="32"/>
          <w:szCs w:val="32"/>
          <w:highlight w:val="yellow"/>
        </w:rPr>
      </w:pPr>
      <w:r w:rsidRPr="3212F08F">
        <w:rPr>
          <w:rFonts w:ascii="Verdana" w:eastAsia="Verdana" w:hAnsi="Verdana" w:cs="Verdana"/>
          <w:b/>
          <w:bCs/>
          <w:sz w:val="32"/>
          <w:szCs w:val="32"/>
        </w:rPr>
        <w:t xml:space="preserve">Türkiye'deki </w:t>
      </w:r>
      <w:proofErr w:type="spellStart"/>
      <w:r w:rsidRPr="3212F08F">
        <w:rPr>
          <w:rFonts w:ascii="Verdana" w:eastAsia="Verdana" w:hAnsi="Verdana" w:cs="Verdana"/>
          <w:b/>
          <w:bCs/>
          <w:sz w:val="32"/>
          <w:szCs w:val="32"/>
        </w:rPr>
        <w:t>startup</w:t>
      </w:r>
      <w:proofErr w:type="spellEnd"/>
      <w:r w:rsidRPr="3212F08F">
        <w:rPr>
          <w:rFonts w:ascii="Verdana" w:eastAsia="Verdana" w:hAnsi="Verdana" w:cs="Verdana"/>
          <w:b/>
          <w:bCs/>
          <w:sz w:val="32"/>
          <w:szCs w:val="32"/>
        </w:rPr>
        <w:t xml:space="preserve"> yatırımları, 2024 yılında </w:t>
      </w:r>
      <w:r w:rsidR="00E65FED" w:rsidRPr="3212F08F">
        <w:rPr>
          <w:rFonts w:ascii="Verdana" w:eastAsia="Verdana" w:hAnsi="Verdana" w:cs="Verdana"/>
          <w:b/>
          <w:bCs/>
          <w:sz w:val="32"/>
          <w:szCs w:val="32"/>
        </w:rPr>
        <w:t>2,6</w:t>
      </w:r>
      <w:r w:rsidRPr="3212F08F">
        <w:rPr>
          <w:rFonts w:ascii="Verdana" w:eastAsia="Verdana" w:hAnsi="Verdana" w:cs="Verdana"/>
          <w:b/>
          <w:bCs/>
          <w:sz w:val="32"/>
          <w:szCs w:val="32"/>
        </w:rPr>
        <w:t xml:space="preserve"> milyar</w:t>
      </w:r>
      <w:r w:rsidR="001756DE" w:rsidRPr="3212F08F">
        <w:rPr>
          <w:rFonts w:ascii="Verdana" w:eastAsia="Verdana" w:hAnsi="Verdana" w:cs="Verdana"/>
          <w:b/>
          <w:bCs/>
          <w:sz w:val="32"/>
          <w:szCs w:val="32"/>
        </w:rPr>
        <w:t xml:space="preserve"> ABD</w:t>
      </w:r>
      <w:r w:rsidRPr="3212F08F">
        <w:rPr>
          <w:rFonts w:ascii="Verdana" w:eastAsia="Verdana" w:hAnsi="Verdana" w:cs="Verdana"/>
          <w:b/>
          <w:bCs/>
          <w:sz w:val="32"/>
          <w:szCs w:val="32"/>
        </w:rPr>
        <w:t xml:space="preserve"> dolar</w:t>
      </w:r>
      <w:r w:rsidR="00A86D97" w:rsidRPr="3212F08F">
        <w:rPr>
          <w:rFonts w:ascii="Verdana" w:eastAsia="Verdana" w:hAnsi="Verdana" w:cs="Verdana"/>
          <w:b/>
          <w:bCs/>
          <w:sz w:val="32"/>
          <w:szCs w:val="32"/>
        </w:rPr>
        <w:t>ı</w:t>
      </w:r>
      <w:r w:rsidR="00484A22" w:rsidRPr="3212F08F">
        <w:rPr>
          <w:rFonts w:ascii="Verdana" w:eastAsia="Verdana" w:hAnsi="Verdana" w:cs="Verdana"/>
          <w:b/>
          <w:bCs/>
          <w:sz w:val="32"/>
          <w:szCs w:val="32"/>
        </w:rPr>
        <w:t xml:space="preserve"> ile</w:t>
      </w:r>
      <w:r w:rsidRPr="3212F08F">
        <w:rPr>
          <w:rFonts w:ascii="Verdana" w:eastAsia="Verdana" w:hAnsi="Verdana" w:cs="Verdana"/>
          <w:b/>
          <w:bCs/>
          <w:sz w:val="32"/>
          <w:szCs w:val="32"/>
        </w:rPr>
        <w:t xml:space="preserve"> rekor seviyeye ulaştı</w:t>
      </w:r>
    </w:p>
    <w:p w14:paraId="29448AD9" w14:textId="77777777" w:rsidR="00E35045" w:rsidRPr="00E320A6" w:rsidRDefault="00E35045" w:rsidP="00283DD0">
      <w:pPr>
        <w:spacing w:after="0" w:line="276" w:lineRule="auto"/>
        <w:jc w:val="center"/>
        <w:rPr>
          <w:rFonts w:ascii="Verdana" w:eastAsia="Verdana" w:hAnsi="Verdana" w:cs="Verdana"/>
          <w:b/>
          <w:sz w:val="24"/>
          <w:szCs w:val="24"/>
          <w:highlight w:val="yellow"/>
        </w:rPr>
      </w:pPr>
    </w:p>
    <w:p w14:paraId="458F64B9" w14:textId="4AF35EA7" w:rsidR="00E35045" w:rsidRPr="00E320A6" w:rsidRDefault="00EB58D0" w:rsidP="3212F08F">
      <w:pPr>
        <w:spacing w:after="0" w:line="276" w:lineRule="auto"/>
        <w:jc w:val="center"/>
        <w:rPr>
          <w:rFonts w:ascii="Verdana" w:eastAsia="Verdana" w:hAnsi="Verdana" w:cs="Verdana"/>
          <w:b/>
          <w:bCs/>
        </w:rPr>
      </w:pPr>
      <w:r w:rsidRPr="3212F08F">
        <w:rPr>
          <w:rFonts w:ascii="Verdana" w:eastAsia="Verdana" w:hAnsi="Verdana" w:cs="Verdana"/>
          <w:b/>
          <w:bCs/>
        </w:rPr>
        <w:t xml:space="preserve">KPMG Türkiye M&amp;A ve 212 ekipleri tarafından hazırlanan “Türkiye </w:t>
      </w:r>
      <w:proofErr w:type="spellStart"/>
      <w:r w:rsidRPr="3212F08F">
        <w:rPr>
          <w:rFonts w:ascii="Verdana" w:eastAsia="Verdana" w:hAnsi="Verdana" w:cs="Verdana"/>
          <w:b/>
          <w:bCs/>
        </w:rPr>
        <w:t>Startup</w:t>
      </w:r>
      <w:proofErr w:type="spellEnd"/>
      <w:r w:rsidRPr="3212F08F">
        <w:rPr>
          <w:rFonts w:ascii="Verdana" w:eastAsia="Verdana" w:hAnsi="Verdana" w:cs="Verdana"/>
          <w:b/>
          <w:bCs/>
        </w:rPr>
        <w:t xml:space="preserve"> Yatırımları” raporuna göre, 2024 yılında Türkiye’deki </w:t>
      </w:r>
      <w:proofErr w:type="spellStart"/>
      <w:r w:rsidRPr="3212F08F">
        <w:rPr>
          <w:rFonts w:ascii="Verdana" w:eastAsia="Verdana" w:hAnsi="Verdana" w:cs="Verdana"/>
          <w:b/>
          <w:bCs/>
        </w:rPr>
        <w:t>startup</w:t>
      </w:r>
      <w:proofErr w:type="spellEnd"/>
      <w:r w:rsidRPr="3212F08F">
        <w:rPr>
          <w:rFonts w:ascii="Verdana" w:eastAsia="Verdana" w:hAnsi="Verdana" w:cs="Verdana"/>
          <w:b/>
          <w:bCs/>
        </w:rPr>
        <w:t xml:space="preserve"> yatırımlarında hem işlem sayısında hem de işlem hacminde önemli bir artış kaydedildi. 2023’te 297 olan toplam işlem sayısı, 2024’te 331’e yükselirken</w:t>
      </w:r>
      <w:r w:rsidR="00E65FED" w:rsidRPr="3212F08F">
        <w:rPr>
          <w:rFonts w:ascii="Verdana" w:eastAsia="Verdana" w:hAnsi="Verdana" w:cs="Verdana"/>
          <w:b/>
          <w:bCs/>
        </w:rPr>
        <w:t>,</w:t>
      </w:r>
      <w:r w:rsidR="001756DE" w:rsidRPr="3212F08F">
        <w:rPr>
          <w:rFonts w:ascii="Verdana" w:eastAsia="Verdana" w:hAnsi="Verdana" w:cs="Verdana"/>
          <w:b/>
          <w:bCs/>
        </w:rPr>
        <w:t xml:space="preserve"> açıklanan</w:t>
      </w:r>
      <w:r w:rsidRPr="3212F08F">
        <w:rPr>
          <w:rFonts w:ascii="Verdana" w:eastAsia="Verdana" w:hAnsi="Verdana" w:cs="Verdana"/>
          <w:b/>
          <w:bCs/>
        </w:rPr>
        <w:t xml:space="preserve"> işlem hacmi</w:t>
      </w:r>
      <w:r w:rsidR="00A86D97" w:rsidRPr="3212F08F">
        <w:rPr>
          <w:rFonts w:ascii="Verdana" w:eastAsia="Verdana" w:hAnsi="Verdana" w:cs="Verdana"/>
          <w:b/>
          <w:bCs/>
        </w:rPr>
        <w:t xml:space="preserve">yse </w:t>
      </w:r>
      <w:r w:rsidRPr="3212F08F">
        <w:rPr>
          <w:rFonts w:ascii="Verdana" w:eastAsia="Verdana" w:hAnsi="Verdana" w:cs="Verdana"/>
          <w:b/>
          <w:bCs/>
        </w:rPr>
        <w:t>497 milyon</w:t>
      </w:r>
      <w:r w:rsidR="001756DE" w:rsidRPr="3212F08F">
        <w:rPr>
          <w:rFonts w:ascii="Verdana" w:eastAsia="Verdana" w:hAnsi="Verdana" w:cs="Verdana"/>
          <w:b/>
          <w:bCs/>
        </w:rPr>
        <w:t xml:space="preserve"> ABD</w:t>
      </w:r>
      <w:r w:rsidRPr="3212F08F">
        <w:rPr>
          <w:rFonts w:ascii="Verdana" w:eastAsia="Verdana" w:hAnsi="Verdana" w:cs="Verdana"/>
          <w:b/>
          <w:bCs/>
        </w:rPr>
        <w:t xml:space="preserve"> dolar</w:t>
      </w:r>
      <w:r w:rsidR="001756DE" w:rsidRPr="3212F08F">
        <w:rPr>
          <w:rFonts w:ascii="Verdana" w:eastAsia="Verdana" w:hAnsi="Verdana" w:cs="Verdana"/>
          <w:b/>
          <w:bCs/>
        </w:rPr>
        <w:t>ın</w:t>
      </w:r>
      <w:r w:rsidRPr="3212F08F">
        <w:rPr>
          <w:rFonts w:ascii="Verdana" w:eastAsia="Verdana" w:hAnsi="Verdana" w:cs="Verdana"/>
          <w:b/>
          <w:bCs/>
        </w:rPr>
        <w:t>dan 2,</w:t>
      </w:r>
      <w:r w:rsidR="00C457DD" w:rsidRPr="3212F08F">
        <w:rPr>
          <w:rFonts w:ascii="Verdana" w:eastAsia="Verdana" w:hAnsi="Verdana" w:cs="Verdana"/>
          <w:b/>
          <w:bCs/>
        </w:rPr>
        <w:t>6</w:t>
      </w:r>
      <w:r w:rsidRPr="3212F08F">
        <w:rPr>
          <w:rFonts w:ascii="Verdana" w:eastAsia="Verdana" w:hAnsi="Verdana" w:cs="Verdana"/>
          <w:b/>
          <w:bCs/>
        </w:rPr>
        <w:t xml:space="preserve"> milyar </w:t>
      </w:r>
      <w:r w:rsidR="001756DE" w:rsidRPr="3212F08F">
        <w:rPr>
          <w:rFonts w:ascii="Verdana" w:eastAsia="Verdana" w:hAnsi="Verdana" w:cs="Verdana"/>
          <w:b/>
          <w:bCs/>
        </w:rPr>
        <w:t xml:space="preserve">ABD </w:t>
      </w:r>
      <w:r w:rsidRPr="3212F08F">
        <w:rPr>
          <w:rFonts w:ascii="Verdana" w:eastAsia="Verdana" w:hAnsi="Verdana" w:cs="Verdana"/>
          <w:b/>
          <w:bCs/>
        </w:rPr>
        <w:t>dolar</w:t>
      </w:r>
      <w:r w:rsidR="001756DE" w:rsidRPr="3212F08F">
        <w:rPr>
          <w:rFonts w:ascii="Verdana" w:eastAsia="Verdana" w:hAnsi="Verdana" w:cs="Verdana"/>
          <w:b/>
          <w:bCs/>
        </w:rPr>
        <w:t>ın</w:t>
      </w:r>
      <w:r w:rsidRPr="3212F08F">
        <w:rPr>
          <w:rFonts w:ascii="Verdana" w:eastAsia="Verdana" w:hAnsi="Verdana" w:cs="Verdana"/>
          <w:b/>
          <w:bCs/>
        </w:rPr>
        <w:t>a çıktı.</w:t>
      </w:r>
      <w:r w:rsidR="007B579D" w:rsidRPr="3212F08F">
        <w:rPr>
          <w:rFonts w:ascii="Verdana" w:eastAsia="Verdana" w:hAnsi="Verdana" w:cs="Verdana"/>
          <w:b/>
          <w:bCs/>
        </w:rPr>
        <w:t xml:space="preserve"> </w:t>
      </w:r>
    </w:p>
    <w:p w14:paraId="2917E866" w14:textId="77777777" w:rsidR="00E35045" w:rsidRPr="00E320A6" w:rsidRDefault="00E35045">
      <w:pPr>
        <w:spacing w:after="0" w:line="300" w:lineRule="auto"/>
        <w:jc w:val="center"/>
        <w:rPr>
          <w:rFonts w:ascii="Verdana" w:eastAsia="Verdana" w:hAnsi="Verdana" w:cs="Verdana"/>
          <w:b/>
          <w:sz w:val="24"/>
          <w:szCs w:val="24"/>
        </w:rPr>
      </w:pPr>
    </w:p>
    <w:p w14:paraId="153B46B5" w14:textId="5C640D00" w:rsidR="00E35045" w:rsidRPr="00E320A6" w:rsidRDefault="00EB58D0"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KPMG Türkiye M&amp;A ve 212 ekiplerinin iş birliğiyle, Türkiye'deki girişim sermayesi piyasasının karşı karşıya olduğu temel eğilimleri, fırsatları ve zorlukları ortaya koymak amacıyla hazırlanan “Türkiye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Yatırımları” raporunun 2024 yılı sonuçları açıklandı.</w:t>
      </w:r>
      <w:r w:rsidR="007B579D" w:rsidRPr="3212F08F">
        <w:rPr>
          <w:rFonts w:ascii="Verdana" w:eastAsia="Verdana" w:hAnsi="Verdana" w:cs="Verdana"/>
          <w:sz w:val="20"/>
          <w:szCs w:val="20"/>
        </w:rPr>
        <w:t xml:space="preserve"> </w:t>
      </w:r>
    </w:p>
    <w:p w14:paraId="1E144354" w14:textId="77777777" w:rsidR="00E35045" w:rsidRPr="00E320A6" w:rsidRDefault="00E35045" w:rsidP="00283DD0">
      <w:pPr>
        <w:spacing w:after="0" w:line="300" w:lineRule="auto"/>
        <w:jc w:val="both"/>
        <w:rPr>
          <w:rFonts w:ascii="Verdana" w:eastAsia="Verdana" w:hAnsi="Verdana" w:cs="Verdana"/>
          <w:sz w:val="20"/>
          <w:szCs w:val="20"/>
        </w:rPr>
      </w:pPr>
    </w:p>
    <w:p w14:paraId="0A67C27D" w14:textId="6CAF1D62" w:rsidR="00E35045" w:rsidRPr="00E320A6" w:rsidRDefault="00EB58D0"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Rapora göre, küresel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ekosistemi, son 7 yılın en düşük seviyesine gerileyen işlem </w:t>
      </w:r>
      <w:proofErr w:type="gramStart"/>
      <w:r w:rsidRPr="3212F08F">
        <w:rPr>
          <w:rFonts w:ascii="Verdana" w:eastAsia="Verdana" w:hAnsi="Verdana" w:cs="Verdana"/>
          <w:sz w:val="20"/>
          <w:szCs w:val="20"/>
        </w:rPr>
        <w:t>sayısındaki</w:t>
      </w:r>
      <w:proofErr w:type="gramEnd"/>
      <w:r w:rsidRPr="3212F08F">
        <w:rPr>
          <w:rFonts w:ascii="Verdana" w:eastAsia="Verdana" w:hAnsi="Verdana" w:cs="Verdana"/>
          <w:sz w:val="20"/>
          <w:szCs w:val="20"/>
        </w:rPr>
        <w:t xml:space="preserve"> hafif düşüşe rağmen</w:t>
      </w:r>
      <w:r w:rsidR="00A86D97" w:rsidRPr="3212F08F">
        <w:rPr>
          <w:rFonts w:ascii="Verdana" w:eastAsia="Verdana" w:hAnsi="Verdana" w:cs="Verdana"/>
          <w:sz w:val="20"/>
          <w:szCs w:val="20"/>
        </w:rPr>
        <w:t>,</w:t>
      </w:r>
      <w:r w:rsidRPr="3212F08F">
        <w:rPr>
          <w:rFonts w:ascii="Verdana" w:eastAsia="Verdana" w:hAnsi="Verdana" w:cs="Verdana"/>
          <w:sz w:val="20"/>
          <w:szCs w:val="20"/>
        </w:rPr>
        <w:t xml:space="preserve"> yatırımlardaki artışla 2024 yılında dayanıklı bir seyir izledi. Küresel çapta işlem sayısı yaklaşık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 xml:space="preserve">6'lık bir düşüşle 35.685'e gerilese de işlem hacmi bir önceki yıla göre yaklaşık </w:t>
      </w:r>
      <w:r w:rsidR="00283DD0" w:rsidRPr="3212F08F">
        <w:rPr>
          <w:rFonts w:ascii="Verdana" w:eastAsia="Verdana" w:hAnsi="Verdana" w:cs="Verdana"/>
          <w:sz w:val="20"/>
          <w:szCs w:val="20"/>
        </w:rPr>
        <w:t xml:space="preserve">yüzde </w:t>
      </w:r>
      <w:r w:rsidR="00940D00" w:rsidRPr="3212F08F">
        <w:rPr>
          <w:rFonts w:ascii="Verdana" w:eastAsia="Verdana" w:hAnsi="Verdana" w:cs="Verdana"/>
          <w:sz w:val="20"/>
          <w:szCs w:val="20"/>
        </w:rPr>
        <w:t>7</w:t>
      </w:r>
      <w:r w:rsidRPr="3212F08F">
        <w:rPr>
          <w:rFonts w:ascii="Verdana" w:eastAsia="Verdana" w:hAnsi="Verdana" w:cs="Verdana"/>
          <w:sz w:val="20"/>
          <w:szCs w:val="20"/>
        </w:rPr>
        <w:t xml:space="preserve"> artarak 368,3 milyar </w:t>
      </w:r>
      <w:r w:rsidR="001756DE" w:rsidRPr="3212F08F">
        <w:rPr>
          <w:rFonts w:ascii="Verdana" w:eastAsia="Verdana" w:hAnsi="Verdana" w:cs="Verdana"/>
          <w:sz w:val="20"/>
          <w:szCs w:val="20"/>
        </w:rPr>
        <w:t xml:space="preserve">ABD </w:t>
      </w:r>
      <w:r w:rsidRPr="3212F08F">
        <w:rPr>
          <w:rFonts w:ascii="Verdana" w:eastAsia="Verdana" w:hAnsi="Verdana" w:cs="Verdana"/>
          <w:sz w:val="20"/>
          <w:szCs w:val="20"/>
        </w:rPr>
        <w:t>dolar</w:t>
      </w:r>
      <w:r w:rsidR="001756DE" w:rsidRPr="3212F08F">
        <w:rPr>
          <w:rFonts w:ascii="Verdana" w:eastAsia="Verdana" w:hAnsi="Verdana" w:cs="Verdana"/>
          <w:sz w:val="20"/>
          <w:szCs w:val="20"/>
        </w:rPr>
        <w:t>ın</w:t>
      </w:r>
      <w:r w:rsidRPr="3212F08F">
        <w:rPr>
          <w:rFonts w:ascii="Verdana" w:eastAsia="Verdana" w:hAnsi="Verdana" w:cs="Verdana"/>
          <w:sz w:val="20"/>
          <w:szCs w:val="20"/>
        </w:rPr>
        <w:t xml:space="preserve">a ulaştı. 2024 yılında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dünyası; yapay zekâ, savunma teknolojileri, sağlık ve biyoteknoloji, siber güvenlik ve alternatif enerji gibi yükse</w:t>
      </w:r>
      <w:r w:rsidR="00A86D97" w:rsidRPr="3212F08F">
        <w:rPr>
          <w:rFonts w:ascii="Verdana" w:eastAsia="Verdana" w:hAnsi="Verdana" w:cs="Verdana"/>
          <w:sz w:val="20"/>
          <w:szCs w:val="20"/>
        </w:rPr>
        <w:t>liş trendindeki</w:t>
      </w:r>
      <w:r w:rsidRPr="3212F08F">
        <w:rPr>
          <w:rFonts w:ascii="Verdana" w:eastAsia="Verdana" w:hAnsi="Verdana" w:cs="Verdana"/>
          <w:sz w:val="20"/>
          <w:szCs w:val="20"/>
        </w:rPr>
        <w:t xml:space="preserve"> sektörlerin yanı sıra, jeopolitik gerilimler, enflasyon ve faiz oranlarına ilişkin artan endişeler</w:t>
      </w:r>
      <w:r w:rsidR="00A86D97" w:rsidRPr="3212F08F">
        <w:rPr>
          <w:rFonts w:ascii="Verdana" w:eastAsia="Verdana" w:hAnsi="Verdana" w:cs="Verdana"/>
          <w:sz w:val="20"/>
          <w:szCs w:val="20"/>
        </w:rPr>
        <w:t xml:space="preserve">le </w:t>
      </w:r>
      <w:r w:rsidRPr="3212F08F">
        <w:rPr>
          <w:rFonts w:ascii="Verdana" w:eastAsia="Verdana" w:hAnsi="Verdana" w:cs="Verdana"/>
          <w:sz w:val="20"/>
          <w:szCs w:val="20"/>
        </w:rPr>
        <w:t>değerleme ve çıkış stratejilerindeki zorluklar tarafından şekillendi.</w:t>
      </w:r>
    </w:p>
    <w:p w14:paraId="499CE823" w14:textId="77777777" w:rsidR="00E35045" w:rsidRPr="00E320A6" w:rsidRDefault="00E35045" w:rsidP="00283DD0">
      <w:pPr>
        <w:spacing w:after="0" w:line="300" w:lineRule="auto"/>
        <w:jc w:val="both"/>
        <w:rPr>
          <w:rFonts w:ascii="Verdana" w:eastAsia="Verdana" w:hAnsi="Verdana" w:cs="Verdana"/>
          <w:sz w:val="20"/>
          <w:szCs w:val="20"/>
        </w:rPr>
      </w:pPr>
    </w:p>
    <w:p w14:paraId="23825F6F" w14:textId="51CBFD84" w:rsidR="00E35045" w:rsidRPr="00E320A6" w:rsidRDefault="00EB58D0"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Küresel ekonomik belirsizlikler, dünya genelinde girişimcilik faaliyetlerinde düşüşe yol açarken, Türkiye’de de benzer eğilimler yaşandı. Ancak Türkiye’nin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ekosistemi, toplam yatırım miktarındaki artışla küresel trendlere kıyasla daha dirençli bir performans sergiledi. Türk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yatırımlarında hem işlem sayısında hem de işlem hacminde önemli bir artış kaydedildi. 2023’te 297 olan toplam işlem sayısı, 2024’te 331’e yükselirken</w:t>
      </w:r>
      <w:r w:rsidR="001756DE" w:rsidRPr="3212F08F">
        <w:rPr>
          <w:rFonts w:ascii="Verdana" w:eastAsia="Verdana" w:hAnsi="Verdana" w:cs="Verdana"/>
          <w:sz w:val="20"/>
          <w:szCs w:val="20"/>
        </w:rPr>
        <w:t xml:space="preserve"> açıklanan</w:t>
      </w:r>
      <w:r w:rsidRPr="3212F08F">
        <w:rPr>
          <w:rFonts w:ascii="Verdana" w:eastAsia="Verdana" w:hAnsi="Verdana" w:cs="Verdana"/>
          <w:sz w:val="20"/>
          <w:szCs w:val="20"/>
        </w:rPr>
        <w:t xml:space="preserve"> işlem hacmi 497 milyon</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1756DE" w:rsidRPr="3212F08F">
        <w:rPr>
          <w:rFonts w:ascii="Verdana" w:eastAsia="Verdana" w:hAnsi="Verdana" w:cs="Verdana"/>
          <w:sz w:val="20"/>
          <w:szCs w:val="20"/>
        </w:rPr>
        <w:t>ın</w:t>
      </w:r>
      <w:r w:rsidRPr="3212F08F">
        <w:rPr>
          <w:rFonts w:ascii="Verdana" w:eastAsia="Verdana" w:hAnsi="Verdana" w:cs="Verdana"/>
          <w:sz w:val="20"/>
          <w:szCs w:val="20"/>
        </w:rPr>
        <w:t>dan 2,</w:t>
      </w:r>
      <w:r w:rsidR="00C457DD" w:rsidRPr="3212F08F">
        <w:rPr>
          <w:rFonts w:ascii="Verdana" w:eastAsia="Verdana" w:hAnsi="Verdana" w:cs="Verdana"/>
          <w:sz w:val="20"/>
          <w:szCs w:val="20"/>
        </w:rPr>
        <w:t>6</w:t>
      </w:r>
      <w:r w:rsidRPr="3212F08F">
        <w:rPr>
          <w:rFonts w:ascii="Verdana" w:eastAsia="Verdana" w:hAnsi="Verdana" w:cs="Verdana"/>
          <w:sz w:val="20"/>
          <w:szCs w:val="20"/>
        </w:rPr>
        <w:t xml:space="preserve"> milyar</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1756DE" w:rsidRPr="3212F08F">
        <w:rPr>
          <w:rFonts w:ascii="Verdana" w:eastAsia="Verdana" w:hAnsi="Verdana" w:cs="Verdana"/>
          <w:sz w:val="20"/>
          <w:szCs w:val="20"/>
        </w:rPr>
        <w:t>ın</w:t>
      </w:r>
      <w:r w:rsidRPr="3212F08F">
        <w:rPr>
          <w:rFonts w:ascii="Verdana" w:eastAsia="Verdana" w:hAnsi="Verdana" w:cs="Verdana"/>
          <w:sz w:val="20"/>
          <w:szCs w:val="20"/>
        </w:rPr>
        <w:t>a çıkarak rekor seviyeye ulaştı.</w:t>
      </w:r>
    </w:p>
    <w:p w14:paraId="5B93DB32" w14:textId="77777777" w:rsidR="00E35045" w:rsidRPr="00E320A6" w:rsidRDefault="00E35045" w:rsidP="00283DD0">
      <w:pPr>
        <w:spacing w:after="0" w:line="300" w:lineRule="auto"/>
        <w:jc w:val="both"/>
        <w:rPr>
          <w:rFonts w:ascii="Verdana" w:eastAsia="Verdana" w:hAnsi="Verdana" w:cs="Verdana"/>
          <w:sz w:val="20"/>
          <w:szCs w:val="20"/>
        </w:rPr>
      </w:pPr>
    </w:p>
    <w:p w14:paraId="524CFE01" w14:textId="2D0F4F21" w:rsidR="00E35045" w:rsidRPr="00E320A6" w:rsidRDefault="007B579D" w:rsidP="3212F08F">
      <w:pPr>
        <w:spacing w:after="0" w:line="300" w:lineRule="auto"/>
        <w:jc w:val="both"/>
        <w:rPr>
          <w:rFonts w:ascii="Verdana" w:eastAsia="Arial" w:hAnsi="Verdana" w:cs="Arial"/>
          <w:sz w:val="20"/>
          <w:szCs w:val="20"/>
        </w:rPr>
      </w:pPr>
      <w:r w:rsidRPr="3212F08F">
        <w:rPr>
          <w:rFonts w:ascii="Verdana" w:eastAsia="Verdana" w:hAnsi="Verdana" w:cs="Verdana"/>
          <w:b/>
          <w:bCs/>
          <w:sz w:val="20"/>
          <w:szCs w:val="20"/>
        </w:rPr>
        <w:t>KPMG Türkiye M&amp;A Danışmanlık Hizmetleri, Şirket Ortağı Özge İlhan Acar</w:t>
      </w:r>
      <w:r w:rsidRPr="3212F08F">
        <w:rPr>
          <w:rFonts w:ascii="Verdana" w:eastAsia="Verdana" w:hAnsi="Verdana" w:cs="Verdana"/>
          <w:sz w:val="20"/>
          <w:szCs w:val="20"/>
        </w:rPr>
        <w:t xml:space="preserve"> yaptığı değerlendirmede şunları söyledi: “</w:t>
      </w:r>
      <w:r w:rsidRPr="3212F08F">
        <w:rPr>
          <w:rFonts w:ascii="Verdana" w:eastAsia="Arial" w:hAnsi="Verdana" w:cs="Arial"/>
          <w:sz w:val="20"/>
          <w:szCs w:val="20"/>
        </w:rPr>
        <w:t xml:space="preserve">2024 yılı, global ölçekte büyümenin yavaşladığı bir dönem oldu. ABD’deki başkanlık seçimleri, devam eden Rusya-Ukrayna savaşı ve Orta Doğu’daki jeopolitik gerginlikler, küresel piyasalarda belirsizliğe yol açarak yatırımcıların temkinli hareket etmelerine neden oldu. </w:t>
      </w:r>
      <w:r w:rsidR="00E65FED" w:rsidRPr="3212F08F">
        <w:rPr>
          <w:rFonts w:ascii="Verdana" w:eastAsia="Arial" w:hAnsi="Verdana" w:cs="Arial"/>
          <w:sz w:val="20"/>
          <w:szCs w:val="20"/>
        </w:rPr>
        <w:t>Bu doğrultuda,</w:t>
      </w:r>
      <w:r w:rsidRPr="3212F08F">
        <w:rPr>
          <w:rFonts w:ascii="Verdana" w:eastAsia="Arial" w:hAnsi="Verdana" w:cs="Arial"/>
          <w:sz w:val="20"/>
          <w:szCs w:val="20"/>
        </w:rPr>
        <w:t xml:space="preserve"> Türkiye girişim ekosistemi global trendler</w:t>
      </w:r>
      <w:r w:rsidR="00E65FED" w:rsidRPr="3212F08F">
        <w:rPr>
          <w:rFonts w:ascii="Verdana" w:eastAsia="Arial" w:hAnsi="Verdana" w:cs="Arial"/>
          <w:sz w:val="20"/>
          <w:szCs w:val="20"/>
        </w:rPr>
        <w:t>l</w:t>
      </w:r>
      <w:r w:rsidRPr="3212F08F">
        <w:rPr>
          <w:rFonts w:ascii="Verdana" w:eastAsia="Arial" w:hAnsi="Verdana" w:cs="Arial"/>
          <w:sz w:val="20"/>
          <w:szCs w:val="20"/>
        </w:rPr>
        <w:t xml:space="preserve">e paralel </w:t>
      </w:r>
      <w:r w:rsidR="00E65FED" w:rsidRPr="3212F08F">
        <w:rPr>
          <w:rFonts w:ascii="Verdana" w:eastAsia="Arial" w:hAnsi="Verdana" w:cs="Arial"/>
          <w:sz w:val="20"/>
          <w:szCs w:val="20"/>
        </w:rPr>
        <w:t>bir trend izleyerek artış gösterse de Türkiye’deki artış oranı globale kıyasla</w:t>
      </w:r>
      <w:r w:rsidRPr="3212F08F">
        <w:rPr>
          <w:rFonts w:ascii="Verdana" w:eastAsia="Arial" w:hAnsi="Verdana" w:cs="Arial"/>
          <w:sz w:val="20"/>
          <w:szCs w:val="20"/>
        </w:rPr>
        <w:t xml:space="preserve"> </w:t>
      </w:r>
      <w:r w:rsidR="00E65FED" w:rsidRPr="3212F08F">
        <w:rPr>
          <w:rFonts w:ascii="Verdana" w:eastAsia="Arial" w:hAnsi="Verdana" w:cs="Arial"/>
          <w:sz w:val="20"/>
          <w:szCs w:val="20"/>
        </w:rPr>
        <w:t>rekor</w:t>
      </w:r>
      <w:r w:rsidRPr="3212F08F">
        <w:rPr>
          <w:rFonts w:ascii="Verdana" w:eastAsia="Arial" w:hAnsi="Verdana" w:cs="Arial"/>
          <w:sz w:val="20"/>
          <w:szCs w:val="20"/>
        </w:rPr>
        <w:t xml:space="preserve"> </w:t>
      </w:r>
      <w:r w:rsidR="00E65FED" w:rsidRPr="3212F08F">
        <w:rPr>
          <w:rFonts w:ascii="Verdana" w:eastAsia="Arial" w:hAnsi="Verdana" w:cs="Arial"/>
          <w:sz w:val="20"/>
          <w:szCs w:val="20"/>
        </w:rPr>
        <w:t>seviyedeydi</w:t>
      </w:r>
      <w:r w:rsidRPr="3212F08F">
        <w:rPr>
          <w:rFonts w:ascii="Verdana" w:eastAsia="Arial" w:hAnsi="Verdana" w:cs="Arial"/>
          <w:sz w:val="20"/>
          <w:szCs w:val="20"/>
        </w:rPr>
        <w:t>. 2024 yılında</w:t>
      </w:r>
      <w:r w:rsidR="00A86D97" w:rsidRPr="3212F08F">
        <w:rPr>
          <w:rFonts w:ascii="Verdana" w:eastAsia="Arial" w:hAnsi="Verdana" w:cs="Arial"/>
          <w:sz w:val="20"/>
          <w:szCs w:val="20"/>
        </w:rPr>
        <w:t>,</w:t>
      </w:r>
      <w:r w:rsidRPr="3212F08F">
        <w:rPr>
          <w:rFonts w:ascii="Verdana" w:eastAsia="Arial" w:hAnsi="Verdana" w:cs="Arial"/>
          <w:sz w:val="20"/>
          <w:szCs w:val="20"/>
        </w:rPr>
        <w:t xml:space="preserve"> toplam işlem hacmi </w:t>
      </w:r>
      <w:r w:rsidR="00E65FED" w:rsidRPr="3212F08F">
        <w:rPr>
          <w:rFonts w:ascii="Verdana" w:eastAsia="Arial" w:hAnsi="Verdana" w:cs="Arial"/>
          <w:sz w:val="20"/>
          <w:szCs w:val="20"/>
        </w:rPr>
        <w:t xml:space="preserve">bir önceki yıla kıyasla yaklaşık 2,1 milyar ABD doları artış göstererek </w:t>
      </w:r>
      <w:r w:rsidRPr="3212F08F">
        <w:rPr>
          <w:rFonts w:ascii="Verdana" w:eastAsia="Arial" w:hAnsi="Verdana" w:cs="Arial"/>
          <w:sz w:val="20"/>
          <w:szCs w:val="20"/>
        </w:rPr>
        <w:t>2,</w:t>
      </w:r>
      <w:r w:rsidR="00C457DD" w:rsidRPr="3212F08F">
        <w:rPr>
          <w:rFonts w:ascii="Verdana" w:eastAsia="Arial" w:hAnsi="Verdana" w:cs="Arial"/>
          <w:sz w:val="20"/>
          <w:szCs w:val="20"/>
        </w:rPr>
        <w:t>6</w:t>
      </w:r>
      <w:r w:rsidRPr="3212F08F">
        <w:rPr>
          <w:rFonts w:ascii="Verdana" w:eastAsia="Arial" w:hAnsi="Verdana" w:cs="Arial"/>
          <w:sz w:val="20"/>
          <w:szCs w:val="20"/>
        </w:rPr>
        <w:t xml:space="preserve"> milyar </w:t>
      </w:r>
      <w:r w:rsidR="001756DE" w:rsidRPr="3212F08F">
        <w:rPr>
          <w:rFonts w:ascii="Verdana" w:eastAsia="Arial" w:hAnsi="Verdana" w:cs="Arial"/>
          <w:sz w:val="20"/>
          <w:szCs w:val="20"/>
        </w:rPr>
        <w:t xml:space="preserve">ABD </w:t>
      </w:r>
      <w:r w:rsidRPr="3212F08F">
        <w:rPr>
          <w:rFonts w:ascii="Verdana" w:eastAsia="Arial" w:hAnsi="Verdana" w:cs="Arial"/>
          <w:sz w:val="20"/>
          <w:szCs w:val="20"/>
        </w:rPr>
        <w:t>dolar</w:t>
      </w:r>
      <w:r w:rsidR="001756DE" w:rsidRPr="3212F08F">
        <w:rPr>
          <w:rFonts w:ascii="Verdana" w:eastAsia="Arial" w:hAnsi="Verdana" w:cs="Arial"/>
          <w:sz w:val="20"/>
          <w:szCs w:val="20"/>
        </w:rPr>
        <w:t>ın</w:t>
      </w:r>
      <w:r w:rsidRPr="3212F08F">
        <w:rPr>
          <w:rFonts w:ascii="Verdana" w:eastAsia="Arial" w:hAnsi="Verdana" w:cs="Arial"/>
          <w:sz w:val="20"/>
          <w:szCs w:val="20"/>
        </w:rPr>
        <w:t>a çık</w:t>
      </w:r>
      <w:r w:rsidR="00E65FED" w:rsidRPr="3212F08F">
        <w:rPr>
          <w:rFonts w:ascii="Verdana" w:eastAsia="Arial" w:hAnsi="Verdana" w:cs="Arial"/>
          <w:sz w:val="20"/>
          <w:szCs w:val="20"/>
        </w:rPr>
        <w:t>tı</w:t>
      </w:r>
      <w:r w:rsidRPr="3212F08F">
        <w:rPr>
          <w:rFonts w:ascii="Verdana" w:eastAsia="Arial" w:hAnsi="Verdana" w:cs="Arial"/>
          <w:sz w:val="20"/>
          <w:szCs w:val="20"/>
        </w:rPr>
        <w:t>.</w:t>
      </w:r>
      <w:r w:rsidR="00E65FED" w:rsidRPr="3212F08F">
        <w:rPr>
          <w:rFonts w:ascii="Verdana" w:eastAsia="Arial" w:hAnsi="Verdana" w:cs="Arial"/>
          <w:sz w:val="20"/>
          <w:szCs w:val="20"/>
        </w:rPr>
        <w:t xml:space="preserve"> Bu artışın önemli nedenlerinden biri </w:t>
      </w:r>
      <w:proofErr w:type="spellStart"/>
      <w:r w:rsidR="00E65FED" w:rsidRPr="3212F08F">
        <w:rPr>
          <w:rFonts w:ascii="Verdana" w:eastAsia="Arial" w:hAnsi="Verdana" w:cs="Arial"/>
          <w:sz w:val="20"/>
          <w:szCs w:val="20"/>
        </w:rPr>
        <w:t>Hepsiburada’nın</w:t>
      </w:r>
      <w:proofErr w:type="spellEnd"/>
      <w:r w:rsidR="00E65FED" w:rsidRPr="3212F08F">
        <w:rPr>
          <w:rFonts w:ascii="Verdana" w:eastAsia="Arial" w:hAnsi="Verdana" w:cs="Arial"/>
          <w:sz w:val="20"/>
          <w:szCs w:val="20"/>
        </w:rPr>
        <w:t xml:space="preserve"> 1,1 milyar ABD doları rekor bedel</w:t>
      </w:r>
      <w:r w:rsidR="00A86D97" w:rsidRPr="3212F08F">
        <w:rPr>
          <w:rFonts w:ascii="Verdana" w:eastAsia="Arial" w:hAnsi="Verdana" w:cs="Arial"/>
          <w:sz w:val="20"/>
          <w:szCs w:val="20"/>
        </w:rPr>
        <w:t xml:space="preserve">le </w:t>
      </w:r>
      <w:r w:rsidR="00E65FED" w:rsidRPr="3212F08F">
        <w:rPr>
          <w:rFonts w:ascii="Verdana" w:eastAsia="Arial" w:hAnsi="Verdana" w:cs="Arial"/>
          <w:sz w:val="20"/>
          <w:szCs w:val="20"/>
        </w:rPr>
        <w:t xml:space="preserve">Kazakistan menşeili </w:t>
      </w:r>
      <w:proofErr w:type="spellStart"/>
      <w:r w:rsidR="00E65FED" w:rsidRPr="3212F08F">
        <w:rPr>
          <w:rFonts w:ascii="Verdana" w:eastAsia="Arial" w:hAnsi="Verdana" w:cs="Arial"/>
          <w:sz w:val="20"/>
          <w:szCs w:val="20"/>
        </w:rPr>
        <w:t>Kaspi.kz’ye</w:t>
      </w:r>
      <w:proofErr w:type="spellEnd"/>
      <w:r w:rsidR="00E65FED" w:rsidRPr="3212F08F">
        <w:rPr>
          <w:rFonts w:ascii="Verdana" w:eastAsia="Arial" w:hAnsi="Verdana" w:cs="Arial"/>
          <w:sz w:val="20"/>
          <w:szCs w:val="20"/>
        </w:rPr>
        <w:t xml:space="preserve"> satılması olsa da bu işlem hariç bakıldığındaki artış da azımsanacak gibi değil çünkü 1 milyar ABD doları seviyesinde. </w:t>
      </w:r>
      <w:r w:rsidRPr="3212F08F">
        <w:rPr>
          <w:rFonts w:ascii="Verdana" w:eastAsia="Arial" w:hAnsi="Verdana" w:cs="Arial"/>
          <w:sz w:val="20"/>
          <w:szCs w:val="20"/>
        </w:rPr>
        <w:t>Ayrıca,</w:t>
      </w:r>
      <w:r w:rsidR="00E65FED" w:rsidRPr="3212F08F">
        <w:rPr>
          <w:rFonts w:ascii="Verdana" w:eastAsia="Arial" w:hAnsi="Verdana" w:cs="Arial"/>
          <w:sz w:val="20"/>
          <w:szCs w:val="20"/>
        </w:rPr>
        <w:t xml:space="preserve"> Türkiye girişim ekosistemi</w:t>
      </w:r>
      <w:r w:rsidRPr="3212F08F">
        <w:rPr>
          <w:rFonts w:ascii="Verdana" w:eastAsia="Arial" w:hAnsi="Verdana" w:cs="Arial"/>
          <w:sz w:val="20"/>
          <w:szCs w:val="20"/>
        </w:rPr>
        <w:t xml:space="preserve"> işlem sayısında </w:t>
      </w:r>
      <w:r w:rsidRPr="3212F08F">
        <w:rPr>
          <w:rFonts w:ascii="Verdana" w:eastAsia="Arial" w:hAnsi="Verdana" w:cs="Arial"/>
          <w:sz w:val="20"/>
          <w:szCs w:val="20"/>
        </w:rPr>
        <w:lastRenderedPageBreak/>
        <w:t>da 2023 yılın</w:t>
      </w:r>
      <w:r w:rsidR="00E65FED" w:rsidRPr="3212F08F">
        <w:rPr>
          <w:rFonts w:ascii="Verdana" w:eastAsia="Arial" w:hAnsi="Verdana" w:cs="Arial"/>
          <w:sz w:val="20"/>
          <w:szCs w:val="20"/>
        </w:rPr>
        <w:t>d</w:t>
      </w:r>
      <w:r w:rsidRPr="3212F08F">
        <w:rPr>
          <w:rFonts w:ascii="Verdana" w:eastAsia="Arial" w:hAnsi="Verdana" w:cs="Arial"/>
          <w:sz w:val="20"/>
          <w:szCs w:val="20"/>
        </w:rPr>
        <w:t>a</w:t>
      </w:r>
      <w:r w:rsidR="00E65FED" w:rsidRPr="3212F08F">
        <w:rPr>
          <w:rFonts w:ascii="Verdana" w:eastAsia="Arial" w:hAnsi="Verdana" w:cs="Arial"/>
          <w:sz w:val="20"/>
          <w:szCs w:val="20"/>
        </w:rPr>
        <w:t xml:space="preserve"> gerçekleşen 297 işleme kıyasla, 2024 yılında gerçekleşen </w:t>
      </w:r>
      <w:r w:rsidRPr="3212F08F">
        <w:rPr>
          <w:rFonts w:ascii="Verdana" w:eastAsia="Arial" w:hAnsi="Verdana" w:cs="Arial"/>
          <w:sz w:val="20"/>
          <w:szCs w:val="20"/>
        </w:rPr>
        <w:t xml:space="preserve">331 </w:t>
      </w:r>
      <w:r w:rsidR="00E65FED" w:rsidRPr="3212F08F">
        <w:rPr>
          <w:rFonts w:ascii="Verdana" w:eastAsia="Arial" w:hAnsi="Verdana" w:cs="Arial"/>
          <w:sz w:val="20"/>
          <w:szCs w:val="20"/>
        </w:rPr>
        <w:t xml:space="preserve">adet </w:t>
      </w:r>
      <w:r w:rsidRPr="3212F08F">
        <w:rPr>
          <w:rFonts w:ascii="Verdana" w:eastAsia="Arial" w:hAnsi="Verdana" w:cs="Arial"/>
          <w:sz w:val="20"/>
          <w:szCs w:val="20"/>
        </w:rPr>
        <w:t>işlem</w:t>
      </w:r>
      <w:r w:rsidR="00A86D97" w:rsidRPr="3212F08F">
        <w:rPr>
          <w:rFonts w:ascii="Verdana" w:eastAsia="Arial" w:hAnsi="Verdana" w:cs="Arial"/>
          <w:sz w:val="20"/>
          <w:szCs w:val="20"/>
        </w:rPr>
        <w:t xml:space="preserve">le </w:t>
      </w:r>
      <w:r w:rsidR="00E65FED" w:rsidRPr="3212F08F">
        <w:rPr>
          <w:rFonts w:ascii="Verdana" w:eastAsia="Arial" w:hAnsi="Verdana" w:cs="Arial"/>
          <w:sz w:val="20"/>
          <w:szCs w:val="20"/>
        </w:rPr>
        <w:t xml:space="preserve">global ekosisteme kıyasla </w:t>
      </w:r>
      <w:r w:rsidRPr="3212F08F">
        <w:rPr>
          <w:rFonts w:ascii="Verdana" w:eastAsia="Arial" w:hAnsi="Verdana" w:cs="Arial"/>
          <w:sz w:val="20"/>
          <w:szCs w:val="20"/>
        </w:rPr>
        <w:t xml:space="preserve">pozitif </w:t>
      </w:r>
      <w:r w:rsidR="00E65FED" w:rsidRPr="3212F08F">
        <w:rPr>
          <w:rFonts w:ascii="Verdana" w:eastAsia="Arial" w:hAnsi="Verdana" w:cs="Arial"/>
          <w:sz w:val="20"/>
          <w:szCs w:val="20"/>
        </w:rPr>
        <w:t>ayrıştı</w:t>
      </w:r>
      <w:r w:rsidRPr="3212F08F">
        <w:rPr>
          <w:rFonts w:ascii="Verdana" w:eastAsia="Arial" w:hAnsi="Verdana" w:cs="Arial"/>
          <w:sz w:val="20"/>
          <w:szCs w:val="20"/>
        </w:rPr>
        <w:t>.</w:t>
      </w:r>
      <w:r w:rsidRPr="3212F08F">
        <w:rPr>
          <w:rFonts w:ascii="Verdana" w:eastAsia="Verdana" w:hAnsi="Verdana" w:cs="Verdana"/>
          <w:sz w:val="20"/>
          <w:szCs w:val="20"/>
        </w:rPr>
        <w:t xml:space="preserve">” </w:t>
      </w:r>
    </w:p>
    <w:p w14:paraId="6EB95B54" w14:textId="77777777" w:rsidR="00E35045" w:rsidRPr="00E320A6" w:rsidRDefault="00E35045">
      <w:pPr>
        <w:spacing w:after="0" w:line="300" w:lineRule="auto"/>
        <w:jc w:val="both"/>
        <w:rPr>
          <w:rFonts w:ascii="Verdana" w:eastAsia="Verdana" w:hAnsi="Verdana" w:cs="Verdana"/>
          <w:b/>
          <w:sz w:val="20"/>
          <w:szCs w:val="20"/>
          <w:highlight w:val="yellow"/>
        </w:rPr>
      </w:pPr>
    </w:p>
    <w:p w14:paraId="57F1A617" w14:textId="77777777" w:rsidR="00E35045" w:rsidRPr="00E320A6" w:rsidRDefault="007B579D" w:rsidP="3212F08F">
      <w:pPr>
        <w:spacing w:after="0" w:line="300" w:lineRule="auto"/>
        <w:jc w:val="both"/>
        <w:rPr>
          <w:rFonts w:ascii="Verdana" w:eastAsia="Verdana" w:hAnsi="Verdana" w:cs="Verdana"/>
          <w:color w:val="1D1C1D"/>
          <w:sz w:val="20"/>
          <w:szCs w:val="20"/>
        </w:rPr>
      </w:pPr>
      <w:r w:rsidRPr="3212F08F">
        <w:rPr>
          <w:rFonts w:ascii="Verdana" w:eastAsia="Verdana" w:hAnsi="Verdana" w:cs="Verdana"/>
          <w:b/>
          <w:bCs/>
          <w:sz w:val="20"/>
          <w:szCs w:val="20"/>
        </w:rPr>
        <w:t>212 Kurucu Ortağı Ali Karabey</w:t>
      </w:r>
      <w:r w:rsidRPr="3212F08F">
        <w:rPr>
          <w:rFonts w:ascii="Verdana" w:eastAsia="Verdana" w:hAnsi="Verdana" w:cs="Verdana"/>
          <w:sz w:val="20"/>
          <w:szCs w:val="20"/>
        </w:rPr>
        <w:t xml:space="preserve"> ise açıklamasında, </w:t>
      </w:r>
      <w:r w:rsidRPr="3212F08F">
        <w:rPr>
          <w:rFonts w:ascii="Verdana" w:eastAsia="Verdana" w:hAnsi="Verdana" w:cs="Verdana"/>
          <w:color w:val="1D1C1D"/>
          <w:sz w:val="20"/>
          <w:szCs w:val="20"/>
        </w:rPr>
        <w:t>“</w:t>
      </w:r>
      <w:r w:rsidRPr="3212F08F">
        <w:rPr>
          <w:rFonts w:ascii="Verdana" w:eastAsia="Arial" w:hAnsi="Verdana" w:cs="Arial"/>
          <w:color w:val="222222"/>
          <w:sz w:val="20"/>
          <w:szCs w:val="20"/>
        </w:rPr>
        <w:t xml:space="preserve">2024 yılı, Türkiye </w:t>
      </w:r>
      <w:proofErr w:type="spellStart"/>
      <w:r w:rsidRPr="3212F08F">
        <w:rPr>
          <w:rFonts w:ascii="Verdana" w:eastAsia="Arial" w:hAnsi="Verdana" w:cs="Arial"/>
          <w:color w:val="222222"/>
          <w:sz w:val="20"/>
          <w:szCs w:val="20"/>
        </w:rPr>
        <w:t>startup</w:t>
      </w:r>
      <w:proofErr w:type="spellEnd"/>
      <w:r w:rsidRPr="3212F08F">
        <w:rPr>
          <w:rFonts w:ascii="Verdana" w:eastAsia="Arial" w:hAnsi="Verdana" w:cs="Arial"/>
          <w:color w:val="222222"/>
          <w:sz w:val="20"/>
          <w:szCs w:val="20"/>
        </w:rPr>
        <w:t xml:space="preserve"> ekosisteminde önemli bir dönüm noktasıydı. Satın almalar ve ileri aşama yatırımlar, ekosistemin büyüklüğünü ve gelişen dinamizmini gösterdi. İşlem hacmi büyük oranda bu iki alan tarafından şekillendi. </w:t>
      </w:r>
      <w:proofErr w:type="spellStart"/>
      <w:r w:rsidRPr="3212F08F">
        <w:rPr>
          <w:rFonts w:ascii="Verdana" w:eastAsia="Arial" w:hAnsi="Verdana" w:cs="Arial"/>
          <w:color w:val="222222"/>
          <w:sz w:val="20"/>
          <w:szCs w:val="20"/>
        </w:rPr>
        <w:t>Fintech</w:t>
      </w:r>
      <w:proofErr w:type="spellEnd"/>
      <w:r w:rsidRPr="3212F08F">
        <w:rPr>
          <w:rFonts w:ascii="Verdana" w:eastAsia="Arial" w:hAnsi="Verdana" w:cs="Arial"/>
          <w:color w:val="222222"/>
          <w:sz w:val="20"/>
          <w:szCs w:val="20"/>
        </w:rPr>
        <w:t xml:space="preserve"> sektörü, işlem sayısında liderliğini sürdürürken, pazaryeri sektörü yatırımcıların ilgisini en fazla çeken alanlardan biri oldu. </w:t>
      </w:r>
      <w:proofErr w:type="spellStart"/>
      <w:r w:rsidRPr="3212F08F">
        <w:rPr>
          <w:rFonts w:ascii="Verdana" w:eastAsia="Arial" w:hAnsi="Verdana" w:cs="Arial"/>
          <w:color w:val="222222"/>
          <w:sz w:val="20"/>
          <w:szCs w:val="20"/>
        </w:rPr>
        <w:t>Hepsiburada'nın</w:t>
      </w:r>
      <w:proofErr w:type="spellEnd"/>
      <w:r w:rsidRPr="3212F08F">
        <w:rPr>
          <w:rFonts w:ascii="Verdana" w:eastAsia="Arial" w:hAnsi="Verdana" w:cs="Arial"/>
          <w:color w:val="222222"/>
          <w:sz w:val="20"/>
          <w:szCs w:val="20"/>
        </w:rPr>
        <w:t xml:space="preserve"> devri, </w:t>
      </w:r>
      <w:proofErr w:type="spellStart"/>
      <w:r w:rsidRPr="3212F08F">
        <w:rPr>
          <w:rFonts w:ascii="Verdana" w:eastAsia="Arial" w:hAnsi="Verdana" w:cs="Arial"/>
          <w:color w:val="222222"/>
          <w:sz w:val="20"/>
          <w:szCs w:val="20"/>
        </w:rPr>
        <w:t>Insider’ın</w:t>
      </w:r>
      <w:proofErr w:type="spellEnd"/>
      <w:r w:rsidRPr="3212F08F">
        <w:rPr>
          <w:rFonts w:ascii="Verdana" w:eastAsia="Arial" w:hAnsi="Verdana" w:cs="Arial"/>
          <w:color w:val="222222"/>
          <w:sz w:val="20"/>
          <w:szCs w:val="20"/>
        </w:rPr>
        <w:t xml:space="preserve"> aldığı büyük yatırım ve büyük çaplı yatırım turları, Türkiye'nin potansiyelini daha da pekiştiren önemli gelişmelerdi. Ayrıca, halka arzlar da ekosistemin daha geniş bir yatırımcı kitlesiyle buluşmasını sağladı. Türkiye’nin </w:t>
      </w:r>
      <w:proofErr w:type="spellStart"/>
      <w:r w:rsidRPr="3212F08F">
        <w:rPr>
          <w:rFonts w:ascii="Verdana" w:eastAsia="Arial" w:hAnsi="Verdana" w:cs="Arial"/>
          <w:color w:val="222222"/>
          <w:sz w:val="20"/>
          <w:szCs w:val="20"/>
        </w:rPr>
        <w:t>startup</w:t>
      </w:r>
      <w:proofErr w:type="spellEnd"/>
      <w:r w:rsidRPr="3212F08F">
        <w:rPr>
          <w:rFonts w:ascii="Verdana" w:eastAsia="Arial" w:hAnsi="Verdana" w:cs="Arial"/>
          <w:color w:val="222222"/>
          <w:sz w:val="20"/>
          <w:szCs w:val="20"/>
        </w:rPr>
        <w:t xml:space="preserve"> dünyası, küresel fırsatlara daha yakın ve güçlü adımlar atmaya devam ediyor. Bu, ekosistemin büyüme potansiyelini artırıyor ve gelecekte daha geniş bir etki yaratacağına işaret ediyor</w:t>
      </w:r>
      <w:r w:rsidRPr="3212F08F">
        <w:rPr>
          <w:rFonts w:ascii="Verdana" w:eastAsia="Verdana" w:hAnsi="Verdana" w:cs="Verdana"/>
          <w:color w:val="1D1C1D"/>
          <w:sz w:val="20"/>
          <w:szCs w:val="20"/>
        </w:rPr>
        <w:t>.” dedi.</w:t>
      </w:r>
    </w:p>
    <w:p w14:paraId="6C7DB4DE" w14:textId="77777777" w:rsidR="00E35045" w:rsidRPr="00E320A6" w:rsidRDefault="00E35045">
      <w:pPr>
        <w:spacing w:after="0" w:line="300" w:lineRule="auto"/>
        <w:jc w:val="both"/>
        <w:rPr>
          <w:rFonts w:ascii="Verdana" w:eastAsia="Verdana" w:hAnsi="Verdana" w:cs="Verdana"/>
          <w:b/>
          <w:sz w:val="20"/>
          <w:szCs w:val="20"/>
          <w:highlight w:val="yellow"/>
        </w:rPr>
      </w:pPr>
    </w:p>
    <w:p w14:paraId="2D9093CC" w14:textId="4434CC9C" w:rsidR="00E35045" w:rsidRPr="00E320A6" w:rsidRDefault="007B579D" w:rsidP="00283DD0">
      <w:pPr>
        <w:spacing w:after="0" w:line="300" w:lineRule="auto"/>
        <w:jc w:val="both"/>
        <w:rPr>
          <w:rFonts w:ascii="Verdana" w:eastAsia="Verdana" w:hAnsi="Verdana" w:cs="Verdana"/>
          <w:b/>
          <w:sz w:val="20"/>
          <w:szCs w:val="20"/>
        </w:rPr>
      </w:pPr>
      <w:r w:rsidRPr="00E320A6">
        <w:rPr>
          <w:rFonts w:ascii="Verdana" w:eastAsia="Verdana" w:hAnsi="Verdana" w:cs="Verdana"/>
          <w:b/>
          <w:sz w:val="20"/>
          <w:szCs w:val="20"/>
        </w:rPr>
        <w:t xml:space="preserve">En büyük payı satın </w:t>
      </w:r>
      <w:r w:rsidR="00EB58D0" w:rsidRPr="00E320A6">
        <w:rPr>
          <w:rFonts w:ascii="Verdana" w:eastAsia="Verdana" w:hAnsi="Verdana" w:cs="Verdana"/>
          <w:b/>
          <w:sz w:val="20"/>
          <w:szCs w:val="20"/>
        </w:rPr>
        <w:t>almalar</w:t>
      </w:r>
      <w:r w:rsidRPr="00E320A6">
        <w:rPr>
          <w:rFonts w:ascii="Verdana" w:eastAsia="Verdana" w:hAnsi="Verdana" w:cs="Verdana"/>
          <w:b/>
          <w:sz w:val="20"/>
          <w:szCs w:val="20"/>
        </w:rPr>
        <w:t xml:space="preserve"> ve ileri aşama yatırımlar oluşturdu</w:t>
      </w:r>
    </w:p>
    <w:p w14:paraId="1E82C95C" w14:textId="0B63EE4E" w:rsidR="00E35045" w:rsidRPr="00E320A6" w:rsidRDefault="00EB58D0"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2024 yılında, Türkiye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ekosistemindeki işlem hacminin büyük bölümünü satın almalar ve ileri aşama yatırımlar oluşturdu. Bu oranlar sırasıyla </w:t>
      </w:r>
      <w:r w:rsidR="00283DD0" w:rsidRPr="3212F08F">
        <w:rPr>
          <w:rFonts w:ascii="Verdana" w:eastAsia="Verdana" w:hAnsi="Verdana" w:cs="Verdana"/>
          <w:sz w:val="20"/>
          <w:szCs w:val="20"/>
        </w:rPr>
        <w:t xml:space="preserve">yüzde </w:t>
      </w:r>
      <w:r w:rsidR="00940D00" w:rsidRPr="3212F08F">
        <w:rPr>
          <w:rFonts w:ascii="Verdana" w:eastAsia="Verdana" w:hAnsi="Verdana" w:cs="Verdana"/>
          <w:sz w:val="20"/>
          <w:szCs w:val="20"/>
        </w:rPr>
        <w:t>58</w:t>
      </w:r>
      <w:r w:rsidRPr="3212F08F">
        <w:rPr>
          <w:rFonts w:ascii="Verdana" w:eastAsia="Verdana" w:hAnsi="Verdana" w:cs="Verdana"/>
          <w:sz w:val="20"/>
          <w:szCs w:val="20"/>
        </w:rPr>
        <w:t xml:space="preserve"> ve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2</w:t>
      </w:r>
      <w:r w:rsidR="00C457DD" w:rsidRPr="3212F08F">
        <w:rPr>
          <w:rFonts w:ascii="Verdana" w:eastAsia="Verdana" w:hAnsi="Verdana" w:cs="Verdana"/>
          <w:sz w:val="20"/>
          <w:szCs w:val="20"/>
        </w:rPr>
        <w:t>9</w:t>
      </w:r>
      <w:r w:rsidRPr="3212F08F">
        <w:rPr>
          <w:rFonts w:ascii="Verdana" w:eastAsia="Verdana" w:hAnsi="Verdana" w:cs="Verdana"/>
          <w:sz w:val="20"/>
          <w:szCs w:val="20"/>
        </w:rPr>
        <w:t xml:space="preserve"> olup, toplamda </w:t>
      </w:r>
      <w:r w:rsidR="00E65FED" w:rsidRPr="3212F08F">
        <w:rPr>
          <w:rFonts w:ascii="Verdana" w:eastAsia="Verdana" w:hAnsi="Verdana" w:cs="Verdana"/>
          <w:sz w:val="20"/>
          <w:szCs w:val="20"/>
        </w:rPr>
        <w:t xml:space="preserve">yaratılan hacim </w:t>
      </w:r>
      <w:r w:rsidRPr="3212F08F">
        <w:rPr>
          <w:rFonts w:ascii="Verdana" w:eastAsia="Verdana" w:hAnsi="Verdana" w:cs="Verdana"/>
          <w:sz w:val="20"/>
          <w:szCs w:val="20"/>
        </w:rPr>
        <w:t>yaklaşık 2,</w:t>
      </w:r>
      <w:r w:rsidR="00C457DD" w:rsidRPr="3212F08F">
        <w:rPr>
          <w:rFonts w:ascii="Verdana" w:eastAsia="Verdana" w:hAnsi="Verdana" w:cs="Verdana"/>
          <w:sz w:val="20"/>
          <w:szCs w:val="20"/>
        </w:rPr>
        <w:t>3</w:t>
      </w:r>
      <w:r w:rsidRPr="3212F08F">
        <w:rPr>
          <w:rFonts w:ascii="Verdana" w:eastAsia="Verdana" w:hAnsi="Verdana" w:cs="Verdana"/>
          <w:sz w:val="20"/>
          <w:szCs w:val="20"/>
        </w:rPr>
        <w:t xml:space="preserve"> milyar</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1756DE" w:rsidRPr="3212F08F">
        <w:rPr>
          <w:rFonts w:ascii="Verdana" w:eastAsia="Verdana" w:hAnsi="Verdana" w:cs="Verdana"/>
          <w:sz w:val="20"/>
          <w:szCs w:val="20"/>
        </w:rPr>
        <w:t>ın</w:t>
      </w:r>
      <w:r w:rsidRPr="3212F08F">
        <w:rPr>
          <w:rFonts w:ascii="Verdana" w:eastAsia="Verdana" w:hAnsi="Verdana" w:cs="Verdana"/>
          <w:sz w:val="20"/>
          <w:szCs w:val="20"/>
        </w:rPr>
        <w:t>a ulaştı. İşlem sayısı bakımından</w:t>
      </w:r>
      <w:r w:rsidR="00A86D97" w:rsidRPr="3212F08F">
        <w:rPr>
          <w:rFonts w:ascii="Verdana" w:eastAsia="Verdana" w:hAnsi="Verdana" w:cs="Verdana"/>
          <w:sz w:val="20"/>
          <w:szCs w:val="20"/>
        </w:rPr>
        <w:t xml:space="preserve">sa </w:t>
      </w:r>
      <w:r w:rsidRPr="3212F08F">
        <w:rPr>
          <w:rFonts w:ascii="Verdana" w:eastAsia="Verdana" w:hAnsi="Verdana" w:cs="Verdana"/>
          <w:sz w:val="20"/>
          <w:szCs w:val="20"/>
        </w:rPr>
        <w:t>tohum aşama yatırımları</w:t>
      </w:r>
      <w:r w:rsidR="00141A14" w:rsidRPr="3212F08F">
        <w:rPr>
          <w:rFonts w:ascii="Verdana" w:eastAsia="Verdana" w:hAnsi="Verdana" w:cs="Verdana"/>
          <w:sz w:val="20"/>
          <w:szCs w:val="20"/>
        </w:rPr>
        <w:t>,</w:t>
      </w:r>
      <w:r w:rsidRPr="3212F08F">
        <w:rPr>
          <w:rFonts w:ascii="Verdana" w:eastAsia="Verdana" w:hAnsi="Verdana" w:cs="Verdana"/>
          <w:sz w:val="20"/>
          <w:szCs w:val="20"/>
        </w:rPr>
        <w:t xml:space="preserve"> toplam </w:t>
      </w:r>
      <w:r w:rsidR="00940D00" w:rsidRPr="3212F08F">
        <w:rPr>
          <w:rFonts w:ascii="Verdana" w:eastAsia="Verdana" w:hAnsi="Verdana" w:cs="Verdana"/>
          <w:sz w:val="20"/>
          <w:szCs w:val="20"/>
        </w:rPr>
        <w:t>280</w:t>
      </w:r>
      <w:r w:rsidRPr="3212F08F">
        <w:rPr>
          <w:rFonts w:ascii="Verdana" w:eastAsia="Verdana" w:hAnsi="Verdana" w:cs="Verdana"/>
          <w:sz w:val="20"/>
          <w:szCs w:val="20"/>
        </w:rPr>
        <w:t xml:space="preserve"> adet</w:t>
      </w:r>
      <w:r w:rsidR="00A86D97" w:rsidRPr="3212F08F">
        <w:rPr>
          <w:rFonts w:ascii="Verdana" w:eastAsia="Verdana" w:hAnsi="Verdana" w:cs="Verdana"/>
          <w:sz w:val="20"/>
          <w:szCs w:val="20"/>
        </w:rPr>
        <w:t xml:space="preserve">le </w:t>
      </w:r>
      <w:r w:rsidRPr="3212F08F">
        <w:rPr>
          <w:rFonts w:ascii="Verdana" w:eastAsia="Verdana" w:hAnsi="Verdana" w:cs="Verdana"/>
          <w:sz w:val="20"/>
          <w:szCs w:val="20"/>
        </w:rPr>
        <w:t>dikkat çekti.</w:t>
      </w:r>
      <w:r w:rsidR="007B579D" w:rsidRPr="3212F08F">
        <w:rPr>
          <w:rFonts w:ascii="Verdana" w:eastAsia="Verdana" w:hAnsi="Verdana" w:cs="Verdana"/>
          <w:sz w:val="20"/>
          <w:szCs w:val="20"/>
        </w:rPr>
        <w:t xml:space="preserve"> </w:t>
      </w:r>
    </w:p>
    <w:p w14:paraId="1A739681" w14:textId="77777777" w:rsidR="00E35045" w:rsidRPr="00E320A6" w:rsidRDefault="00E35045" w:rsidP="00283DD0">
      <w:pPr>
        <w:spacing w:after="0" w:line="300" w:lineRule="auto"/>
        <w:jc w:val="both"/>
        <w:rPr>
          <w:rFonts w:ascii="Verdana" w:eastAsia="Verdana" w:hAnsi="Verdana" w:cs="Verdana"/>
          <w:sz w:val="20"/>
          <w:szCs w:val="20"/>
        </w:rPr>
      </w:pPr>
    </w:p>
    <w:p w14:paraId="5F61A2A9" w14:textId="5B6E4C79" w:rsidR="00E35045" w:rsidRPr="00E320A6" w:rsidRDefault="007B579D" w:rsidP="3212F08F">
      <w:pPr>
        <w:spacing w:after="0" w:line="300" w:lineRule="auto"/>
        <w:jc w:val="both"/>
        <w:rPr>
          <w:rFonts w:ascii="Verdana" w:eastAsia="Verdana" w:hAnsi="Verdana" w:cs="Verdana"/>
          <w:b/>
          <w:bCs/>
          <w:sz w:val="20"/>
          <w:szCs w:val="20"/>
        </w:rPr>
      </w:pPr>
      <w:r w:rsidRPr="3212F08F">
        <w:rPr>
          <w:rFonts w:ascii="Verdana" w:eastAsia="Verdana" w:hAnsi="Verdana" w:cs="Verdana"/>
          <w:b/>
          <w:bCs/>
          <w:sz w:val="20"/>
          <w:szCs w:val="20"/>
        </w:rPr>
        <w:t xml:space="preserve">En fazla işlem </w:t>
      </w:r>
      <w:r w:rsidR="00EB58D0" w:rsidRPr="3212F08F">
        <w:rPr>
          <w:rFonts w:ascii="Verdana" w:eastAsia="Verdana" w:hAnsi="Verdana" w:cs="Verdana"/>
          <w:b/>
          <w:bCs/>
          <w:sz w:val="20"/>
          <w:szCs w:val="20"/>
        </w:rPr>
        <w:t>adedi</w:t>
      </w:r>
      <w:r w:rsidRPr="3212F08F">
        <w:rPr>
          <w:rFonts w:ascii="Verdana" w:eastAsia="Verdana" w:hAnsi="Verdana" w:cs="Verdana"/>
          <w:b/>
          <w:bCs/>
          <w:sz w:val="20"/>
          <w:szCs w:val="20"/>
        </w:rPr>
        <w:t xml:space="preserve"> </w:t>
      </w:r>
      <w:proofErr w:type="spellStart"/>
      <w:r w:rsidRPr="3212F08F">
        <w:rPr>
          <w:rFonts w:ascii="Verdana" w:eastAsia="Verdana" w:hAnsi="Verdana" w:cs="Verdana"/>
          <w:b/>
          <w:bCs/>
          <w:sz w:val="20"/>
          <w:szCs w:val="20"/>
        </w:rPr>
        <w:t>fintech</w:t>
      </w:r>
      <w:proofErr w:type="spellEnd"/>
      <w:r w:rsidRPr="3212F08F">
        <w:rPr>
          <w:rFonts w:ascii="Verdana" w:eastAsia="Verdana" w:hAnsi="Verdana" w:cs="Verdana"/>
          <w:b/>
          <w:bCs/>
          <w:sz w:val="20"/>
          <w:szCs w:val="20"/>
        </w:rPr>
        <w:t xml:space="preserve"> sektöründe gerçekleşti</w:t>
      </w:r>
    </w:p>
    <w:p w14:paraId="3FAA1864" w14:textId="2042EC98" w:rsidR="00E35045" w:rsidRPr="00E320A6" w:rsidRDefault="00EB58D0"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İşlem sayısına göre </w:t>
      </w:r>
      <w:proofErr w:type="spellStart"/>
      <w:r w:rsidRPr="3212F08F">
        <w:rPr>
          <w:rFonts w:ascii="Verdana" w:eastAsia="Verdana" w:hAnsi="Verdana" w:cs="Verdana"/>
          <w:sz w:val="20"/>
          <w:szCs w:val="20"/>
        </w:rPr>
        <w:t>fintech</w:t>
      </w:r>
      <w:proofErr w:type="spellEnd"/>
      <w:r w:rsidRPr="3212F08F">
        <w:rPr>
          <w:rFonts w:ascii="Verdana" w:eastAsia="Verdana" w:hAnsi="Verdana" w:cs="Verdana"/>
          <w:sz w:val="20"/>
          <w:szCs w:val="20"/>
        </w:rPr>
        <w:t xml:space="preserve"> sektörü</w:t>
      </w:r>
      <w:r w:rsidR="00E65FED" w:rsidRPr="3212F08F">
        <w:rPr>
          <w:rFonts w:ascii="Verdana" w:eastAsia="Verdana" w:hAnsi="Verdana" w:cs="Verdana"/>
          <w:sz w:val="20"/>
          <w:szCs w:val="20"/>
        </w:rPr>
        <w:t xml:space="preserve"> yıl içerisinde gerçekleşen 31 işlem</w:t>
      </w:r>
      <w:r w:rsidR="00A86D97" w:rsidRPr="3212F08F">
        <w:rPr>
          <w:rFonts w:ascii="Verdana" w:eastAsia="Verdana" w:hAnsi="Verdana" w:cs="Verdana"/>
          <w:sz w:val="20"/>
          <w:szCs w:val="20"/>
        </w:rPr>
        <w:t xml:space="preserve">le </w:t>
      </w:r>
      <w:r w:rsidRPr="3212F08F">
        <w:rPr>
          <w:rFonts w:ascii="Verdana" w:eastAsia="Verdana" w:hAnsi="Verdana" w:cs="Verdana"/>
          <w:sz w:val="20"/>
          <w:szCs w:val="20"/>
        </w:rPr>
        <w:t xml:space="preserve">lider konumda yer aldı. </w:t>
      </w:r>
      <w:r w:rsidR="00E65FED" w:rsidRPr="3212F08F">
        <w:rPr>
          <w:rFonts w:ascii="Verdana" w:eastAsia="Verdana" w:hAnsi="Verdana" w:cs="Verdana"/>
          <w:sz w:val="20"/>
          <w:szCs w:val="20"/>
        </w:rPr>
        <w:t>Onu, 28 işlemle b</w:t>
      </w:r>
      <w:r w:rsidRPr="3212F08F">
        <w:rPr>
          <w:rFonts w:ascii="Verdana" w:eastAsia="Verdana" w:hAnsi="Verdana" w:cs="Verdana"/>
          <w:sz w:val="20"/>
          <w:szCs w:val="20"/>
        </w:rPr>
        <w:t xml:space="preserve">iyoteknoloji, </w:t>
      </w:r>
      <w:r w:rsidR="00E65FED" w:rsidRPr="3212F08F">
        <w:rPr>
          <w:rFonts w:ascii="Verdana" w:eastAsia="Verdana" w:hAnsi="Verdana" w:cs="Verdana"/>
          <w:sz w:val="20"/>
          <w:szCs w:val="20"/>
        </w:rPr>
        <w:t xml:space="preserve">25 işlemle </w:t>
      </w:r>
      <w:r w:rsidRPr="3212F08F">
        <w:rPr>
          <w:rFonts w:ascii="Verdana" w:eastAsia="Verdana" w:hAnsi="Verdana" w:cs="Verdana"/>
          <w:sz w:val="20"/>
          <w:szCs w:val="20"/>
        </w:rPr>
        <w:t>yapay zekâ</w:t>
      </w:r>
      <w:r w:rsidR="00E65FED" w:rsidRPr="3212F08F">
        <w:rPr>
          <w:rFonts w:ascii="Verdana" w:eastAsia="Verdana" w:hAnsi="Verdana" w:cs="Verdana"/>
          <w:sz w:val="20"/>
          <w:szCs w:val="20"/>
        </w:rPr>
        <w:t xml:space="preserve"> takip ederken; hizmet olarak yazılım (</w:t>
      </w:r>
      <w:proofErr w:type="spellStart"/>
      <w:r w:rsidRPr="3212F08F">
        <w:rPr>
          <w:rFonts w:ascii="Verdana" w:eastAsia="Verdana" w:hAnsi="Verdana" w:cs="Verdana"/>
          <w:sz w:val="20"/>
          <w:szCs w:val="20"/>
        </w:rPr>
        <w:t>SaaS</w:t>
      </w:r>
      <w:proofErr w:type="spellEnd"/>
      <w:r w:rsidR="00E65FED" w:rsidRPr="3212F08F">
        <w:rPr>
          <w:rFonts w:ascii="Verdana" w:eastAsia="Verdana" w:hAnsi="Verdana" w:cs="Verdana"/>
          <w:sz w:val="20"/>
          <w:szCs w:val="20"/>
        </w:rPr>
        <w:t>)</w:t>
      </w:r>
      <w:r w:rsidRPr="3212F08F">
        <w:rPr>
          <w:rFonts w:ascii="Verdana" w:eastAsia="Verdana" w:hAnsi="Verdana" w:cs="Verdana"/>
          <w:sz w:val="20"/>
          <w:szCs w:val="20"/>
        </w:rPr>
        <w:t>, oyun</w:t>
      </w:r>
      <w:r w:rsidR="0007582C" w:rsidRPr="3212F08F">
        <w:rPr>
          <w:rFonts w:ascii="Verdana" w:eastAsia="Verdana" w:hAnsi="Verdana" w:cs="Verdana"/>
          <w:sz w:val="20"/>
          <w:szCs w:val="20"/>
        </w:rPr>
        <w:t xml:space="preserve"> ve</w:t>
      </w:r>
      <w:r w:rsidRPr="3212F08F">
        <w:rPr>
          <w:rFonts w:ascii="Verdana" w:eastAsia="Verdana" w:hAnsi="Verdana" w:cs="Verdana"/>
          <w:sz w:val="20"/>
          <w:szCs w:val="20"/>
        </w:rPr>
        <w:t xml:space="preserve"> sağlık teknolojileri sektörleri de işlem </w:t>
      </w:r>
      <w:r w:rsidR="00E65FED" w:rsidRPr="3212F08F">
        <w:rPr>
          <w:rFonts w:ascii="Verdana" w:eastAsia="Verdana" w:hAnsi="Verdana" w:cs="Verdana"/>
          <w:sz w:val="20"/>
          <w:szCs w:val="20"/>
        </w:rPr>
        <w:t>adedi</w:t>
      </w:r>
      <w:r w:rsidRPr="3212F08F">
        <w:rPr>
          <w:rFonts w:ascii="Verdana" w:eastAsia="Verdana" w:hAnsi="Verdana" w:cs="Verdana"/>
          <w:sz w:val="20"/>
          <w:szCs w:val="20"/>
        </w:rPr>
        <w:t xml:space="preserve"> </w:t>
      </w:r>
      <w:r w:rsidR="00E65FED" w:rsidRPr="3212F08F">
        <w:rPr>
          <w:rFonts w:ascii="Verdana" w:eastAsia="Verdana" w:hAnsi="Verdana" w:cs="Verdana"/>
          <w:sz w:val="20"/>
          <w:szCs w:val="20"/>
        </w:rPr>
        <w:t>bakımından</w:t>
      </w:r>
      <w:r w:rsidRPr="3212F08F">
        <w:rPr>
          <w:rFonts w:ascii="Verdana" w:eastAsia="Verdana" w:hAnsi="Verdana" w:cs="Verdana"/>
          <w:sz w:val="20"/>
          <w:szCs w:val="20"/>
        </w:rPr>
        <w:t xml:space="preserve"> en aktif diğer dikeyler oldu. </w:t>
      </w:r>
      <w:r w:rsidR="00E320A6" w:rsidRPr="3212F08F">
        <w:rPr>
          <w:rFonts w:ascii="Verdana" w:eastAsia="Verdana" w:hAnsi="Verdana" w:cs="Verdana"/>
          <w:sz w:val="20"/>
          <w:szCs w:val="20"/>
        </w:rPr>
        <w:t xml:space="preserve">İşlem hacmi bakımındansa </w:t>
      </w:r>
      <w:proofErr w:type="spellStart"/>
      <w:r w:rsidR="00E320A6" w:rsidRPr="3212F08F">
        <w:rPr>
          <w:rFonts w:ascii="Verdana" w:eastAsia="Verdana" w:hAnsi="Verdana" w:cs="Verdana"/>
          <w:sz w:val="20"/>
          <w:szCs w:val="20"/>
        </w:rPr>
        <w:t>Hepsiburada</w:t>
      </w:r>
      <w:proofErr w:type="spellEnd"/>
      <w:r w:rsidR="00E320A6" w:rsidRPr="3212F08F">
        <w:rPr>
          <w:rFonts w:ascii="Verdana" w:eastAsia="Verdana" w:hAnsi="Verdana" w:cs="Verdana"/>
          <w:sz w:val="20"/>
          <w:szCs w:val="20"/>
        </w:rPr>
        <w:t xml:space="preserve"> işleminin katkısıyla pazaryeri sektörü 1,2 milyar ABD dolarıyla zirvede yer alırken, onu 546 milyon ABD doları işlem hacmiyle </w:t>
      </w:r>
      <w:proofErr w:type="spellStart"/>
      <w:r w:rsidR="00E320A6" w:rsidRPr="3212F08F">
        <w:rPr>
          <w:rFonts w:ascii="Verdana" w:eastAsia="Verdana" w:hAnsi="Verdana" w:cs="Verdana"/>
          <w:sz w:val="20"/>
          <w:szCs w:val="20"/>
        </w:rPr>
        <w:t>SaaS</w:t>
      </w:r>
      <w:proofErr w:type="spellEnd"/>
      <w:r w:rsidR="00E320A6" w:rsidRPr="3212F08F">
        <w:rPr>
          <w:rFonts w:ascii="Verdana" w:eastAsia="Verdana" w:hAnsi="Verdana" w:cs="Verdana"/>
          <w:sz w:val="20"/>
          <w:szCs w:val="20"/>
        </w:rPr>
        <w:t xml:space="preserve"> takip etti.</w:t>
      </w:r>
    </w:p>
    <w:p w14:paraId="1D75DE4C" w14:textId="77777777" w:rsidR="003370DC" w:rsidRPr="00E320A6" w:rsidRDefault="003370DC" w:rsidP="00283DD0">
      <w:pPr>
        <w:spacing w:after="0" w:line="300" w:lineRule="auto"/>
        <w:jc w:val="both"/>
        <w:rPr>
          <w:rFonts w:ascii="Verdana" w:eastAsia="Verdana" w:hAnsi="Verdana" w:cs="Verdana"/>
          <w:sz w:val="20"/>
          <w:szCs w:val="20"/>
        </w:rPr>
      </w:pPr>
    </w:p>
    <w:p w14:paraId="36868B50" w14:textId="026A1CF2" w:rsidR="003370DC" w:rsidRPr="00E320A6" w:rsidRDefault="003370DC" w:rsidP="003370DC">
      <w:pPr>
        <w:spacing w:after="0" w:line="300" w:lineRule="auto"/>
        <w:jc w:val="both"/>
        <w:rPr>
          <w:rFonts w:ascii="Verdana" w:eastAsia="Verdana" w:hAnsi="Verdana" w:cs="Verdana"/>
          <w:b/>
          <w:bCs/>
          <w:sz w:val="20"/>
          <w:szCs w:val="20"/>
        </w:rPr>
      </w:pPr>
      <w:r w:rsidRPr="00E320A6">
        <w:rPr>
          <w:rFonts w:ascii="Verdana" w:eastAsia="Verdana" w:hAnsi="Verdana" w:cs="Verdana"/>
          <w:b/>
          <w:bCs/>
          <w:sz w:val="20"/>
          <w:szCs w:val="20"/>
        </w:rPr>
        <w:t>Oyun dikeyi cazibesini koruyor</w:t>
      </w:r>
    </w:p>
    <w:p w14:paraId="4FC29A1E" w14:textId="0E102E23" w:rsidR="003370DC" w:rsidRPr="00E320A6" w:rsidRDefault="00A86D97"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2024 yılında ekosisteme yatırım yapan global stratejik şirketler arasında; Güney Koreli </w:t>
      </w:r>
      <w:proofErr w:type="spellStart"/>
      <w:r w:rsidRPr="3212F08F">
        <w:rPr>
          <w:rFonts w:ascii="Verdana" w:eastAsia="Verdana" w:hAnsi="Verdana" w:cs="Verdana"/>
          <w:sz w:val="20"/>
          <w:szCs w:val="20"/>
        </w:rPr>
        <w:t>DoubleU</w:t>
      </w:r>
      <w:proofErr w:type="spellEnd"/>
      <w:r w:rsidRPr="3212F08F">
        <w:rPr>
          <w:rFonts w:ascii="Verdana" w:eastAsia="Verdana" w:hAnsi="Verdana" w:cs="Verdana"/>
          <w:sz w:val="20"/>
          <w:szCs w:val="20"/>
        </w:rPr>
        <w:t xml:space="preserve"> Games, İsrail kökenli Moon Active ve Pakistanlı Game </w:t>
      </w:r>
      <w:proofErr w:type="spellStart"/>
      <w:r w:rsidRPr="3212F08F">
        <w:rPr>
          <w:rFonts w:ascii="Verdana" w:eastAsia="Verdana" w:hAnsi="Verdana" w:cs="Verdana"/>
          <w:sz w:val="20"/>
          <w:szCs w:val="20"/>
        </w:rPr>
        <w:t>District</w:t>
      </w:r>
      <w:proofErr w:type="spellEnd"/>
      <w:r w:rsidRPr="3212F08F">
        <w:rPr>
          <w:rFonts w:ascii="Verdana" w:eastAsia="Verdana" w:hAnsi="Verdana" w:cs="Verdana"/>
          <w:sz w:val="20"/>
          <w:szCs w:val="20"/>
        </w:rPr>
        <w:t xml:space="preserve"> bulunuyor. İşlem hacmi bakımından</w:t>
      </w:r>
      <w:r w:rsidR="00283DD0" w:rsidRPr="3212F08F">
        <w:rPr>
          <w:rFonts w:ascii="Verdana" w:eastAsia="Verdana" w:hAnsi="Verdana" w:cs="Verdana"/>
          <w:sz w:val="20"/>
          <w:szCs w:val="20"/>
        </w:rPr>
        <w:t>,</w:t>
      </w:r>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Paxie</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Games’in</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DoubleU</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Games’e</w:t>
      </w:r>
      <w:proofErr w:type="spellEnd"/>
      <w:r w:rsidRPr="3212F08F">
        <w:rPr>
          <w:rFonts w:ascii="Verdana" w:eastAsia="Verdana" w:hAnsi="Verdana" w:cs="Verdana"/>
          <w:sz w:val="20"/>
          <w:szCs w:val="20"/>
        </w:rPr>
        <w:t xml:space="preserve"> 67 milyon ABD doları bedel</w:t>
      </w:r>
      <w:r w:rsidR="00E320A6" w:rsidRPr="3212F08F">
        <w:rPr>
          <w:rFonts w:ascii="Verdana" w:eastAsia="Verdana" w:hAnsi="Verdana" w:cs="Verdana"/>
          <w:sz w:val="20"/>
          <w:szCs w:val="20"/>
        </w:rPr>
        <w:t xml:space="preserve">le </w:t>
      </w:r>
      <w:r w:rsidRPr="3212F08F">
        <w:rPr>
          <w:rFonts w:ascii="Verdana" w:eastAsia="Verdana" w:hAnsi="Verdana" w:cs="Verdana"/>
          <w:sz w:val="20"/>
          <w:szCs w:val="20"/>
        </w:rPr>
        <w:t xml:space="preserve">satışı, </w:t>
      </w:r>
      <w:proofErr w:type="spellStart"/>
      <w:r w:rsidRPr="3212F08F">
        <w:rPr>
          <w:rFonts w:ascii="Verdana" w:eastAsia="Verdana" w:hAnsi="Verdana" w:cs="Verdana"/>
          <w:sz w:val="20"/>
          <w:szCs w:val="20"/>
        </w:rPr>
        <w:t>Spyke</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Games’in</w:t>
      </w:r>
      <w:proofErr w:type="spellEnd"/>
      <w:r w:rsidRPr="3212F08F">
        <w:rPr>
          <w:rFonts w:ascii="Verdana" w:eastAsia="Verdana" w:hAnsi="Verdana" w:cs="Verdana"/>
          <w:sz w:val="20"/>
          <w:szCs w:val="20"/>
        </w:rPr>
        <w:t xml:space="preserve"> Moon </w:t>
      </w:r>
      <w:proofErr w:type="spellStart"/>
      <w:r w:rsidRPr="3212F08F">
        <w:rPr>
          <w:rFonts w:ascii="Verdana" w:eastAsia="Verdana" w:hAnsi="Verdana" w:cs="Verdana"/>
          <w:sz w:val="20"/>
          <w:szCs w:val="20"/>
        </w:rPr>
        <w:t>Active’den</w:t>
      </w:r>
      <w:proofErr w:type="spellEnd"/>
      <w:r w:rsidRPr="3212F08F">
        <w:rPr>
          <w:rFonts w:ascii="Verdana" w:eastAsia="Verdana" w:hAnsi="Verdana" w:cs="Verdana"/>
          <w:sz w:val="20"/>
          <w:szCs w:val="20"/>
        </w:rPr>
        <w:t xml:space="preserve"> almış olduğu 50 milyon ABD doları tutarındaki erken aşama yatırımı, Grand Games ve </w:t>
      </w:r>
      <w:proofErr w:type="spellStart"/>
      <w:r w:rsidRPr="3212F08F">
        <w:rPr>
          <w:rFonts w:ascii="Verdana" w:eastAsia="Verdana" w:hAnsi="Verdana" w:cs="Verdana"/>
          <w:sz w:val="20"/>
          <w:szCs w:val="20"/>
        </w:rPr>
        <w:t>Agave</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Games’in</w:t>
      </w:r>
      <w:proofErr w:type="spellEnd"/>
      <w:r w:rsidRPr="3212F08F">
        <w:rPr>
          <w:rFonts w:ascii="Verdana" w:eastAsia="Verdana" w:hAnsi="Verdana" w:cs="Verdana"/>
          <w:sz w:val="20"/>
          <w:szCs w:val="20"/>
        </w:rPr>
        <w:t xml:space="preserve"> Birleşik Krallık kökenli </w:t>
      </w:r>
      <w:proofErr w:type="spellStart"/>
      <w:r w:rsidRPr="3212F08F">
        <w:rPr>
          <w:rFonts w:ascii="Verdana" w:eastAsia="Verdana" w:hAnsi="Verdana" w:cs="Verdana"/>
          <w:sz w:val="20"/>
          <w:szCs w:val="20"/>
        </w:rPr>
        <w:t>Balderton</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Capital</w:t>
      </w:r>
      <w:proofErr w:type="spellEnd"/>
      <w:r w:rsidRPr="3212F08F">
        <w:rPr>
          <w:rFonts w:ascii="Verdana" w:eastAsia="Verdana" w:hAnsi="Verdana" w:cs="Verdana"/>
          <w:sz w:val="20"/>
          <w:szCs w:val="20"/>
        </w:rPr>
        <w:t xml:space="preserve"> liderliğinde global finansal yatırımcılardan sırasıyla almış oldukları 30 milyon ve 18 milyon ABD doları tutarındaki erken aşama yatırımları dikeyin öne çıkan işlemleri arasında karşımıza çıkıyor. Bunun yanı sıra, sektörde 2024 yılında gerçekleşen 20 işlemin 13’üne finansal yatırımcılar liderlik ettiğinden, sektöre dengeli bir sermaye akışı olduğunu ve sektörün yatırımcı evreni nezdinde de cazibesini koruduğunu söylemek mümkün. Türkiye’deki girişimcilik ekosistemi, bugüne kadar gerçekleşen başarılı çıkışlarla yatırımcı ilgisini canlı tutarken, genç yeteneklerin bu alana yönelmesine de katkı sağlıyor.</w:t>
      </w:r>
    </w:p>
    <w:p w14:paraId="62224E74" w14:textId="77777777" w:rsidR="003370DC" w:rsidRPr="00E320A6" w:rsidRDefault="003370DC">
      <w:pPr>
        <w:spacing w:after="0" w:line="300" w:lineRule="auto"/>
        <w:jc w:val="both"/>
        <w:rPr>
          <w:rFonts w:ascii="Verdana" w:eastAsia="Verdana" w:hAnsi="Verdana" w:cs="Verdana"/>
          <w:sz w:val="20"/>
          <w:szCs w:val="20"/>
        </w:rPr>
      </w:pPr>
    </w:p>
    <w:p w14:paraId="43639276" w14:textId="460C705A" w:rsidR="003370DC" w:rsidRPr="00E320A6" w:rsidRDefault="003370DC" w:rsidP="003370DC">
      <w:pPr>
        <w:spacing w:after="0" w:line="300" w:lineRule="auto"/>
        <w:jc w:val="both"/>
        <w:rPr>
          <w:rFonts w:ascii="Verdana" w:eastAsia="Verdana" w:hAnsi="Verdana" w:cs="Verdana"/>
          <w:b/>
          <w:bCs/>
          <w:sz w:val="20"/>
          <w:szCs w:val="20"/>
        </w:rPr>
      </w:pPr>
      <w:r w:rsidRPr="3212F08F">
        <w:rPr>
          <w:rFonts w:ascii="Verdana" w:eastAsia="Verdana" w:hAnsi="Verdana" w:cs="Verdana"/>
          <w:b/>
          <w:bCs/>
          <w:sz w:val="20"/>
          <w:szCs w:val="20"/>
        </w:rPr>
        <w:t>Yurt</w:t>
      </w:r>
      <w:r w:rsidR="00283DD0" w:rsidRPr="3212F08F">
        <w:rPr>
          <w:rFonts w:ascii="Verdana" w:eastAsia="Verdana" w:hAnsi="Verdana" w:cs="Verdana"/>
          <w:b/>
          <w:bCs/>
          <w:sz w:val="20"/>
          <w:szCs w:val="20"/>
        </w:rPr>
        <w:t xml:space="preserve"> </w:t>
      </w:r>
      <w:r w:rsidRPr="3212F08F">
        <w:rPr>
          <w:rFonts w:ascii="Verdana" w:eastAsia="Verdana" w:hAnsi="Verdana" w:cs="Verdana"/>
          <w:b/>
          <w:bCs/>
          <w:sz w:val="20"/>
          <w:szCs w:val="20"/>
        </w:rPr>
        <w:t>dışı ve diaspora işlemlerinde artan hareketlilik</w:t>
      </w:r>
    </w:p>
    <w:p w14:paraId="092F456A" w14:textId="5FE37F97" w:rsidR="003370DC" w:rsidRPr="00E320A6" w:rsidRDefault="003370DC" w:rsidP="3212F08F">
      <w:pPr>
        <w:spacing w:after="0" w:line="300" w:lineRule="auto"/>
        <w:jc w:val="both"/>
        <w:rPr>
          <w:rFonts w:ascii="Verdana" w:eastAsia="Verdana" w:hAnsi="Verdana" w:cs="Verdana"/>
          <w:sz w:val="20"/>
          <w:szCs w:val="20"/>
        </w:rPr>
      </w:pPr>
      <w:r w:rsidRPr="3212F08F">
        <w:rPr>
          <w:rFonts w:ascii="Verdana" w:eastAsia="Verdana" w:hAnsi="Verdana" w:cs="Verdana"/>
          <w:sz w:val="20"/>
          <w:szCs w:val="20"/>
        </w:rPr>
        <w:t>Yurt</w:t>
      </w:r>
      <w:r w:rsidR="00283DD0" w:rsidRPr="3212F08F">
        <w:rPr>
          <w:rFonts w:ascii="Verdana" w:eastAsia="Verdana" w:hAnsi="Verdana" w:cs="Verdana"/>
          <w:sz w:val="20"/>
          <w:szCs w:val="20"/>
        </w:rPr>
        <w:t xml:space="preserve"> </w:t>
      </w:r>
      <w:r w:rsidRPr="3212F08F">
        <w:rPr>
          <w:rFonts w:ascii="Verdana" w:eastAsia="Verdana" w:hAnsi="Verdana" w:cs="Verdana"/>
          <w:sz w:val="20"/>
          <w:szCs w:val="20"/>
        </w:rPr>
        <w:t xml:space="preserve">dışı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işlemlerinde gerçekleşen en büyük işlem, BAE merkezli </w:t>
      </w:r>
      <w:proofErr w:type="spellStart"/>
      <w:r w:rsidRPr="3212F08F">
        <w:rPr>
          <w:rFonts w:ascii="Verdana" w:eastAsia="Verdana" w:hAnsi="Verdana" w:cs="Verdana"/>
          <w:sz w:val="20"/>
          <w:szCs w:val="20"/>
        </w:rPr>
        <w:t>NEOPAY'in</w:t>
      </w:r>
      <w:proofErr w:type="spellEnd"/>
      <w:r w:rsidRPr="3212F08F">
        <w:rPr>
          <w:rFonts w:ascii="Verdana" w:eastAsia="Verdana" w:hAnsi="Verdana" w:cs="Verdana"/>
          <w:sz w:val="20"/>
          <w:szCs w:val="20"/>
        </w:rPr>
        <w:t xml:space="preserve">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 xml:space="preserve">65 hissesinin Türk </w:t>
      </w:r>
      <w:proofErr w:type="spellStart"/>
      <w:r w:rsidRPr="3212F08F">
        <w:rPr>
          <w:rFonts w:ascii="Verdana" w:eastAsia="Verdana" w:hAnsi="Verdana" w:cs="Verdana"/>
          <w:sz w:val="20"/>
          <w:szCs w:val="20"/>
        </w:rPr>
        <w:t>fintech</w:t>
      </w:r>
      <w:proofErr w:type="spellEnd"/>
      <w:r w:rsidRPr="3212F08F">
        <w:rPr>
          <w:rFonts w:ascii="Verdana" w:eastAsia="Verdana" w:hAnsi="Verdana" w:cs="Verdana"/>
          <w:sz w:val="20"/>
          <w:szCs w:val="20"/>
        </w:rPr>
        <w:t xml:space="preserve"> şirketi </w:t>
      </w:r>
      <w:proofErr w:type="spellStart"/>
      <w:r w:rsidRPr="3212F08F">
        <w:rPr>
          <w:rFonts w:ascii="Verdana" w:eastAsia="Verdana" w:hAnsi="Verdana" w:cs="Verdana"/>
          <w:sz w:val="20"/>
          <w:szCs w:val="20"/>
        </w:rPr>
        <w:t>Dgpays</w:t>
      </w:r>
      <w:proofErr w:type="spellEnd"/>
      <w:r w:rsidRPr="3212F08F">
        <w:rPr>
          <w:rFonts w:ascii="Verdana" w:eastAsia="Verdana" w:hAnsi="Verdana" w:cs="Verdana"/>
          <w:sz w:val="20"/>
          <w:szCs w:val="20"/>
        </w:rPr>
        <w:t xml:space="preserve"> ve Bahreyn merkezli </w:t>
      </w:r>
      <w:proofErr w:type="spellStart"/>
      <w:r w:rsidRPr="3212F08F">
        <w:rPr>
          <w:rFonts w:ascii="Verdana" w:eastAsia="Verdana" w:hAnsi="Verdana" w:cs="Verdana"/>
          <w:sz w:val="20"/>
          <w:szCs w:val="20"/>
        </w:rPr>
        <w:t>Arcapita</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Group</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Holdings</w:t>
      </w:r>
      <w:proofErr w:type="spellEnd"/>
      <w:r w:rsidRPr="3212F08F">
        <w:rPr>
          <w:rFonts w:ascii="Verdana" w:eastAsia="Verdana" w:hAnsi="Verdana" w:cs="Verdana"/>
          <w:sz w:val="20"/>
          <w:szCs w:val="20"/>
        </w:rPr>
        <w:t xml:space="preserve"> tarafından 250 milyon ABD doları bedelle ortaklaşa satın alınması oldu. Bu işlem, </w:t>
      </w:r>
      <w:proofErr w:type="spellStart"/>
      <w:r w:rsidRPr="3212F08F">
        <w:rPr>
          <w:rFonts w:ascii="Verdana" w:eastAsia="Verdana" w:hAnsi="Verdana" w:cs="Verdana"/>
          <w:sz w:val="20"/>
          <w:szCs w:val="20"/>
        </w:rPr>
        <w:t>Dgpays’in</w:t>
      </w:r>
      <w:proofErr w:type="spellEnd"/>
      <w:r w:rsidRPr="3212F08F">
        <w:rPr>
          <w:rFonts w:ascii="Verdana" w:eastAsia="Verdana" w:hAnsi="Verdana" w:cs="Verdana"/>
          <w:sz w:val="20"/>
          <w:szCs w:val="20"/>
        </w:rPr>
        <w:t xml:space="preserve"> </w:t>
      </w:r>
      <w:r w:rsidRPr="3212F08F">
        <w:rPr>
          <w:rFonts w:ascii="Verdana" w:eastAsia="Verdana" w:hAnsi="Verdana" w:cs="Verdana"/>
          <w:sz w:val="20"/>
          <w:szCs w:val="20"/>
        </w:rPr>
        <w:lastRenderedPageBreak/>
        <w:t xml:space="preserve">güçlü bölgesel bir </w:t>
      </w:r>
      <w:proofErr w:type="spellStart"/>
      <w:r w:rsidRPr="3212F08F">
        <w:rPr>
          <w:rFonts w:ascii="Verdana" w:eastAsia="Verdana" w:hAnsi="Verdana" w:cs="Verdana"/>
          <w:sz w:val="20"/>
          <w:szCs w:val="20"/>
        </w:rPr>
        <w:t>fintech</w:t>
      </w:r>
      <w:proofErr w:type="spellEnd"/>
      <w:r w:rsidRPr="3212F08F">
        <w:rPr>
          <w:rFonts w:ascii="Verdana" w:eastAsia="Verdana" w:hAnsi="Verdana" w:cs="Verdana"/>
          <w:sz w:val="20"/>
          <w:szCs w:val="20"/>
        </w:rPr>
        <w:t xml:space="preserve"> ekosistemi oyuncusu olmasında önemli bir adım olarak değerlendiriliyor. Diaspora işlemlerindeki en büyük işle</w:t>
      </w:r>
      <w:r w:rsidR="00E320A6" w:rsidRPr="3212F08F">
        <w:rPr>
          <w:rFonts w:ascii="Verdana" w:eastAsia="Verdana" w:hAnsi="Verdana" w:cs="Verdana"/>
          <w:sz w:val="20"/>
          <w:szCs w:val="20"/>
        </w:rPr>
        <w:t>mse</w:t>
      </w:r>
      <w:r w:rsidRPr="3212F08F">
        <w:rPr>
          <w:rFonts w:ascii="Verdana" w:eastAsia="Verdana" w:hAnsi="Verdana" w:cs="Verdana"/>
          <w:sz w:val="20"/>
          <w:szCs w:val="20"/>
        </w:rPr>
        <w:t xml:space="preserve">, Türk girişimci Oğuzhan Atay'ın kurucuları arasında yer aldığı ABD merkezli sağlık teknolojileri girişimi </w:t>
      </w:r>
      <w:proofErr w:type="spellStart"/>
      <w:r w:rsidRPr="3212F08F">
        <w:rPr>
          <w:rFonts w:ascii="Verdana" w:eastAsia="Verdana" w:hAnsi="Verdana" w:cs="Verdana"/>
          <w:sz w:val="20"/>
          <w:szCs w:val="20"/>
        </w:rPr>
        <w:t>BillionToOne’ın</w:t>
      </w:r>
      <w:proofErr w:type="spellEnd"/>
      <w:r w:rsidRPr="3212F08F">
        <w:rPr>
          <w:rFonts w:ascii="Verdana" w:eastAsia="Verdana" w:hAnsi="Verdana" w:cs="Verdana"/>
          <w:sz w:val="20"/>
          <w:szCs w:val="20"/>
        </w:rPr>
        <w:t xml:space="preserve"> kalabalık bir yatırımcı grubundan aldığı 130 milyon ABD doları tutarındaki ileri aşama yatırım oldu. </w:t>
      </w:r>
      <w:proofErr w:type="spellStart"/>
      <w:r w:rsidRPr="3212F08F">
        <w:rPr>
          <w:rFonts w:ascii="Verdana" w:eastAsia="Verdana" w:hAnsi="Verdana" w:cs="Verdana"/>
          <w:sz w:val="20"/>
          <w:szCs w:val="20"/>
        </w:rPr>
        <w:t>BillionToOne'ın</w:t>
      </w:r>
      <w:proofErr w:type="spellEnd"/>
      <w:r w:rsidRPr="3212F08F">
        <w:rPr>
          <w:rFonts w:ascii="Verdana" w:eastAsia="Verdana" w:hAnsi="Verdana" w:cs="Verdana"/>
          <w:sz w:val="20"/>
          <w:szCs w:val="20"/>
        </w:rPr>
        <w:t xml:space="preserve"> </w:t>
      </w:r>
      <w:r w:rsidR="00A86D97" w:rsidRPr="3212F08F">
        <w:rPr>
          <w:rFonts w:ascii="Verdana" w:eastAsia="Verdana" w:hAnsi="Verdana" w:cs="Verdana"/>
          <w:sz w:val="20"/>
          <w:szCs w:val="20"/>
        </w:rPr>
        <w:t xml:space="preserve">bu yatırımla </w:t>
      </w:r>
      <w:r w:rsidRPr="3212F08F">
        <w:rPr>
          <w:rFonts w:ascii="Verdana" w:eastAsia="Verdana" w:hAnsi="Verdana" w:cs="Verdana"/>
          <w:sz w:val="20"/>
          <w:szCs w:val="20"/>
        </w:rPr>
        <w:t>ana hedefi</w:t>
      </w:r>
      <w:r w:rsidR="00A86D97" w:rsidRPr="3212F08F">
        <w:rPr>
          <w:rFonts w:ascii="Verdana" w:eastAsia="Verdana" w:hAnsi="Verdana" w:cs="Verdana"/>
          <w:sz w:val="20"/>
          <w:szCs w:val="20"/>
        </w:rPr>
        <w:t>,</w:t>
      </w:r>
      <w:r w:rsidRPr="3212F08F">
        <w:rPr>
          <w:rFonts w:ascii="Verdana" w:eastAsia="Verdana" w:hAnsi="Verdana" w:cs="Verdana"/>
          <w:sz w:val="20"/>
          <w:szCs w:val="20"/>
        </w:rPr>
        <w:t xml:space="preserve"> moleküler teşhislerde kullanılan teknolojileri geliştirerek prenatal tarama ve onkoloji teşhislerini daha doğru, hassas ve erişilebilir hale getirerek sağlık hizmetlerindeki standartları yükseltmek.</w:t>
      </w:r>
    </w:p>
    <w:p w14:paraId="7B769CDA" w14:textId="77777777" w:rsidR="00E35045" w:rsidRPr="00E320A6" w:rsidRDefault="00E35045">
      <w:pPr>
        <w:spacing w:after="0" w:line="300" w:lineRule="auto"/>
        <w:jc w:val="both"/>
        <w:rPr>
          <w:rFonts w:ascii="Verdana" w:eastAsia="Verdana" w:hAnsi="Verdana" w:cs="Verdana"/>
          <w:sz w:val="20"/>
          <w:szCs w:val="20"/>
        </w:rPr>
      </w:pPr>
    </w:p>
    <w:p w14:paraId="106C3FF3" w14:textId="1B38135F" w:rsidR="00E35045" w:rsidRPr="00E320A6" w:rsidRDefault="00B8754F" w:rsidP="00283DD0">
      <w:pPr>
        <w:spacing w:after="0" w:line="300" w:lineRule="auto"/>
        <w:jc w:val="both"/>
        <w:rPr>
          <w:rFonts w:ascii="Verdana" w:eastAsia="Verdana" w:hAnsi="Verdana" w:cs="Verdana"/>
          <w:b/>
          <w:sz w:val="20"/>
          <w:szCs w:val="20"/>
        </w:rPr>
      </w:pPr>
      <w:r w:rsidRPr="00E320A6">
        <w:rPr>
          <w:rFonts w:ascii="Verdana" w:eastAsia="Verdana" w:hAnsi="Verdana" w:cs="Verdana"/>
          <w:b/>
          <w:sz w:val="20"/>
          <w:szCs w:val="20"/>
        </w:rPr>
        <w:t xml:space="preserve">Türkiye girişim ekosisteminde </w:t>
      </w:r>
      <w:r w:rsidR="007B579D" w:rsidRPr="00E320A6">
        <w:rPr>
          <w:rFonts w:ascii="Verdana" w:eastAsia="Verdana" w:hAnsi="Verdana" w:cs="Verdana"/>
          <w:b/>
          <w:sz w:val="20"/>
          <w:szCs w:val="20"/>
        </w:rPr>
        <w:t>2024 yılının</w:t>
      </w:r>
      <w:r w:rsidR="003370DC" w:rsidRPr="00E320A6">
        <w:rPr>
          <w:rFonts w:ascii="Verdana" w:eastAsia="Verdana" w:hAnsi="Verdana" w:cs="Verdana"/>
          <w:b/>
          <w:sz w:val="20"/>
          <w:szCs w:val="20"/>
        </w:rPr>
        <w:t xml:space="preserve"> </w:t>
      </w:r>
      <w:r w:rsidR="007B579D" w:rsidRPr="00E320A6">
        <w:rPr>
          <w:rFonts w:ascii="Verdana" w:eastAsia="Verdana" w:hAnsi="Verdana" w:cs="Verdana"/>
          <w:b/>
          <w:sz w:val="20"/>
          <w:szCs w:val="20"/>
        </w:rPr>
        <w:t xml:space="preserve">öne çıkan </w:t>
      </w:r>
      <w:r w:rsidRPr="00E320A6">
        <w:rPr>
          <w:rFonts w:ascii="Verdana" w:eastAsia="Verdana" w:hAnsi="Verdana" w:cs="Verdana"/>
          <w:b/>
          <w:sz w:val="20"/>
          <w:szCs w:val="20"/>
        </w:rPr>
        <w:t xml:space="preserve">diğer </w:t>
      </w:r>
      <w:r w:rsidR="007B579D" w:rsidRPr="00E320A6">
        <w:rPr>
          <w:rFonts w:ascii="Verdana" w:eastAsia="Verdana" w:hAnsi="Verdana" w:cs="Verdana"/>
          <w:b/>
          <w:sz w:val="20"/>
          <w:szCs w:val="20"/>
        </w:rPr>
        <w:t>işlemleri</w:t>
      </w:r>
    </w:p>
    <w:p w14:paraId="1A9745D2" w14:textId="658FE37B" w:rsidR="00E65FED" w:rsidRPr="00E320A6" w:rsidRDefault="00EB58D0" w:rsidP="3212F08F">
      <w:pPr>
        <w:pStyle w:val="ListeParagraf"/>
        <w:numPr>
          <w:ilvl w:val="0"/>
          <w:numId w:val="1"/>
        </w:num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E-ticaret devi </w:t>
      </w:r>
      <w:proofErr w:type="spellStart"/>
      <w:r w:rsidRPr="3212F08F">
        <w:rPr>
          <w:rFonts w:ascii="Verdana" w:eastAsia="Verdana" w:hAnsi="Verdana" w:cs="Verdana"/>
          <w:sz w:val="20"/>
          <w:szCs w:val="20"/>
        </w:rPr>
        <w:t>Hepsiburada’nın</w:t>
      </w:r>
      <w:proofErr w:type="spellEnd"/>
      <w:r w:rsidRPr="3212F08F">
        <w:rPr>
          <w:rFonts w:ascii="Verdana" w:eastAsia="Verdana" w:hAnsi="Verdana" w:cs="Verdana"/>
          <w:sz w:val="20"/>
          <w:szCs w:val="20"/>
        </w:rPr>
        <w:t xml:space="preserve">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65,4’lük hissesi, Kazakistan merkezli Kaspi.kz tarafından 1,1 milyar</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1756DE" w:rsidRPr="3212F08F">
        <w:rPr>
          <w:rFonts w:ascii="Verdana" w:eastAsia="Verdana" w:hAnsi="Verdana" w:cs="Verdana"/>
          <w:sz w:val="20"/>
          <w:szCs w:val="20"/>
        </w:rPr>
        <w:t>ı bedelle</w:t>
      </w:r>
      <w:r w:rsidRPr="3212F08F">
        <w:rPr>
          <w:rFonts w:ascii="Verdana" w:eastAsia="Verdana" w:hAnsi="Verdana" w:cs="Verdana"/>
          <w:sz w:val="20"/>
          <w:szCs w:val="20"/>
        </w:rPr>
        <w:t xml:space="preserve"> satın alındı. Yılın tek mega </w:t>
      </w:r>
      <w:r w:rsidR="001756DE" w:rsidRPr="3212F08F">
        <w:rPr>
          <w:rFonts w:ascii="Verdana" w:eastAsia="Verdana" w:hAnsi="Verdana" w:cs="Verdana"/>
          <w:sz w:val="20"/>
          <w:szCs w:val="20"/>
        </w:rPr>
        <w:t>işlemi</w:t>
      </w:r>
      <w:r w:rsidRPr="3212F08F">
        <w:rPr>
          <w:rFonts w:ascii="Verdana" w:eastAsia="Verdana" w:hAnsi="Verdana" w:cs="Verdana"/>
          <w:sz w:val="20"/>
          <w:szCs w:val="20"/>
        </w:rPr>
        <w:t xml:space="preserve"> olan bu </w:t>
      </w:r>
      <w:r w:rsidR="001756DE" w:rsidRPr="3212F08F">
        <w:rPr>
          <w:rFonts w:ascii="Verdana" w:eastAsia="Verdana" w:hAnsi="Verdana" w:cs="Verdana"/>
          <w:sz w:val="20"/>
          <w:szCs w:val="20"/>
        </w:rPr>
        <w:t>satın alma</w:t>
      </w:r>
      <w:r w:rsidRPr="3212F08F">
        <w:rPr>
          <w:rFonts w:ascii="Verdana" w:eastAsia="Verdana" w:hAnsi="Verdana" w:cs="Verdana"/>
          <w:sz w:val="20"/>
          <w:szCs w:val="20"/>
        </w:rPr>
        <w:t xml:space="preserve">, toplam işlem hacmine büyük katkı sağladı. </w:t>
      </w:r>
    </w:p>
    <w:p w14:paraId="1298B984" w14:textId="2AB1343A" w:rsidR="00E65FED" w:rsidRPr="00E320A6" w:rsidRDefault="00EB58D0" w:rsidP="3212F08F">
      <w:pPr>
        <w:pStyle w:val="ListeParagraf"/>
        <w:numPr>
          <w:ilvl w:val="0"/>
          <w:numId w:val="1"/>
        </w:num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Küresel </w:t>
      </w:r>
      <w:proofErr w:type="spellStart"/>
      <w:r w:rsidRPr="3212F08F">
        <w:rPr>
          <w:rFonts w:ascii="Verdana" w:eastAsia="Verdana" w:hAnsi="Verdana" w:cs="Verdana"/>
          <w:sz w:val="20"/>
          <w:szCs w:val="20"/>
        </w:rPr>
        <w:t>SaaS</w:t>
      </w:r>
      <w:proofErr w:type="spellEnd"/>
      <w:r w:rsidRPr="3212F08F">
        <w:rPr>
          <w:rFonts w:ascii="Verdana" w:eastAsia="Verdana" w:hAnsi="Verdana" w:cs="Verdana"/>
          <w:sz w:val="20"/>
          <w:szCs w:val="20"/>
        </w:rPr>
        <w:t xml:space="preserve"> sektörünün öncülerinden </w:t>
      </w:r>
      <w:proofErr w:type="spellStart"/>
      <w:r w:rsidRPr="3212F08F">
        <w:rPr>
          <w:rFonts w:ascii="Verdana" w:eastAsia="Verdana" w:hAnsi="Verdana" w:cs="Verdana"/>
          <w:sz w:val="20"/>
          <w:szCs w:val="20"/>
        </w:rPr>
        <w:t>Insider’ın</w:t>
      </w:r>
      <w:proofErr w:type="spellEnd"/>
      <w:r w:rsidRPr="3212F08F">
        <w:rPr>
          <w:rFonts w:ascii="Verdana" w:eastAsia="Verdana" w:hAnsi="Verdana" w:cs="Verdana"/>
          <w:sz w:val="20"/>
          <w:szCs w:val="20"/>
        </w:rPr>
        <w:t xml:space="preserve">, 2024 yılında ABD merkezli General </w:t>
      </w:r>
      <w:proofErr w:type="spellStart"/>
      <w:r w:rsidRPr="3212F08F">
        <w:rPr>
          <w:rFonts w:ascii="Verdana" w:eastAsia="Verdana" w:hAnsi="Verdana" w:cs="Verdana"/>
          <w:sz w:val="20"/>
          <w:szCs w:val="20"/>
        </w:rPr>
        <w:t>Atlantic’ten</w:t>
      </w:r>
      <w:proofErr w:type="spellEnd"/>
      <w:r w:rsidRPr="3212F08F">
        <w:rPr>
          <w:rFonts w:ascii="Verdana" w:eastAsia="Verdana" w:hAnsi="Verdana" w:cs="Verdana"/>
          <w:sz w:val="20"/>
          <w:szCs w:val="20"/>
        </w:rPr>
        <w:t xml:space="preserve"> aldığı 500 milyon</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dolarlık ileri aşama yatırım</w:t>
      </w:r>
      <w:r w:rsidR="001756DE" w:rsidRPr="3212F08F">
        <w:rPr>
          <w:rFonts w:ascii="Verdana" w:eastAsia="Verdana" w:hAnsi="Verdana" w:cs="Verdana"/>
          <w:sz w:val="20"/>
          <w:szCs w:val="20"/>
        </w:rPr>
        <w:t xml:space="preserve"> </w:t>
      </w:r>
      <w:r w:rsidRPr="3212F08F">
        <w:rPr>
          <w:rFonts w:ascii="Verdana" w:eastAsia="Verdana" w:hAnsi="Verdana" w:cs="Verdana"/>
          <w:sz w:val="20"/>
          <w:szCs w:val="20"/>
        </w:rPr>
        <w:t xml:space="preserve">da toplam işlem hacmine </w:t>
      </w:r>
      <w:r w:rsidR="001756DE" w:rsidRPr="3212F08F">
        <w:rPr>
          <w:rFonts w:ascii="Verdana" w:eastAsia="Verdana" w:hAnsi="Verdana" w:cs="Verdana"/>
          <w:sz w:val="20"/>
          <w:szCs w:val="20"/>
        </w:rPr>
        <w:t>önemli</w:t>
      </w:r>
      <w:r w:rsidRPr="3212F08F">
        <w:rPr>
          <w:rFonts w:ascii="Verdana" w:eastAsia="Verdana" w:hAnsi="Verdana" w:cs="Verdana"/>
          <w:sz w:val="20"/>
          <w:szCs w:val="20"/>
        </w:rPr>
        <w:t xml:space="preserve"> katkı sağlayan bir diğer işlem oldu. </w:t>
      </w:r>
      <w:r w:rsidR="003370DC" w:rsidRPr="3212F08F">
        <w:rPr>
          <w:rFonts w:ascii="Verdana" w:eastAsia="Verdana" w:hAnsi="Verdana" w:cs="Verdana"/>
          <w:sz w:val="20"/>
          <w:szCs w:val="20"/>
        </w:rPr>
        <w:t>Bu işlem</w:t>
      </w:r>
      <w:r w:rsidR="00A86D97" w:rsidRPr="3212F08F">
        <w:rPr>
          <w:rFonts w:ascii="Verdana" w:eastAsia="Verdana" w:hAnsi="Verdana" w:cs="Verdana"/>
          <w:sz w:val="20"/>
          <w:szCs w:val="20"/>
        </w:rPr>
        <w:t xml:space="preserve">le </w:t>
      </w:r>
      <w:proofErr w:type="spellStart"/>
      <w:r w:rsidR="003370DC" w:rsidRPr="3212F08F">
        <w:rPr>
          <w:rFonts w:ascii="Verdana" w:eastAsia="Verdana" w:hAnsi="Verdana" w:cs="Verdana"/>
          <w:sz w:val="20"/>
          <w:szCs w:val="20"/>
        </w:rPr>
        <w:t>Insider</w:t>
      </w:r>
      <w:proofErr w:type="spellEnd"/>
      <w:r w:rsidR="003370DC" w:rsidRPr="3212F08F">
        <w:rPr>
          <w:rFonts w:ascii="Verdana" w:eastAsia="Verdana" w:hAnsi="Verdana" w:cs="Verdana"/>
          <w:sz w:val="20"/>
          <w:szCs w:val="20"/>
        </w:rPr>
        <w:t xml:space="preserve"> değerlemesini </w:t>
      </w:r>
      <w:proofErr w:type="spellStart"/>
      <w:r w:rsidR="00283DD0" w:rsidRPr="3212F08F">
        <w:rPr>
          <w:rFonts w:ascii="Verdana" w:eastAsia="Verdana" w:hAnsi="Verdana" w:cs="Verdana"/>
          <w:sz w:val="20"/>
          <w:szCs w:val="20"/>
        </w:rPr>
        <w:t>decacorn</w:t>
      </w:r>
      <w:proofErr w:type="spellEnd"/>
      <w:r w:rsidR="00283DD0" w:rsidRPr="3212F08F">
        <w:rPr>
          <w:rFonts w:ascii="Verdana" w:eastAsia="Verdana" w:hAnsi="Verdana" w:cs="Verdana"/>
          <w:sz w:val="20"/>
          <w:szCs w:val="20"/>
        </w:rPr>
        <w:t xml:space="preserve"> </w:t>
      </w:r>
      <w:r w:rsidR="003370DC" w:rsidRPr="3212F08F">
        <w:rPr>
          <w:rFonts w:ascii="Verdana" w:eastAsia="Verdana" w:hAnsi="Verdana" w:cs="Verdana"/>
          <w:sz w:val="20"/>
          <w:szCs w:val="20"/>
        </w:rPr>
        <w:t xml:space="preserve">(değeri 10 milyar </w:t>
      </w:r>
      <w:r w:rsidR="00E320A6" w:rsidRPr="3212F08F">
        <w:rPr>
          <w:rFonts w:ascii="Verdana" w:eastAsia="Verdana" w:hAnsi="Verdana" w:cs="Verdana"/>
          <w:sz w:val="20"/>
          <w:szCs w:val="20"/>
        </w:rPr>
        <w:t xml:space="preserve">ABD </w:t>
      </w:r>
      <w:r w:rsidR="003370DC" w:rsidRPr="3212F08F">
        <w:rPr>
          <w:rFonts w:ascii="Verdana" w:eastAsia="Verdana" w:hAnsi="Verdana" w:cs="Verdana"/>
          <w:sz w:val="20"/>
          <w:szCs w:val="20"/>
        </w:rPr>
        <w:t>dolar</w:t>
      </w:r>
      <w:r w:rsidR="00E320A6" w:rsidRPr="3212F08F">
        <w:rPr>
          <w:rFonts w:ascii="Verdana" w:eastAsia="Verdana" w:hAnsi="Verdana" w:cs="Verdana"/>
          <w:sz w:val="20"/>
          <w:szCs w:val="20"/>
        </w:rPr>
        <w:t>ı</w:t>
      </w:r>
      <w:r w:rsidR="003370DC" w:rsidRPr="3212F08F">
        <w:rPr>
          <w:rFonts w:ascii="Verdana" w:eastAsia="Verdana" w:hAnsi="Verdana" w:cs="Verdana"/>
          <w:sz w:val="20"/>
          <w:szCs w:val="20"/>
        </w:rPr>
        <w:t xml:space="preserve"> ve üzerinde olan şirket) seviyesine oldukça yaklaştırdı. </w:t>
      </w:r>
      <w:r w:rsidR="00283DD0" w:rsidRPr="3212F08F">
        <w:rPr>
          <w:rFonts w:ascii="Verdana" w:eastAsia="Verdana" w:hAnsi="Verdana" w:cs="Verdana"/>
          <w:sz w:val="20"/>
          <w:szCs w:val="20"/>
        </w:rPr>
        <w:t xml:space="preserve">Hâlihazırda </w:t>
      </w:r>
      <w:r w:rsidR="003370DC" w:rsidRPr="3212F08F">
        <w:rPr>
          <w:rFonts w:ascii="Verdana" w:eastAsia="Verdana" w:hAnsi="Verdana" w:cs="Verdana"/>
          <w:sz w:val="20"/>
          <w:szCs w:val="20"/>
        </w:rPr>
        <w:t>28 ülkede operasyonu bulanan</w:t>
      </w:r>
      <w:r w:rsidR="003370DC" w:rsidRPr="3212F08F">
        <w:rPr>
          <w:rFonts w:ascii="Verdana" w:eastAsia="Verdana" w:hAnsi="Verdana" w:cs="Verdana"/>
          <w:b/>
          <w:bCs/>
          <w:sz w:val="20"/>
          <w:szCs w:val="20"/>
        </w:rPr>
        <w:t> </w:t>
      </w:r>
      <w:proofErr w:type="spellStart"/>
      <w:r w:rsidR="003370DC" w:rsidRPr="3212F08F">
        <w:rPr>
          <w:rFonts w:ascii="Verdana" w:eastAsia="Verdana" w:hAnsi="Verdana" w:cs="Verdana"/>
          <w:sz w:val="20"/>
          <w:szCs w:val="20"/>
        </w:rPr>
        <w:t>Insider'ın</w:t>
      </w:r>
      <w:proofErr w:type="spellEnd"/>
      <w:r w:rsidR="003370DC" w:rsidRPr="3212F08F">
        <w:rPr>
          <w:rFonts w:ascii="Verdana" w:eastAsia="Verdana" w:hAnsi="Verdana" w:cs="Verdana"/>
          <w:sz w:val="20"/>
          <w:szCs w:val="20"/>
        </w:rPr>
        <w:t xml:space="preserve"> ölçeklenme sürecinde öncelik vereceği coğrafya</w:t>
      </w:r>
      <w:r w:rsidR="00E320A6" w:rsidRPr="3212F08F">
        <w:rPr>
          <w:rFonts w:ascii="Verdana" w:eastAsia="Verdana" w:hAnsi="Verdana" w:cs="Verdana"/>
          <w:sz w:val="20"/>
          <w:szCs w:val="20"/>
        </w:rPr>
        <w:t xml:space="preserve">ysa </w:t>
      </w:r>
      <w:r w:rsidR="003370DC" w:rsidRPr="3212F08F">
        <w:rPr>
          <w:rFonts w:ascii="Verdana" w:eastAsia="Verdana" w:hAnsi="Verdana" w:cs="Verdana"/>
          <w:sz w:val="20"/>
          <w:szCs w:val="20"/>
        </w:rPr>
        <w:t xml:space="preserve">ABD olacak. ABD'ye ilk </w:t>
      </w:r>
      <w:r w:rsidR="00E320A6" w:rsidRPr="3212F08F">
        <w:rPr>
          <w:rFonts w:ascii="Verdana" w:eastAsia="Verdana" w:hAnsi="Verdana" w:cs="Verdana"/>
          <w:sz w:val="20"/>
          <w:szCs w:val="20"/>
        </w:rPr>
        <w:t>açılışından</w:t>
      </w:r>
      <w:r w:rsidR="003370DC" w:rsidRPr="3212F08F">
        <w:rPr>
          <w:rFonts w:ascii="Verdana" w:eastAsia="Verdana" w:hAnsi="Verdana" w:cs="Verdana"/>
          <w:sz w:val="20"/>
          <w:szCs w:val="20"/>
        </w:rPr>
        <w:t xml:space="preserve"> bu yana bölgede 3 kat büyüyen </w:t>
      </w:r>
      <w:proofErr w:type="spellStart"/>
      <w:r w:rsidR="003370DC" w:rsidRPr="3212F08F">
        <w:rPr>
          <w:rFonts w:ascii="Verdana" w:eastAsia="Verdana" w:hAnsi="Verdana" w:cs="Verdana"/>
          <w:sz w:val="20"/>
          <w:szCs w:val="20"/>
        </w:rPr>
        <w:t>Insider</w:t>
      </w:r>
      <w:proofErr w:type="spellEnd"/>
      <w:r w:rsidR="003370DC" w:rsidRPr="3212F08F">
        <w:rPr>
          <w:rFonts w:ascii="Verdana" w:eastAsia="Verdana" w:hAnsi="Verdana" w:cs="Verdana"/>
          <w:sz w:val="20"/>
          <w:szCs w:val="20"/>
        </w:rPr>
        <w:t xml:space="preserve">, General </w:t>
      </w:r>
      <w:proofErr w:type="spellStart"/>
      <w:r w:rsidR="003370DC" w:rsidRPr="3212F08F">
        <w:rPr>
          <w:rFonts w:ascii="Verdana" w:eastAsia="Verdana" w:hAnsi="Verdana" w:cs="Verdana"/>
          <w:sz w:val="20"/>
          <w:szCs w:val="20"/>
        </w:rPr>
        <w:t>Atlantic'in</w:t>
      </w:r>
      <w:proofErr w:type="spellEnd"/>
      <w:r w:rsidR="003370DC" w:rsidRPr="3212F08F">
        <w:rPr>
          <w:rFonts w:ascii="Verdana" w:eastAsia="Verdana" w:hAnsi="Verdana" w:cs="Verdana"/>
          <w:sz w:val="20"/>
          <w:szCs w:val="20"/>
        </w:rPr>
        <w:t xml:space="preserve"> açacağı kapılardan yararlanarak pazarı domine etmeyi ve öncelik ABD'de olmak üzere dünya genelinde yeni satın </w:t>
      </w:r>
      <w:r w:rsidR="00E320A6" w:rsidRPr="3212F08F">
        <w:rPr>
          <w:rFonts w:ascii="Verdana" w:eastAsia="Verdana" w:hAnsi="Verdana" w:cs="Verdana"/>
          <w:sz w:val="20"/>
          <w:szCs w:val="20"/>
        </w:rPr>
        <w:t>almalar</w:t>
      </w:r>
      <w:r w:rsidR="003370DC" w:rsidRPr="3212F08F">
        <w:rPr>
          <w:rFonts w:ascii="Verdana" w:eastAsia="Verdana" w:hAnsi="Verdana" w:cs="Verdana"/>
          <w:sz w:val="20"/>
          <w:szCs w:val="20"/>
        </w:rPr>
        <w:t xml:space="preserve"> gerçekleştirmeyi hedefliyor.</w:t>
      </w:r>
    </w:p>
    <w:p w14:paraId="2AC9B0B4" w14:textId="1AA85082" w:rsidR="00E65FED" w:rsidRPr="00E320A6" w:rsidRDefault="00EB58D0" w:rsidP="3212F08F">
      <w:pPr>
        <w:pStyle w:val="ListeParagraf"/>
        <w:numPr>
          <w:ilvl w:val="0"/>
          <w:numId w:val="1"/>
        </w:num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Getir, </w:t>
      </w:r>
      <w:proofErr w:type="spellStart"/>
      <w:r w:rsidRPr="3212F08F">
        <w:rPr>
          <w:rFonts w:ascii="Verdana" w:eastAsia="Verdana" w:hAnsi="Verdana" w:cs="Verdana"/>
          <w:sz w:val="20"/>
          <w:szCs w:val="20"/>
        </w:rPr>
        <w:t>Mubadala</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Investment</w:t>
      </w:r>
      <w:proofErr w:type="spellEnd"/>
      <w:r w:rsidRPr="3212F08F">
        <w:rPr>
          <w:rFonts w:ascii="Verdana" w:eastAsia="Verdana" w:hAnsi="Verdana" w:cs="Verdana"/>
          <w:sz w:val="20"/>
          <w:szCs w:val="20"/>
        </w:rPr>
        <w:t xml:space="preserve"> </w:t>
      </w:r>
      <w:proofErr w:type="spellStart"/>
      <w:r w:rsidRPr="3212F08F">
        <w:rPr>
          <w:rFonts w:ascii="Verdana" w:eastAsia="Verdana" w:hAnsi="Verdana" w:cs="Verdana"/>
          <w:sz w:val="20"/>
          <w:szCs w:val="20"/>
        </w:rPr>
        <w:t>Company’den</w:t>
      </w:r>
      <w:proofErr w:type="spellEnd"/>
      <w:r w:rsidRPr="3212F08F">
        <w:rPr>
          <w:rFonts w:ascii="Verdana" w:eastAsia="Verdana" w:hAnsi="Verdana" w:cs="Verdana"/>
          <w:sz w:val="20"/>
          <w:szCs w:val="20"/>
        </w:rPr>
        <w:t xml:space="preserve"> 250 milyon </w:t>
      </w:r>
      <w:r w:rsidR="001756DE" w:rsidRPr="3212F08F">
        <w:rPr>
          <w:rFonts w:ascii="Verdana" w:eastAsia="Verdana" w:hAnsi="Verdana" w:cs="Verdana"/>
          <w:sz w:val="20"/>
          <w:szCs w:val="20"/>
        </w:rPr>
        <w:t xml:space="preserve">ABD </w:t>
      </w:r>
      <w:r w:rsidRPr="3212F08F">
        <w:rPr>
          <w:rFonts w:ascii="Verdana" w:eastAsia="Verdana" w:hAnsi="Verdana" w:cs="Verdana"/>
          <w:sz w:val="20"/>
          <w:szCs w:val="20"/>
        </w:rPr>
        <w:t xml:space="preserve">dolarlık ileri aşama yatırımı alarak yönetim kontrolünü </w:t>
      </w:r>
      <w:proofErr w:type="spellStart"/>
      <w:r w:rsidRPr="3212F08F">
        <w:rPr>
          <w:rFonts w:ascii="Verdana" w:eastAsia="Verdana" w:hAnsi="Verdana" w:cs="Verdana"/>
          <w:sz w:val="20"/>
          <w:szCs w:val="20"/>
        </w:rPr>
        <w:t>Mubadala’ya</w:t>
      </w:r>
      <w:proofErr w:type="spellEnd"/>
      <w:r w:rsidRPr="3212F08F">
        <w:rPr>
          <w:rFonts w:ascii="Verdana" w:eastAsia="Verdana" w:hAnsi="Verdana" w:cs="Verdana"/>
          <w:sz w:val="20"/>
          <w:szCs w:val="20"/>
        </w:rPr>
        <w:t xml:space="preserve"> devretti. </w:t>
      </w:r>
    </w:p>
    <w:p w14:paraId="71D1063C" w14:textId="5C2C236E" w:rsidR="00E65FED" w:rsidRPr="00E320A6" w:rsidRDefault="00EB58D0" w:rsidP="3212F08F">
      <w:pPr>
        <w:pStyle w:val="ListeParagraf"/>
        <w:numPr>
          <w:ilvl w:val="0"/>
          <w:numId w:val="1"/>
        </w:numPr>
        <w:spacing w:after="0" w:line="300" w:lineRule="auto"/>
        <w:jc w:val="both"/>
        <w:rPr>
          <w:rFonts w:ascii="Verdana" w:eastAsia="Verdana" w:hAnsi="Verdana" w:cs="Verdana"/>
          <w:sz w:val="20"/>
          <w:szCs w:val="20"/>
        </w:rPr>
      </w:pPr>
      <w:proofErr w:type="spellStart"/>
      <w:r w:rsidRPr="3212F08F">
        <w:rPr>
          <w:rFonts w:ascii="Verdana" w:eastAsia="Verdana" w:hAnsi="Verdana" w:cs="Verdana"/>
          <w:sz w:val="20"/>
          <w:szCs w:val="20"/>
        </w:rPr>
        <w:t>Paynet’in</w:t>
      </w:r>
      <w:proofErr w:type="spellEnd"/>
      <w:r w:rsidR="00E65FED" w:rsidRPr="3212F08F">
        <w:rPr>
          <w:rFonts w:ascii="Verdana" w:eastAsia="Verdana" w:hAnsi="Verdana" w:cs="Verdana"/>
          <w:sz w:val="20"/>
          <w:szCs w:val="20"/>
        </w:rPr>
        <w:t xml:space="preserve"> </w:t>
      </w:r>
      <w:proofErr w:type="spellStart"/>
      <w:r w:rsidR="00E65FED" w:rsidRPr="3212F08F">
        <w:rPr>
          <w:rFonts w:ascii="Verdana" w:eastAsia="Verdana" w:hAnsi="Verdana" w:cs="Verdana"/>
          <w:sz w:val="20"/>
          <w:szCs w:val="20"/>
        </w:rPr>
        <w:t>iyzico</w:t>
      </w:r>
      <w:proofErr w:type="spellEnd"/>
      <w:r w:rsidR="00E65FED" w:rsidRPr="3212F08F">
        <w:rPr>
          <w:rFonts w:ascii="Verdana" w:eastAsia="Verdana" w:hAnsi="Verdana" w:cs="Verdana"/>
          <w:sz w:val="20"/>
          <w:szCs w:val="20"/>
        </w:rPr>
        <w:t xml:space="preserve"> tarafından</w:t>
      </w:r>
      <w:r w:rsidRPr="3212F08F">
        <w:rPr>
          <w:rFonts w:ascii="Verdana" w:eastAsia="Verdana" w:hAnsi="Verdana" w:cs="Verdana"/>
          <w:sz w:val="20"/>
          <w:szCs w:val="20"/>
        </w:rPr>
        <w:t xml:space="preserve"> 87 milyon</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E65FED" w:rsidRPr="3212F08F">
        <w:rPr>
          <w:rFonts w:ascii="Verdana" w:eastAsia="Verdana" w:hAnsi="Verdana" w:cs="Verdana"/>
          <w:sz w:val="20"/>
          <w:szCs w:val="20"/>
        </w:rPr>
        <w:t>ı bedel</w:t>
      </w:r>
      <w:r w:rsidR="00A86D97" w:rsidRPr="3212F08F">
        <w:rPr>
          <w:rFonts w:ascii="Verdana" w:eastAsia="Verdana" w:hAnsi="Verdana" w:cs="Verdana"/>
          <w:sz w:val="20"/>
          <w:szCs w:val="20"/>
        </w:rPr>
        <w:t xml:space="preserve">le </w:t>
      </w:r>
      <w:r w:rsidR="00E65FED" w:rsidRPr="3212F08F">
        <w:rPr>
          <w:rFonts w:ascii="Verdana" w:eastAsia="Verdana" w:hAnsi="Verdana" w:cs="Verdana"/>
          <w:sz w:val="20"/>
          <w:szCs w:val="20"/>
        </w:rPr>
        <w:t>satın alınması</w:t>
      </w:r>
      <w:r w:rsidR="00C457DD" w:rsidRPr="3212F08F">
        <w:rPr>
          <w:rFonts w:ascii="Verdana" w:eastAsia="Verdana" w:hAnsi="Verdana" w:cs="Verdana"/>
          <w:sz w:val="20"/>
          <w:szCs w:val="20"/>
        </w:rPr>
        <w:t xml:space="preserve"> </w:t>
      </w:r>
      <w:r w:rsidR="00423874" w:rsidRPr="3212F08F">
        <w:rPr>
          <w:rFonts w:ascii="Verdana" w:eastAsia="Verdana" w:hAnsi="Verdana" w:cs="Verdana"/>
          <w:sz w:val="20"/>
          <w:szCs w:val="20"/>
        </w:rPr>
        <w:t xml:space="preserve">da işlem adedi bazında lider olan </w:t>
      </w:r>
      <w:proofErr w:type="spellStart"/>
      <w:r w:rsidR="00423874" w:rsidRPr="3212F08F">
        <w:rPr>
          <w:rFonts w:ascii="Verdana" w:eastAsia="Verdana" w:hAnsi="Verdana" w:cs="Verdana"/>
          <w:sz w:val="20"/>
          <w:szCs w:val="20"/>
        </w:rPr>
        <w:t>fintech</w:t>
      </w:r>
      <w:proofErr w:type="spellEnd"/>
      <w:r w:rsidR="00423874" w:rsidRPr="3212F08F">
        <w:rPr>
          <w:rFonts w:ascii="Verdana" w:eastAsia="Verdana" w:hAnsi="Verdana" w:cs="Verdana"/>
          <w:sz w:val="20"/>
          <w:szCs w:val="20"/>
        </w:rPr>
        <w:t xml:space="preserve"> sektöründe gerçekleşen yılın en büyük işlemi oldu. </w:t>
      </w:r>
      <w:r w:rsidR="003370DC" w:rsidRPr="3212F08F">
        <w:rPr>
          <w:rFonts w:ascii="Verdana" w:eastAsia="Verdana" w:hAnsi="Verdana" w:cs="Verdana"/>
          <w:sz w:val="20"/>
          <w:szCs w:val="20"/>
        </w:rPr>
        <w:t xml:space="preserve">Aynı zamanda bu işlem </w:t>
      </w:r>
      <w:proofErr w:type="spellStart"/>
      <w:r w:rsidR="003370DC" w:rsidRPr="3212F08F">
        <w:rPr>
          <w:rFonts w:ascii="Verdana" w:eastAsia="Verdana" w:hAnsi="Verdana" w:cs="Verdana"/>
          <w:sz w:val="20"/>
          <w:szCs w:val="20"/>
        </w:rPr>
        <w:t>fintech</w:t>
      </w:r>
      <w:proofErr w:type="spellEnd"/>
      <w:r w:rsidR="003370DC" w:rsidRPr="3212F08F">
        <w:rPr>
          <w:rFonts w:ascii="Verdana" w:eastAsia="Verdana" w:hAnsi="Verdana" w:cs="Verdana"/>
          <w:sz w:val="20"/>
          <w:szCs w:val="20"/>
        </w:rPr>
        <w:t xml:space="preserve"> sektöründe iki Türk şirketi arasında gerçekleşen en büyük satın alma işlemi olma özelliğini taşıyor. </w:t>
      </w:r>
      <w:proofErr w:type="spellStart"/>
      <w:r w:rsidR="003370DC" w:rsidRPr="3212F08F">
        <w:rPr>
          <w:rFonts w:ascii="Verdana" w:eastAsia="Verdana" w:hAnsi="Verdana" w:cs="Verdana"/>
          <w:sz w:val="20"/>
          <w:szCs w:val="20"/>
        </w:rPr>
        <w:t>Paynet’in</w:t>
      </w:r>
      <w:proofErr w:type="spellEnd"/>
      <w:r w:rsidR="003370DC" w:rsidRPr="3212F08F">
        <w:rPr>
          <w:rFonts w:ascii="Verdana" w:eastAsia="Verdana" w:hAnsi="Verdana" w:cs="Verdana"/>
          <w:sz w:val="20"/>
          <w:szCs w:val="20"/>
        </w:rPr>
        <w:t xml:space="preserve"> B2B ve B2B2C ödeme çözümlerindeki tecrübesinin </w:t>
      </w:r>
      <w:proofErr w:type="spellStart"/>
      <w:r w:rsidR="003370DC" w:rsidRPr="3212F08F">
        <w:rPr>
          <w:rFonts w:ascii="Verdana" w:eastAsia="Verdana" w:hAnsi="Verdana" w:cs="Verdana"/>
          <w:sz w:val="20"/>
          <w:szCs w:val="20"/>
        </w:rPr>
        <w:t>iyzico’nun</w:t>
      </w:r>
      <w:proofErr w:type="spellEnd"/>
      <w:r w:rsidR="003370DC" w:rsidRPr="3212F08F">
        <w:rPr>
          <w:rFonts w:ascii="Verdana" w:eastAsia="Verdana" w:hAnsi="Verdana" w:cs="Verdana"/>
          <w:sz w:val="20"/>
          <w:szCs w:val="20"/>
        </w:rPr>
        <w:t xml:space="preserve"> yenilikçi ürün portföyüne katılmasıyla hem yüksek bir sinerji sağlanması hem de </w:t>
      </w:r>
      <w:proofErr w:type="spellStart"/>
      <w:r w:rsidR="003370DC" w:rsidRPr="3212F08F">
        <w:rPr>
          <w:rFonts w:ascii="Verdana" w:eastAsia="Verdana" w:hAnsi="Verdana" w:cs="Verdana"/>
          <w:sz w:val="20"/>
          <w:szCs w:val="20"/>
        </w:rPr>
        <w:t>iyzico’nun</w:t>
      </w:r>
      <w:proofErr w:type="spellEnd"/>
      <w:r w:rsidR="003370DC" w:rsidRPr="3212F08F">
        <w:rPr>
          <w:rFonts w:ascii="Verdana" w:eastAsia="Verdana" w:hAnsi="Verdana" w:cs="Verdana"/>
          <w:sz w:val="20"/>
          <w:szCs w:val="20"/>
        </w:rPr>
        <w:t xml:space="preserve"> müşteri</w:t>
      </w:r>
      <w:r w:rsidR="00E320A6" w:rsidRPr="3212F08F">
        <w:rPr>
          <w:rFonts w:ascii="Verdana" w:eastAsia="Verdana" w:hAnsi="Verdana" w:cs="Verdana"/>
          <w:sz w:val="20"/>
          <w:szCs w:val="20"/>
        </w:rPr>
        <w:t>leri</w:t>
      </w:r>
      <w:r w:rsidR="003370DC" w:rsidRPr="3212F08F">
        <w:rPr>
          <w:rFonts w:ascii="Verdana" w:eastAsia="Verdana" w:hAnsi="Verdana" w:cs="Verdana"/>
          <w:sz w:val="20"/>
          <w:szCs w:val="20"/>
        </w:rPr>
        <w:t>ne daha geniş bir hizmet yelpazesi sunma</w:t>
      </w:r>
      <w:r w:rsidR="00E320A6" w:rsidRPr="3212F08F">
        <w:rPr>
          <w:rFonts w:ascii="Verdana" w:eastAsia="Verdana" w:hAnsi="Verdana" w:cs="Verdana"/>
          <w:sz w:val="20"/>
          <w:szCs w:val="20"/>
        </w:rPr>
        <w:t xml:space="preserve">sı </w:t>
      </w:r>
      <w:r w:rsidR="003370DC" w:rsidRPr="3212F08F">
        <w:rPr>
          <w:rFonts w:ascii="Verdana" w:eastAsia="Verdana" w:hAnsi="Verdana" w:cs="Verdana"/>
          <w:sz w:val="20"/>
          <w:szCs w:val="20"/>
        </w:rPr>
        <w:t>bekleniyor.</w:t>
      </w:r>
    </w:p>
    <w:p w14:paraId="11712E4D" w14:textId="2175B9D5" w:rsidR="00EB58D0" w:rsidRPr="00E320A6" w:rsidRDefault="00EB58D0" w:rsidP="3212F08F">
      <w:pPr>
        <w:pStyle w:val="ListeParagraf"/>
        <w:numPr>
          <w:ilvl w:val="0"/>
          <w:numId w:val="1"/>
        </w:numPr>
        <w:spacing w:after="0" w:line="300" w:lineRule="auto"/>
        <w:jc w:val="both"/>
        <w:rPr>
          <w:rFonts w:ascii="Verdana" w:eastAsia="Verdana" w:hAnsi="Verdana" w:cs="Verdana"/>
          <w:sz w:val="20"/>
          <w:szCs w:val="20"/>
        </w:rPr>
      </w:pPr>
      <w:r w:rsidRPr="3212F08F">
        <w:rPr>
          <w:rFonts w:ascii="Verdana" w:eastAsia="Verdana" w:hAnsi="Verdana" w:cs="Verdana"/>
          <w:sz w:val="20"/>
          <w:szCs w:val="20"/>
        </w:rPr>
        <w:t xml:space="preserve">2024 yılı, Türkiye </w:t>
      </w:r>
      <w:proofErr w:type="spellStart"/>
      <w:r w:rsidRPr="3212F08F">
        <w:rPr>
          <w:rFonts w:ascii="Verdana" w:eastAsia="Verdana" w:hAnsi="Verdana" w:cs="Verdana"/>
          <w:sz w:val="20"/>
          <w:szCs w:val="20"/>
        </w:rPr>
        <w:t>startup</w:t>
      </w:r>
      <w:proofErr w:type="spellEnd"/>
      <w:r w:rsidRPr="3212F08F">
        <w:rPr>
          <w:rFonts w:ascii="Verdana" w:eastAsia="Verdana" w:hAnsi="Verdana" w:cs="Verdana"/>
          <w:sz w:val="20"/>
          <w:szCs w:val="20"/>
        </w:rPr>
        <w:t xml:space="preserve"> ekosisteminde halka arzların</w:t>
      </w:r>
      <w:r w:rsidR="00E65FED" w:rsidRPr="3212F08F">
        <w:rPr>
          <w:rFonts w:ascii="Verdana" w:eastAsia="Verdana" w:hAnsi="Verdana" w:cs="Verdana"/>
          <w:sz w:val="20"/>
          <w:szCs w:val="20"/>
        </w:rPr>
        <w:t xml:space="preserve"> da</w:t>
      </w:r>
      <w:r w:rsidRPr="3212F08F">
        <w:rPr>
          <w:rFonts w:ascii="Verdana" w:eastAsia="Verdana" w:hAnsi="Verdana" w:cs="Verdana"/>
          <w:sz w:val="20"/>
          <w:szCs w:val="20"/>
        </w:rPr>
        <w:t xml:space="preserve"> öne çıktığı bir yıl oldu. Mayıs 2024’te, insansız araç sektörünün güçlü oyuncularından Altınay Savunma,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 xml:space="preserve">25’lik hissesini halka arz ederek </w:t>
      </w:r>
      <w:r w:rsidR="00E65FED" w:rsidRPr="3212F08F">
        <w:rPr>
          <w:rFonts w:ascii="Verdana" w:eastAsia="Verdana" w:hAnsi="Verdana" w:cs="Verdana"/>
          <w:sz w:val="20"/>
          <w:szCs w:val="20"/>
        </w:rPr>
        <w:t xml:space="preserve">yatırımcılardan </w:t>
      </w:r>
      <w:r w:rsidRPr="3212F08F">
        <w:rPr>
          <w:rFonts w:ascii="Verdana" w:eastAsia="Verdana" w:hAnsi="Verdana" w:cs="Verdana"/>
          <w:sz w:val="20"/>
          <w:szCs w:val="20"/>
        </w:rPr>
        <w:t>58,5 milyon</w:t>
      </w:r>
      <w:r w:rsidR="00E320A6"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E320A6" w:rsidRPr="3212F08F">
        <w:rPr>
          <w:rFonts w:ascii="Verdana" w:eastAsia="Verdana" w:hAnsi="Verdana" w:cs="Verdana"/>
          <w:sz w:val="20"/>
          <w:szCs w:val="20"/>
        </w:rPr>
        <w:t>ı</w:t>
      </w:r>
      <w:r w:rsidRPr="3212F08F">
        <w:rPr>
          <w:rFonts w:ascii="Verdana" w:eastAsia="Verdana" w:hAnsi="Verdana" w:cs="Verdana"/>
          <w:sz w:val="20"/>
          <w:szCs w:val="20"/>
        </w:rPr>
        <w:t xml:space="preserve"> topladı. </w:t>
      </w:r>
      <w:r w:rsidR="00E65FED" w:rsidRPr="3212F08F">
        <w:rPr>
          <w:rFonts w:ascii="Verdana" w:eastAsia="Verdana" w:hAnsi="Verdana" w:cs="Verdana"/>
          <w:sz w:val="20"/>
          <w:szCs w:val="20"/>
        </w:rPr>
        <w:t>Benzer şekilde ç</w:t>
      </w:r>
      <w:r w:rsidRPr="3212F08F">
        <w:rPr>
          <w:rFonts w:ascii="Verdana" w:eastAsia="Verdana" w:hAnsi="Verdana" w:cs="Verdana"/>
          <w:sz w:val="20"/>
          <w:szCs w:val="20"/>
        </w:rPr>
        <w:t xml:space="preserve">evre dostu mobilite çözümleri sunan </w:t>
      </w:r>
      <w:proofErr w:type="spellStart"/>
      <w:r w:rsidRPr="3212F08F">
        <w:rPr>
          <w:rFonts w:ascii="Verdana" w:eastAsia="Verdana" w:hAnsi="Verdana" w:cs="Verdana"/>
          <w:sz w:val="20"/>
          <w:szCs w:val="20"/>
        </w:rPr>
        <w:t>BinBin</w:t>
      </w:r>
      <w:proofErr w:type="spellEnd"/>
      <w:r w:rsidRPr="3212F08F">
        <w:rPr>
          <w:rFonts w:ascii="Verdana" w:eastAsia="Verdana" w:hAnsi="Verdana" w:cs="Verdana"/>
          <w:sz w:val="20"/>
          <w:szCs w:val="20"/>
        </w:rPr>
        <w:t xml:space="preserve"> ise </w:t>
      </w:r>
      <w:r w:rsidR="00283DD0" w:rsidRPr="3212F08F">
        <w:rPr>
          <w:rFonts w:ascii="Verdana" w:eastAsia="Verdana" w:hAnsi="Verdana" w:cs="Verdana"/>
          <w:sz w:val="20"/>
          <w:szCs w:val="20"/>
        </w:rPr>
        <w:t xml:space="preserve">yüzde </w:t>
      </w:r>
      <w:r w:rsidRPr="3212F08F">
        <w:rPr>
          <w:rFonts w:ascii="Verdana" w:eastAsia="Verdana" w:hAnsi="Verdana" w:cs="Verdana"/>
          <w:sz w:val="20"/>
          <w:szCs w:val="20"/>
        </w:rPr>
        <w:t>15,2’lik hissesini halka arz ederek 45,7 milyon</w:t>
      </w:r>
      <w:r w:rsidR="001756DE" w:rsidRPr="3212F08F">
        <w:rPr>
          <w:rFonts w:ascii="Verdana" w:eastAsia="Verdana" w:hAnsi="Verdana" w:cs="Verdana"/>
          <w:sz w:val="20"/>
          <w:szCs w:val="20"/>
        </w:rPr>
        <w:t xml:space="preserve"> ABD</w:t>
      </w:r>
      <w:r w:rsidRPr="3212F08F">
        <w:rPr>
          <w:rFonts w:ascii="Verdana" w:eastAsia="Verdana" w:hAnsi="Verdana" w:cs="Verdana"/>
          <w:sz w:val="20"/>
          <w:szCs w:val="20"/>
        </w:rPr>
        <w:t xml:space="preserve"> dolar</w:t>
      </w:r>
      <w:r w:rsidR="001756DE" w:rsidRPr="3212F08F">
        <w:rPr>
          <w:rFonts w:ascii="Verdana" w:eastAsia="Verdana" w:hAnsi="Verdana" w:cs="Verdana"/>
          <w:sz w:val="20"/>
          <w:szCs w:val="20"/>
        </w:rPr>
        <w:t>ı</w:t>
      </w:r>
      <w:r w:rsidRPr="3212F08F">
        <w:rPr>
          <w:rFonts w:ascii="Verdana" w:eastAsia="Verdana" w:hAnsi="Verdana" w:cs="Verdana"/>
          <w:sz w:val="20"/>
          <w:szCs w:val="20"/>
        </w:rPr>
        <w:t xml:space="preserve"> yatırım aldı.</w:t>
      </w:r>
    </w:p>
    <w:p w14:paraId="7BE6DBAD" w14:textId="77777777" w:rsidR="00431C9E" w:rsidRDefault="00431C9E" w:rsidP="00283DD0">
      <w:pPr>
        <w:spacing w:after="0" w:line="300" w:lineRule="auto"/>
        <w:jc w:val="both"/>
        <w:rPr>
          <w:rFonts w:ascii="Verdana" w:eastAsia="Verdana" w:hAnsi="Verdana" w:cs="Verdana"/>
          <w:sz w:val="20"/>
          <w:szCs w:val="20"/>
        </w:rPr>
      </w:pPr>
    </w:p>
    <w:p w14:paraId="71E364E8" w14:textId="432BA1B1" w:rsidR="00E35045" w:rsidRPr="00E320A6" w:rsidRDefault="007B579D" w:rsidP="00283DD0">
      <w:pPr>
        <w:spacing w:after="0" w:line="300" w:lineRule="auto"/>
        <w:jc w:val="both"/>
        <w:rPr>
          <w:rFonts w:ascii="Verdana" w:eastAsia="Verdana" w:hAnsi="Verdana" w:cs="Verdana"/>
          <w:sz w:val="20"/>
          <w:szCs w:val="20"/>
        </w:rPr>
      </w:pPr>
      <w:r w:rsidRPr="00E320A6">
        <w:rPr>
          <w:rFonts w:ascii="Verdana" w:eastAsia="Verdana" w:hAnsi="Verdana" w:cs="Verdana"/>
          <w:sz w:val="20"/>
          <w:szCs w:val="20"/>
        </w:rPr>
        <w:t>Türkiye’de girişim sermayesi ekosisteminde 2024 yılında gerçekleşen en büyük 10 işlem:</w:t>
      </w:r>
    </w:p>
    <w:p w14:paraId="1F91A6DF" w14:textId="31EE5923" w:rsidR="00686C76" w:rsidRPr="00E320A6" w:rsidRDefault="00686C76">
      <w:pPr>
        <w:spacing w:after="0" w:line="300" w:lineRule="auto"/>
        <w:jc w:val="both"/>
        <w:rPr>
          <w:rFonts w:ascii="Verdana" w:eastAsia="Verdana" w:hAnsi="Verdana" w:cs="Verdana"/>
          <w:sz w:val="20"/>
          <w:szCs w:val="20"/>
        </w:rPr>
      </w:pPr>
    </w:p>
    <w:tbl>
      <w:tblPr>
        <w:tblStyle w:val="a0"/>
        <w:tblW w:w="8839" w:type="dxa"/>
        <w:tblLayout w:type="fixed"/>
        <w:tblLook w:val="0400" w:firstRow="0" w:lastRow="0" w:firstColumn="0" w:lastColumn="0" w:noHBand="0" w:noVBand="1"/>
      </w:tblPr>
      <w:tblGrid>
        <w:gridCol w:w="595"/>
        <w:gridCol w:w="1229"/>
        <w:gridCol w:w="1184"/>
        <w:gridCol w:w="1253"/>
        <w:gridCol w:w="1164"/>
        <w:gridCol w:w="998"/>
        <w:gridCol w:w="1154"/>
        <w:gridCol w:w="1262"/>
      </w:tblGrid>
      <w:tr w:rsidR="00283DD0" w:rsidRPr="00E320A6" w14:paraId="29DF8DE8" w14:textId="77777777" w:rsidTr="3212F08F">
        <w:trPr>
          <w:trHeight w:val="314"/>
        </w:trPr>
        <w:tc>
          <w:tcPr>
            <w:tcW w:w="595" w:type="dxa"/>
            <w:tcBorders>
              <w:top w:val="nil"/>
              <w:left w:val="nil"/>
              <w:bottom w:val="nil"/>
              <w:right w:val="nil"/>
            </w:tcBorders>
            <w:shd w:val="clear" w:color="auto" w:fill="004E98"/>
            <w:tcMar>
              <w:top w:w="15" w:type="dxa"/>
              <w:left w:w="15" w:type="dxa"/>
              <w:bottom w:w="0" w:type="dxa"/>
              <w:right w:w="15" w:type="dxa"/>
            </w:tcMar>
            <w:vAlign w:val="center"/>
          </w:tcPr>
          <w:p w14:paraId="3BA300E2"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İşlem</w:t>
            </w:r>
          </w:p>
        </w:tc>
        <w:tc>
          <w:tcPr>
            <w:tcW w:w="1229" w:type="dxa"/>
            <w:tcBorders>
              <w:top w:val="nil"/>
              <w:left w:val="nil"/>
              <w:bottom w:val="nil"/>
              <w:right w:val="nil"/>
            </w:tcBorders>
            <w:shd w:val="clear" w:color="auto" w:fill="004E98"/>
            <w:tcMar>
              <w:top w:w="15" w:type="dxa"/>
              <w:left w:w="15" w:type="dxa"/>
              <w:bottom w:w="0" w:type="dxa"/>
              <w:right w:w="15" w:type="dxa"/>
            </w:tcMar>
            <w:vAlign w:val="center"/>
          </w:tcPr>
          <w:p w14:paraId="7765A774"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Hedef Şirket</w:t>
            </w:r>
          </w:p>
        </w:tc>
        <w:tc>
          <w:tcPr>
            <w:tcW w:w="1184" w:type="dxa"/>
            <w:tcBorders>
              <w:top w:val="nil"/>
              <w:left w:val="nil"/>
              <w:bottom w:val="nil"/>
              <w:right w:val="nil"/>
            </w:tcBorders>
            <w:shd w:val="clear" w:color="auto" w:fill="004E98"/>
            <w:tcMar>
              <w:top w:w="15" w:type="dxa"/>
              <w:left w:w="15" w:type="dxa"/>
              <w:bottom w:w="0" w:type="dxa"/>
              <w:right w:w="15" w:type="dxa"/>
            </w:tcMar>
            <w:vAlign w:val="center"/>
          </w:tcPr>
          <w:p w14:paraId="11D606AD"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Sektör</w:t>
            </w:r>
          </w:p>
        </w:tc>
        <w:tc>
          <w:tcPr>
            <w:tcW w:w="1253" w:type="dxa"/>
            <w:tcBorders>
              <w:top w:val="nil"/>
              <w:left w:val="nil"/>
              <w:bottom w:val="nil"/>
              <w:right w:val="nil"/>
            </w:tcBorders>
            <w:shd w:val="clear" w:color="auto" w:fill="004E98"/>
            <w:tcMar>
              <w:top w:w="15" w:type="dxa"/>
              <w:left w:w="15" w:type="dxa"/>
              <w:bottom w:w="0" w:type="dxa"/>
              <w:right w:w="15" w:type="dxa"/>
            </w:tcMar>
            <w:vAlign w:val="center"/>
          </w:tcPr>
          <w:p w14:paraId="5ACAE64D"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Yatırımcı</w:t>
            </w:r>
          </w:p>
        </w:tc>
        <w:tc>
          <w:tcPr>
            <w:tcW w:w="1164" w:type="dxa"/>
            <w:tcBorders>
              <w:top w:val="nil"/>
              <w:left w:val="nil"/>
              <w:bottom w:val="nil"/>
              <w:right w:val="nil"/>
            </w:tcBorders>
            <w:shd w:val="clear" w:color="auto" w:fill="004E98"/>
            <w:tcMar>
              <w:top w:w="15" w:type="dxa"/>
              <w:left w:w="15" w:type="dxa"/>
              <w:bottom w:w="0" w:type="dxa"/>
              <w:right w:w="15" w:type="dxa"/>
            </w:tcMar>
            <w:vAlign w:val="center"/>
          </w:tcPr>
          <w:p w14:paraId="34F1EE71"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Yatırımcı Ülkesi</w:t>
            </w:r>
          </w:p>
        </w:tc>
        <w:tc>
          <w:tcPr>
            <w:tcW w:w="998" w:type="dxa"/>
            <w:tcBorders>
              <w:top w:val="nil"/>
              <w:left w:val="nil"/>
              <w:bottom w:val="nil"/>
              <w:right w:val="nil"/>
            </w:tcBorders>
            <w:shd w:val="clear" w:color="auto" w:fill="004E98"/>
            <w:tcMar>
              <w:top w:w="15" w:type="dxa"/>
              <w:left w:w="15" w:type="dxa"/>
              <w:bottom w:w="0" w:type="dxa"/>
              <w:right w:w="15" w:type="dxa"/>
            </w:tcMar>
            <w:vAlign w:val="center"/>
          </w:tcPr>
          <w:p w14:paraId="4055300E"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Hisse (%)</w:t>
            </w:r>
          </w:p>
        </w:tc>
        <w:tc>
          <w:tcPr>
            <w:tcW w:w="1154" w:type="dxa"/>
            <w:tcBorders>
              <w:top w:val="nil"/>
              <w:left w:val="nil"/>
              <w:bottom w:val="nil"/>
              <w:right w:val="nil"/>
            </w:tcBorders>
            <w:shd w:val="clear" w:color="auto" w:fill="004E98"/>
            <w:tcMar>
              <w:top w:w="15" w:type="dxa"/>
              <w:left w:w="15" w:type="dxa"/>
              <w:bottom w:w="0" w:type="dxa"/>
              <w:right w:w="15" w:type="dxa"/>
            </w:tcMar>
            <w:vAlign w:val="center"/>
          </w:tcPr>
          <w:p w14:paraId="1F215C1C"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İşlem Değeri ($m)</w:t>
            </w:r>
          </w:p>
        </w:tc>
        <w:tc>
          <w:tcPr>
            <w:tcW w:w="1262" w:type="dxa"/>
            <w:tcBorders>
              <w:top w:val="nil"/>
              <w:left w:val="nil"/>
              <w:bottom w:val="nil"/>
              <w:right w:val="nil"/>
            </w:tcBorders>
            <w:shd w:val="clear" w:color="auto" w:fill="004E98"/>
            <w:tcMar>
              <w:top w:w="15" w:type="dxa"/>
              <w:left w:w="15" w:type="dxa"/>
              <w:bottom w:w="0" w:type="dxa"/>
              <w:right w:w="15" w:type="dxa"/>
            </w:tcMar>
            <w:vAlign w:val="center"/>
          </w:tcPr>
          <w:p w14:paraId="5DD75B89" w14:textId="77777777" w:rsidR="00E35045" w:rsidRPr="00283DD0" w:rsidRDefault="007B579D" w:rsidP="00283DD0">
            <w:pPr>
              <w:spacing w:after="0" w:line="300" w:lineRule="auto"/>
              <w:jc w:val="both"/>
              <w:rPr>
                <w:rFonts w:ascii="Verdana" w:hAnsi="Verdana"/>
                <w:color w:val="FFFFFF" w:themeColor="background1"/>
                <w:sz w:val="16"/>
              </w:rPr>
            </w:pPr>
            <w:r w:rsidRPr="00283DD0">
              <w:rPr>
                <w:rFonts w:ascii="Verdana" w:hAnsi="Verdana"/>
                <w:b/>
                <w:color w:val="FFFFFF" w:themeColor="background1"/>
                <w:sz w:val="16"/>
              </w:rPr>
              <w:t>Yatırım Aşaması</w:t>
            </w:r>
          </w:p>
        </w:tc>
      </w:tr>
      <w:tr w:rsidR="00283DD0" w:rsidRPr="00E320A6" w14:paraId="64306CC5" w14:textId="77777777" w:rsidTr="3212F08F">
        <w:trPr>
          <w:trHeight w:val="779"/>
        </w:trPr>
        <w:tc>
          <w:tcPr>
            <w:tcW w:w="595" w:type="dxa"/>
            <w:tcBorders>
              <w:top w:val="nil"/>
              <w:left w:val="nil"/>
              <w:bottom w:val="nil"/>
              <w:right w:val="nil"/>
            </w:tcBorders>
            <w:shd w:val="clear" w:color="auto" w:fill="E6E7E8"/>
            <w:tcMar>
              <w:top w:w="15" w:type="dxa"/>
              <w:left w:w="15" w:type="dxa"/>
              <w:bottom w:w="0" w:type="dxa"/>
              <w:right w:w="15" w:type="dxa"/>
            </w:tcMar>
            <w:vAlign w:val="center"/>
          </w:tcPr>
          <w:p w14:paraId="0053CFC8"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w:t>
            </w:r>
          </w:p>
        </w:tc>
        <w:tc>
          <w:tcPr>
            <w:tcW w:w="1229" w:type="dxa"/>
            <w:tcBorders>
              <w:top w:val="nil"/>
              <w:left w:val="nil"/>
              <w:bottom w:val="nil"/>
              <w:right w:val="nil"/>
            </w:tcBorders>
            <w:shd w:val="clear" w:color="auto" w:fill="E6E7E8"/>
            <w:tcMar>
              <w:top w:w="15" w:type="dxa"/>
              <w:left w:w="15" w:type="dxa"/>
              <w:bottom w:w="0" w:type="dxa"/>
              <w:right w:w="15" w:type="dxa"/>
            </w:tcMar>
            <w:vAlign w:val="center"/>
          </w:tcPr>
          <w:p w14:paraId="2A56DE9C" w14:textId="77777777" w:rsidR="00E35045" w:rsidRPr="00E320A6" w:rsidRDefault="007B579D" w:rsidP="3212F08F">
            <w:pPr>
              <w:spacing w:after="0" w:line="300" w:lineRule="auto"/>
              <w:rPr>
                <w:rFonts w:ascii="Verdana" w:eastAsia="Verdana" w:hAnsi="Verdana" w:cs="Verdana"/>
                <w:sz w:val="16"/>
                <w:szCs w:val="16"/>
              </w:rPr>
            </w:pPr>
            <w:proofErr w:type="spellStart"/>
            <w:proofErr w:type="gramStart"/>
            <w:r w:rsidRPr="3212F08F">
              <w:rPr>
                <w:rFonts w:ascii="Verdana" w:eastAsia="Verdana" w:hAnsi="Verdana" w:cs="Verdana"/>
                <w:sz w:val="16"/>
                <w:szCs w:val="16"/>
              </w:rPr>
              <w:t>hepsiburada</w:t>
            </w:r>
            <w:proofErr w:type="spellEnd"/>
            <w:proofErr w:type="gramEnd"/>
          </w:p>
        </w:tc>
        <w:tc>
          <w:tcPr>
            <w:tcW w:w="1184" w:type="dxa"/>
            <w:tcBorders>
              <w:top w:val="nil"/>
              <w:left w:val="nil"/>
              <w:bottom w:val="nil"/>
              <w:right w:val="nil"/>
            </w:tcBorders>
            <w:shd w:val="clear" w:color="auto" w:fill="E6E7E8"/>
            <w:tcMar>
              <w:top w:w="15" w:type="dxa"/>
              <w:left w:w="15" w:type="dxa"/>
              <w:bottom w:w="0" w:type="dxa"/>
              <w:right w:w="15" w:type="dxa"/>
            </w:tcMar>
            <w:vAlign w:val="center"/>
          </w:tcPr>
          <w:p w14:paraId="61A6CDEE"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 xml:space="preserve">Pazaryeri </w:t>
            </w:r>
          </w:p>
        </w:tc>
        <w:tc>
          <w:tcPr>
            <w:tcW w:w="1253" w:type="dxa"/>
            <w:tcBorders>
              <w:top w:val="nil"/>
              <w:left w:val="nil"/>
              <w:bottom w:val="nil"/>
              <w:right w:val="nil"/>
            </w:tcBorders>
            <w:shd w:val="clear" w:color="auto" w:fill="E6E7E8"/>
            <w:tcMar>
              <w:top w:w="15" w:type="dxa"/>
              <w:left w:w="15" w:type="dxa"/>
              <w:bottom w:w="0" w:type="dxa"/>
              <w:right w:w="15" w:type="dxa"/>
            </w:tcMar>
            <w:vAlign w:val="center"/>
          </w:tcPr>
          <w:p w14:paraId="573701B8"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Kaspi.kz</w:t>
            </w:r>
          </w:p>
        </w:tc>
        <w:tc>
          <w:tcPr>
            <w:tcW w:w="1164" w:type="dxa"/>
            <w:tcBorders>
              <w:top w:val="nil"/>
              <w:left w:val="nil"/>
              <w:bottom w:val="nil"/>
              <w:right w:val="nil"/>
            </w:tcBorders>
            <w:shd w:val="clear" w:color="auto" w:fill="E6E7E8"/>
            <w:tcMar>
              <w:top w:w="15" w:type="dxa"/>
              <w:left w:w="15" w:type="dxa"/>
              <w:bottom w:w="0" w:type="dxa"/>
              <w:right w:w="15" w:type="dxa"/>
            </w:tcMar>
            <w:vAlign w:val="center"/>
          </w:tcPr>
          <w:p w14:paraId="7449DD03"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Kazakistan</w:t>
            </w:r>
          </w:p>
        </w:tc>
        <w:tc>
          <w:tcPr>
            <w:tcW w:w="998" w:type="dxa"/>
            <w:tcBorders>
              <w:top w:val="nil"/>
              <w:left w:val="nil"/>
              <w:bottom w:val="nil"/>
              <w:right w:val="nil"/>
            </w:tcBorders>
            <w:shd w:val="clear" w:color="auto" w:fill="E6E7E8"/>
            <w:tcMar>
              <w:top w:w="15" w:type="dxa"/>
              <w:left w:w="15" w:type="dxa"/>
              <w:bottom w:w="0" w:type="dxa"/>
              <w:right w:w="15" w:type="dxa"/>
            </w:tcMar>
            <w:vAlign w:val="center"/>
          </w:tcPr>
          <w:p w14:paraId="50B0AEE1"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%65,4</w:t>
            </w:r>
          </w:p>
        </w:tc>
        <w:tc>
          <w:tcPr>
            <w:tcW w:w="1154" w:type="dxa"/>
            <w:tcBorders>
              <w:top w:val="nil"/>
              <w:left w:val="nil"/>
              <w:bottom w:val="nil"/>
              <w:right w:val="nil"/>
            </w:tcBorders>
            <w:shd w:val="clear" w:color="auto" w:fill="E6E7E8"/>
            <w:tcMar>
              <w:top w:w="15" w:type="dxa"/>
              <w:left w:w="15" w:type="dxa"/>
              <w:bottom w:w="0" w:type="dxa"/>
              <w:right w:w="15" w:type="dxa"/>
            </w:tcMar>
            <w:vAlign w:val="center"/>
          </w:tcPr>
          <w:p w14:paraId="2531D212" w14:textId="2049F0FC" w:rsidR="00E35045" w:rsidRPr="00E320A6" w:rsidRDefault="007B579D"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1.127</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E6E7E8"/>
            <w:tcMar>
              <w:top w:w="15" w:type="dxa"/>
              <w:left w:w="15" w:type="dxa"/>
              <w:bottom w:w="0" w:type="dxa"/>
              <w:right w:w="15" w:type="dxa"/>
            </w:tcMar>
            <w:vAlign w:val="center"/>
          </w:tcPr>
          <w:p w14:paraId="0354B856" w14:textId="49B383A6"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r w:rsidR="00283DD0" w:rsidRPr="00E320A6" w14:paraId="022F8FC2" w14:textId="77777777" w:rsidTr="3212F08F">
        <w:trPr>
          <w:trHeight w:val="768"/>
        </w:trPr>
        <w:tc>
          <w:tcPr>
            <w:tcW w:w="595" w:type="dxa"/>
            <w:tcBorders>
              <w:top w:val="nil"/>
              <w:left w:val="nil"/>
              <w:bottom w:val="nil"/>
              <w:right w:val="nil"/>
            </w:tcBorders>
            <w:shd w:val="clear" w:color="auto" w:fill="B5D8F2"/>
            <w:tcMar>
              <w:top w:w="15" w:type="dxa"/>
              <w:left w:w="15" w:type="dxa"/>
              <w:bottom w:w="0" w:type="dxa"/>
              <w:right w:w="15" w:type="dxa"/>
            </w:tcMar>
            <w:vAlign w:val="center"/>
          </w:tcPr>
          <w:p w14:paraId="30C99DE2"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2</w:t>
            </w:r>
          </w:p>
        </w:tc>
        <w:tc>
          <w:tcPr>
            <w:tcW w:w="1229" w:type="dxa"/>
            <w:tcBorders>
              <w:top w:val="nil"/>
              <w:left w:val="nil"/>
              <w:bottom w:val="nil"/>
              <w:right w:val="nil"/>
            </w:tcBorders>
            <w:shd w:val="clear" w:color="auto" w:fill="B5D8F2"/>
            <w:tcMar>
              <w:top w:w="15" w:type="dxa"/>
              <w:left w:w="15" w:type="dxa"/>
              <w:bottom w:w="0" w:type="dxa"/>
              <w:right w:w="15" w:type="dxa"/>
            </w:tcMar>
            <w:vAlign w:val="center"/>
          </w:tcPr>
          <w:p w14:paraId="41BAA930" w14:textId="77777777" w:rsidR="00E35045" w:rsidRPr="00E320A6" w:rsidRDefault="007B579D"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Insider</w:t>
            </w:r>
            <w:proofErr w:type="spellEnd"/>
          </w:p>
        </w:tc>
        <w:tc>
          <w:tcPr>
            <w:tcW w:w="1184" w:type="dxa"/>
            <w:tcBorders>
              <w:top w:val="nil"/>
              <w:left w:val="nil"/>
              <w:bottom w:val="nil"/>
              <w:right w:val="nil"/>
            </w:tcBorders>
            <w:shd w:val="clear" w:color="auto" w:fill="B5D8F2"/>
            <w:tcMar>
              <w:top w:w="15" w:type="dxa"/>
              <w:left w:w="15" w:type="dxa"/>
              <w:bottom w:w="0" w:type="dxa"/>
              <w:right w:w="15" w:type="dxa"/>
            </w:tcMar>
            <w:vAlign w:val="center"/>
          </w:tcPr>
          <w:p w14:paraId="30F97838" w14:textId="77777777" w:rsidR="00E35045" w:rsidRPr="00E320A6" w:rsidRDefault="007B579D"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SaaS</w:t>
            </w:r>
            <w:proofErr w:type="spellEnd"/>
          </w:p>
        </w:tc>
        <w:tc>
          <w:tcPr>
            <w:tcW w:w="1253" w:type="dxa"/>
            <w:tcBorders>
              <w:top w:val="nil"/>
              <w:left w:val="nil"/>
              <w:bottom w:val="nil"/>
              <w:right w:val="nil"/>
            </w:tcBorders>
            <w:shd w:val="clear" w:color="auto" w:fill="B5D8F2"/>
            <w:tcMar>
              <w:top w:w="15" w:type="dxa"/>
              <w:left w:w="15" w:type="dxa"/>
              <w:bottom w:w="0" w:type="dxa"/>
              <w:right w:w="15" w:type="dxa"/>
            </w:tcMar>
            <w:vAlign w:val="center"/>
          </w:tcPr>
          <w:p w14:paraId="6D85D7C1" w14:textId="77777777" w:rsidR="00E35045" w:rsidRPr="00E320A6" w:rsidRDefault="007B579D" w:rsidP="3212F08F">
            <w:pPr>
              <w:spacing w:after="0" w:line="300" w:lineRule="auto"/>
              <w:rPr>
                <w:rFonts w:ascii="Verdana" w:eastAsia="Verdana" w:hAnsi="Verdana" w:cs="Verdana"/>
                <w:sz w:val="16"/>
                <w:szCs w:val="16"/>
              </w:rPr>
            </w:pPr>
            <w:r w:rsidRPr="3212F08F">
              <w:rPr>
                <w:rFonts w:ascii="Verdana" w:eastAsia="Verdana" w:hAnsi="Verdana" w:cs="Verdana"/>
                <w:sz w:val="16"/>
                <w:szCs w:val="16"/>
              </w:rPr>
              <w:t xml:space="preserve">General </w:t>
            </w:r>
            <w:proofErr w:type="spellStart"/>
            <w:r w:rsidRPr="3212F08F">
              <w:rPr>
                <w:rFonts w:ascii="Verdana" w:eastAsia="Verdana" w:hAnsi="Verdana" w:cs="Verdana"/>
                <w:sz w:val="16"/>
                <w:szCs w:val="16"/>
              </w:rPr>
              <w:t>Atlantic</w:t>
            </w:r>
            <w:proofErr w:type="spellEnd"/>
          </w:p>
        </w:tc>
        <w:tc>
          <w:tcPr>
            <w:tcW w:w="1164" w:type="dxa"/>
            <w:tcBorders>
              <w:top w:val="nil"/>
              <w:left w:val="nil"/>
              <w:bottom w:val="nil"/>
              <w:right w:val="nil"/>
            </w:tcBorders>
            <w:shd w:val="clear" w:color="auto" w:fill="B5D8F2"/>
            <w:tcMar>
              <w:top w:w="15" w:type="dxa"/>
              <w:left w:w="15" w:type="dxa"/>
              <w:bottom w:w="0" w:type="dxa"/>
              <w:right w:w="15" w:type="dxa"/>
            </w:tcMar>
            <w:vAlign w:val="center"/>
          </w:tcPr>
          <w:p w14:paraId="42B2F808"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ABD</w:t>
            </w:r>
          </w:p>
        </w:tc>
        <w:tc>
          <w:tcPr>
            <w:tcW w:w="998" w:type="dxa"/>
            <w:tcBorders>
              <w:top w:val="nil"/>
              <w:left w:val="nil"/>
              <w:bottom w:val="nil"/>
              <w:right w:val="nil"/>
            </w:tcBorders>
            <w:shd w:val="clear" w:color="auto" w:fill="B5D8F2"/>
            <w:tcMar>
              <w:top w:w="15" w:type="dxa"/>
              <w:left w:w="15" w:type="dxa"/>
              <w:bottom w:w="0" w:type="dxa"/>
              <w:right w:w="15" w:type="dxa"/>
            </w:tcMar>
            <w:vAlign w:val="center"/>
          </w:tcPr>
          <w:p w14:paraId="66E21A8E"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Açıklanmadı</w:t>
            </w:r>
          </w:p>
        </w:tc>
        <w:tc>
          <w:tcPr>
            <w:tcW w:w="1154" w:type="dxa"/>
            <w:tcBorders>
              <w:top w:val="nil"/>
              <w:left w:val="nil"/>
              <w:bottom w:val="nil"/>
              <w:right w:val="nil"/>
            </w:tcBorders>
            <w:shd w:val="clear" w:color="auto" w:fill="B5D8F2"/>
            <w:tcMar>
              <w:top w:w="15" w:type="dxa"/>
              <w:left w:w="15" w:type="dxa"/>
              <w:bottom w:w="0" w:type="dxa"/>
              <w:right w:w="15" w:type="dxa"/>
            </w:tcMar>
            <w:vAlign w:val="center"/>
          </w:tcPr>
          <w:p w14:paraId="0B2196A7" w14:textId="410C7C10" w:rsidR="00E35045" w:rsidRPr="00E320A6" w:rsidRDefault="007B579D"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500</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B5D8F2"/>
            <w:tcMar>
              <w:top w:w="15" w:type="dxa"/>
              <w:left w:w="15" w:type="dxa"/>
              <w:bottom w:w="0" w:type="dxa"/>
              <w:right w:w="15" w:type="dxa"/>
            </w:tcMar>
            <w:vAlign w:val="center"/>
          </w:tcPr>
          <w:p w14:paraId="229D28B6"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İleri Aşama</w:t>
            </w:r>
          </w:p>
        </w:tc>
      </w:tr>
      <w:tr w:rsidR="00283DD0" w:rsidRPr="00E320A6" w14:paraId="1E080153" w14:textId="77777777" w:rsidTr="3212F08F">
        <w:trPr>
          <w:trHeight w:val="674"/>
        </w:trPr>
        <w:tc>
          <w:tcPr>
            <w:tcW w:w="595" w:type="dxa"/>
            <w:tcBorders>
              <w:top w:val="nil"/>
              <w:left w:val="nil"/>
              <w:bottom w:val="nil"/>
              <w:right w:val="nil"/>
            </w:tcBorders>
            <w:shd w:val="clear" w:color="auto" w:fill="E6E7E8"/>
            <w:tcMar>
              <w:top w:w="15" w:type="dxa"/>
              <w:left w:w="15" w:type="dxa"/>
              <w:bottom w:w="0" w:type="dxa"/>
              <w:right w:w="15" w:type="dxa"/>
            </w:tcMar>
            <w:vAlign w:val="center"/>
          </w:tcPr>
          <w:p w14:paraId="75AABD72"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lastRenderedPageBreak/>
              <w:t>3</w:t>
            </w:r>
          </w:p>
        </w:tc>
        <w:tc>
          <w:tcPr>
            <w:tcW w:w="1229" w:type="dxa"/>
            <w:tcBorders>
              <w:top w:val="nil"/>
              <w:left w:val="nil"/>
              <w:bottom w:val="nil"/>
              <w:right w:val="nil"/>
            </w:tcBorders>
            <w:shd w:val="clear" w:color="auto" w:fill="E6E7E8"/>
            <w:tcMar>
              <w:top w:w="15" w:type="dxa"/>
              <w:left w:w="15" w:type="dxa"/>
              <w:bottom w:w="0" w:type="dxa"/>
              <w:right w:w="15" w:type="dxa"/>
            </w:tcMar>
            <w:vAlign w:val="center"/>
          </w:tcPr>
          <w:p w14:paraId="3232B28E"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Getir</w:t>
            </w:r>
          </w:p>
        </w:tc>
        <w:tc>
          <w:tcPr>
            <w:tcW w:w="1184" w:type="dxa"/>
            <w:tcBorders>
              <w:top w:val="nil"/>
              <w:left w:val="nil"/>
              <w:bottom w:val="nil"/>
              <w:right w:val="nil"/>
            </w:tcBorders>
            <w:shd w:val="clear" w:color="auto" w:fill="E6E7E8"/>
            <w:tcMar>
              <w:top w:w="15" w:type="dxa"/>
              <w:left w:w="15" w:type="dxa"/>
              <w:bottom w:w="0" w:type="dxa"/>
              <w:right w:w="15" w:type="dxa"/>
            </w:tcMar>
            <w:vAlign w:val="center"/>
          </w:tcPr>
          <w:p w14:paraId="5DF8D0F8"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Teslimat ve Lojistik</w:t>
            </w:r>
          </w:p>
        </w:tc>
        <w:tc>
          <w:tcPr>
            <w:tcW w:w="1253" w:type="dxa"/>
            <w:tcBorders>
              <w:top w:val="nil"/>
              <w:left w:val="nil"/>
              <w:bottom w:val="nil"/>
              <w:right w:val="nil"/>
            </w:tcBorders>
            <w:shd w:val="clear" w:color="auto" w:fill="E6E7E8"/>
            <w:tcMar>
              <w:top w:w="15" w:type="dxa"/>
              <w:left w:w="15" w:type="dxa"/>
              <w:bottom w:w="0" w:type="dxa"/>
              <w:right w:w="15" w:type="dxa"/>
            </w:tcMar>
            <w:vAlign w:val="center"/>
          </w:tcPr>
          <w:p w14:paraId="2D759CB3" w14:textId="77777777" w:rsidR="00E35045" w:rsidRPr="00E320A6" w:rsidRDefault="007B579D"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Mubadala</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Investment</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Company</w:t>
            </w:r>
            <w:proofErr w:type="spellEnd"/>
          </w:p>
        </w:tc>
        <w:tc>
          <w:tcPr>
            <w:tcW w:w="1164" w:type="dxa"/>
            <w:tcBorders>
              <w:top w:val="nil"/>
              <w:left w:val="nil"/>
              <w:bottom w:val="nil"/>
              <w:right w:val="nil"/>
            </w:tcBorders>
            <w:shd w:val="clear" w:color="auto" w:fill="E6E7E8"/>
            <w:tcMar>
              <w:top w:w="15" w:type="dxa"/>
              <w:left w:w="15" w:type="dxa"/>
              <w:bottom w:w="0" w:type="dxa"/>
              <w:right w:w="15" w:type="dxa"/>
            </w:tcMar>
            <w:vAlign w:val="center"/>
          </w:tcPr>
          <w:p w14:paraId="14095A5E" w14:textId="77777777" w:rsidR="00E35045" w:rsidRPr="00E320A6" w:rsidRDefault="007B579D"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BAE</w:t>
            </w:r>
          </w:p>
        </w:tc>
        <w:tc>
          <w:tcPr>
            <w:tcW w:w="998" w:type="dxa"/>
            <w:tcBorders>
              <w:top w:val="nil"/>
              <w:left w:val="nil"/>
              <w:bottom w:val="nil"/>
              <w:right w:val="nil"/>
            </w:tcBorders>
            <w:shd w:val="clear" w:color="auto" w:fill="E6E7E8"/>
            <w:tcMar>
              <w:top w:w="15" w:type="dxa"/>
              <w:left w:w="15" w:type="dxa"/>
              <w:bottom w:w="0" w:type="dxa"/>
              <w:right w:w="15" w:type="dxa"/>
            </w:tcMar>
            <w:vAlign w:val="center"/>
          </w:tcPr>
          <w:p w14:paraId="45DC8BBC"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Açıklanmadı</w:t>
            </w:r>
          </w:p>
        </w:tc>
        <w:tc>
          <w:tcPr>
            <w:tcW w:w="1154" w:type="dxa"/>
            <w:tcBorders>
              <w:top w:val="nil"/>
              <w:left w:val="nil"/>
              <w:bottom w:val="nil"/>
              <w:right w:val="nil"/>
            </w:tcBorders>
            <w:shd w:val="clear" w:color="auto" w:fill="E6E7E8"/>
            <w:tcMar>
              <w:top w:w="15" w:type="dxa"/>
              <w:left w:w="15" w:type="dxa"/>
              <w:bottom w:w="0" w:type="dxa"/>
              <w:right w:w="15" w:type="dxa"/>
            </w:tcMar>
            <w:vAlign w:val="center"/>
          </w:tcPr>
          <w:p w14:paraId="38E97EFE" w14:textId="44BDBFA1" w:rsidR="00E35045" w:rsidRPr="00E320A6" w:rsidRDefault="007B579D"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250</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E6E7E8"/>
            <w:tcMar>
              <w:top w:w="15" w:type="dxa"/>
              <w:left w:w="15" w:type="dxa"/>
              <w:bottom w:w="0" w:type="dxa"/>
              <w:right w:w="15" w:type="dxa"/>
            </w:tcMar>
            <w:vAlign w:val="center"/>
          </w:tcPr>
          <w:p w14:paraId="70B9ABFD" w14:textId="77777777" w:rsidR="00E35045" w:rsidRPr="00E320A6" w:rsidRDefault="007B579D"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İleri Aşama</w:t>
            </w:r>
          </w:p>
        </w:tc>
      </w:tr>
      <w:tr w:rsidR="00283DD0" w:rsidRPr="00E320A6" w14:paraId="5384D431" w14:textId="77777777" w:rsidTr="3212F08F">
        <w:trPr>
          <w:trHeight w:val="593"/>
        </w:trPr>
        <w:tc>
          <w:tcPr>
            <w:tcW w:w="595" w:type="dxa"/>
            <w:tcBorders>
              <w:top w:val="nil"/>
              <w:left w:val="nil"/>
              <w:bottom w:val="nil"/>
              <w:right w:val="nil"/>
            </w:tcBorders>
            <w:shd w:val="clear" w:color="auto" w:fill="B5D8F2"/>
            <w:tcMar>
              <w:top w:w="15" w:type="dxa"/>
              <w:left w:w="15" w:type="dxa"/>
              <w:bottom w:w="0" w:type="dxa"/>
              <w:right w:w="15" w:type="dxa"/>
            </w:tcMar>
            <w:vAlign w:val="center"/>
          </w:tcPr>
          <w:p w14:paraId="34277CBC"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4</w:t>
            </w:r>
          </w:p>
        </w:tc>
        <w:tc>
          <w:tcPr>
            <w:tcW w:w="1229" w:type="dxa"/>
            <w:tcBorders>
              <w:top w:val="nil"/>
              <w:left w:val="nil"/>
              <w:bottom w:val="nil"/>
              <w:right w:val="nil"/>
            </w:tcBorders>
            <w:shd w:val="clear" w:color="auto" w:fill="B5D8F2"/>
            <w:tcMar>
              <w:top w:w="15" w:type="dxa"/>
              <w:left w:w="15" w:type="dxa"/>
              <w:bottom w:w="0" w:type="dxa"/>
              <w:right w:w="15" w:type="dxa"/>
            </w:tcMar>
            <w:vAlign w:val="center"/>
          </w:tcPr>
          <w:p w14:paraId="69E8F8E2" w14:textId="36E30E53"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Paynet</w:t>
            </w:r>
            <w:proofErr w:type="spellEnd"/>
          </w:p>
        </w:tc>
        <w:tc>
          <w:tcPr>
            <w:tcW w:w="1184" w:type="dxa"/>
            <w:tcBorders>
              <w:top w:val="nil"/>
              <w:left w:val="nil"/>
              <w:bottom w:val="nil"/>
              <w:right w:val="nil"/>
            </w:tcBorders>
            <w:shd w:val="clear" w:color="auto" w:fill="B5D8F2"/>
            <w:tcMar>
              <w:top w:w="15" w:type="dxa"/>
              <w:left w:w="15" w:type="dxa"/>
              <w:bottom w:w="0" w:type="dxa"/>
              <w:right w:w="15" w:type="dxa"/>
            </w:tcMar>
            <w:vAlign w:val="center"/>
          </w:tcPr>
          <w:p w14:paraId="29A0E5F9" w14:textId="4AA2B07C"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Fintech</w:t>
            </w:r>
            <w:proofErr w:type="spellEnd"/>
          </w:p>
        </w:tc>
        <w:tc>
          <w:tcPr>
            <w:tcW w:w="1253" w:type="dxa"/>
            <w:tcBorders>
              <w:top w:val="nil"/>
              <w:left w:val="nil"/>
              <w:bottom w:val="nil"/>
              <w:right w:val="nil"/>
            </w:tcBorders>
            <w:shd w:val="clear" w:color="auto" w:fill="B5D8F2"/>
            <w:tcMar>
              <w:top w:w="15" w:type="dxa"/>
              <w:left w:w="15" w:type="dxa"/>
              <w:bottom w:w="0" w:type="dxa"/>
              <w:right w:w="15" w:type="dxa"/>
            </w:tcMar>
            <w:vAlign w:val="center"/>
          </w:tcPr>
          <w:p w14:paraId="1CA33C34" w14:textId="2034EF79" w:rsidR="00686C76" w:rsidRPr="00E320A6" w:rsidRDefault="00686C76" w:rsidP="3212F08F">
            <w:pPr>
              <w:spacing w:after="0" w:line="300" w:lineRule="auto"/>
              <w:rPr>
                <w:rFonts w:ascii="Verdana" w:eastAsia="Verdana" w:hAnsi="Verdana" w:cs="Verdana"/>
                <w:sz w:val="16"/>
                <w:szCs w:val="16"/>
              </w:rPr>
            </w:pPr>
            <w:proofErr w:type="spellStart"/>
            <w:proofErr w:type="gramStart"/>
            <w:r w:rsidRPr="3212F08F">
              <w:rPr>
                <w:rFonts w:ascii="Verdana" w:eastAsia="Verdana" w:hAnsi="Verdana" w:cs="Verdana"/>
                <w:sz w:val="16"/>
                <w:szCs w:val="16"/>
              </w:rPr>
              <w:t>iyzico</w:t>
            </w:r>
            <w:proofErr w:type="spellEnd"/>
            <w:proofErr w:type="gramEnd"/>
          </w:p>
        </w:tc>
        <w:tc>
          <w:tcPr>
            <w:tcW w:w="1164" w:type="dxa"/>
            <w:tcBorders>
              <w:top w:val="nil"/>
              <w:left w:val="nil"/>
              <w:bottom w:val="nil"/>
              <w:right w:val="nil"/>
            </w:tcBorders>
            <w:shd w:val="clear" w:color="auto" w:fill="B5D8F2"/>
            <w:tcMar>
              <w:top w:w="15" w:type="dxa"/>
              <w:left w:w="15" w:type="dxa"/>
              <w:bottom w:w="0" w:type="dxa"/>
              <w:right w:w="15" w:type="dxa"/>
            </w:tcMar>
            <w:vAlign w:val="center"/>
          </w:tcPr>
          <w:p w14:paraId="3D4959F4" w14:textId="24686B6A"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Türkiye</w:t>
            </w:r>
          </w:p>
        </w:tc>
        <w:tc>
          <w:tcPr>
            <w:tcW w:w="998" w:type="dxa"/>
            <w:tcBorders>
              <w:top w:val="nil"/>
              <w:left w:val="nil"/>
              <w:bottom w:val="nil"/>
              <w:right w:val="nil"/>
            </w:tcBorders>
            <w:shd w:val="clear" w:color="auto" w:fill="B5D8F2"/>
            <w:tcMar>
              <w:top w:w="15" w:type="dxa"/>
              <w:left w:w="15" w:type="dxa"/>
              <w:bottom w:w="0" w:type="dxa"/>
              <w:right w:w="15" w:type="dxa"/>
            </w:tcMar>
            <w:vAlign w:val="center"/>
          </w:tcPr>
          <w:p w14:paraId="420CAEEC" w14:textId="5A4C9B7D"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%100</w:t>
            </w:r>
          </w:p>
        </w:tc>
        <w:tc>
          <w:tcPr>
            <w:tcW w:w="1154" w:type="dxa"/>
            <w:tcBorders>
              <w:top w:val="nil"/>
              <w:left w:val="nil"/>
              <w:bottom w:val="nil"/>
              <w:right w:val="nil"/>
            </w:tcBorders>
            <w:shd w:val="clear" w:color="auto" w:fill="B5D8F2"/>
            <w:tcMar>
              <w:top w:w="15" w:type="dxa"/>
              <w:left w:w="15" w:type="dxa"/>
              <w:bottom w:w="0" w:type="dxa"/>
              <w:right w:w="15" w:type="dxa"/>
            </w:tcMar>
            <w:vAlign w:val="center"/>
          </w:tcPr>
          <w:p w14:paraId="7B9F5FEF" w14:textId="64CB5489"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87</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B5D8F2"/>
            <w:tcMar>
              <w:top w:w="15" w:type="dxa"/>
              <w:left w:w="15" w:type="dxa"/>
              <w:bottom w:w="0" w:type="dxa"/>
              <w:right w:w="15" w:type="dxa"/>
            </w:tcMar>
            <w:vAlign w:val="center"/>
          </w:tcPr>
          <w:p w14:paraId="2C30499D" w14:textId="2C1B7569"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r w:rsidR="00283DD0" w:rsidRPr="00E320A6" w14:paraId="787F12DA" w14:textId="77777777" w:rsidTr="3212F08F">
        <w:trPr>
          <w:trHeight w:val="593"/>
        </w:trPr>
        <w:tc>
          <w:tcPr>
            <w:tcW w:w="595" w:type="dxa"/>
            <w:tcBorders>
              <w:top w:val="nil"/>
              <w:left w:val="nil"/>
              <w:bottom w:val="nil"/>
              <w:right w:val="nil"/>
            </w:tcBorders>
            <w:shd w:val="clear" w:color="auto" w:fill="E6E7E8"/>
            <w:tcMar>
              <w:top w:w="15" w:type="dxa"/>
              <w:left w:w="15" w:type="dxa"/>
              <w:bottom w:w="0" w:type="dxa"/>
              <w:right w:w="15" w:type="dxa"/>
            </w:tcMar>
            <w:vAlign w:val="center"/>
          </w:tcPr>
          <w:p w14:paraId="29CD3292"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5</w:t>
            </w:r>
          </w:p>
        </w:tc>
        <w:tc>
          <w:tcPr>
            <w:tcW w:w="1229" w:type="dxa"/>
            <w:tcBorders>
              <w:top w:val="nil"/>
              <w:left w:val="nil"/>
              <w:bottom w:val="nil"/>
              <w:right w:val="nil"/>
            </w:tcBorders>
            <w:shd w:val="clear" w:color="auto" w:fill="E6E7E8"/>
            <w:tcMar>
              <w:top w:w="15" w:type="dxa"/>
              <w:left w:w="15" w:type="dxa"/>
              <w:bottom w:w="0" w:type="dxa"/>
              <w:right w:w="15" w:type="dxa"/>
            </w:tcMar>
            <w:vAlign w:val="center"/>
          </w:tcPr>
          <w:p w14:paraId="4019CB8D" w14:textId="0A27CAAF"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Paxie</w:t>
            </w:r>
            <w:proofErr w:type="spellEnd"/>
            <w:r w:rsidRPr="3212F08F">
              <w:rPr>
                <w:rFonts w:ascii="Verdana" w:eastAsia="Verdana" w:hAnsi="Verdana" w:cs="Verdana"/>
                <w:sz w:val="16"/>
                <w:szCs w:val="16"/>
              </w:rPr>
              <w:t xml:space="preserve"> Games</w:t>
            </w:r>
          </w:p>
        </w:tc>
        <w:tc>
          <w:tcPr>
            <w:tcW w:w="1184" w:type="dxa"/>
            <w:tcBorders>
              <w:top w:val="nil"/>
              <w:left w:val="nil"/>
              <w:bottom w:val="nil"/>
              <w:right w:val="nil"/>
            </w:tcBorders>
            <w:shd w:val="clear" w:color="auto" w:fill="E6E7E8"/>
            <w:tcMar>
              <w:top w:w="15" w:type="dxa"/>
              <w:left w:w="15" w:type="dxa"/>
              <w:bottom w:w="0" w:type="dxa"/>
              <w:right w:w="15" w:type="dxa"/>
            </w:tcMar>
            <w:vAlign w:val="center"/>
          </w:tcPr>
          <w:p w14:paraId="38A2C91F" w14:textId="4A54EE95"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Oyun</w:t>
            </w:r>
          </w:p>
        </w:tc>
        <w:tc>
          <w:tcPr>
            <w:tcW w:w="1253" w:type="dxa"/>
            <w:tcBorders>
              <w:top w:val="nil"/>
              <w:left w:val="nil"/>
              <w:bottom w:val="nil"/>
              <w:right w:val="nil"/>
            </w:tcBorders>
            <w:shd w:val="clear" w:color="auto" w:fill="E6E7E8"/>
            <w:tcMar>
              <w:top w:w="15" w:type="dxa"/>
              <w:left w:w="15" w:type="dxa"/>
              <w:bottom w:w="0" w:type="dxa"/>
              <w:right w:w="15" w:type="dxa"/>
            </w:tcMar>
            <w:vAlign w:val="center"/>
          </w:tcPr>
          <w:p w14:paraId="580A8F7D" w14:textId="0C4D5398"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DoubleU</w:t>
            </w:r>
            <w:proofErr w:type="spellEnd"/>
            <w:r w:rsidRPr="3212F08F">
              <w:rPr>
                <w:rFonts w:ascii="Verdana" w:eastAsia="Verdana" w:hAnsi="Verdana" w:cs="Verdana"/>
                <w:sz w:val="16"/>
                <w:szCs w:val="16"/>
              </w:rPr>
              <w:t xml:space="preserve"> Games</w:t>
            </w:r>
          </w:p>
        </w:tc>
        <w:tc>
          <w:tcPr>
            <w:tcW w:w="1164" w:type="dxa"/>
            <w:tcBorders>
              <w:top w:val="nil"/>
              <w:left w:val="nil"/>
              <w:bottom w:val="nil"/>
              <w:right w:val="nil"/>
            </w:tcBorders>
            <w:shd w:val="clear" w:color="auto" w:fill="E6E7E8"/>
            <w:tcMar>
              <w:top w:w="15" w:type="dxa"/>
              <w:left w:w="15" w:type="dxa"/>
              <w:bottom w:w="0" w:type="dxa"/>
              <w:right w:w="15" w:type="dxa"/>
            </w:tcMar>
            <w:vAlign w:val="center"/>
          </w:tcPr>
          <w:p w14:paraId="282F9776" w14:textId="2A1B49B2"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Güney Kore</w:t>
            </w:r>
          </w:p>
        </w:tc>
        <w:tc>
          <w:tcPr>
            <w:tcW w:w="998" w:type="dxa"/>
            <w:tcBorders>
              <w:top w:val="nil"/>
              <w:left w:val="nil"/>
              <w:bottom w:val="nil"/>
              <w:right w:val="nil"/>
            </w:tcBorders>
            <w:shd w:val="clear" w:color="auto" w:fill="E6E7E8"/>
            <w:tcMar>
              <w:top w:w="15" w:type="dxa"/>
              <w:left w:w="15" w:type="dxa"/>
              <w:bottom w:w="0" w:type="dxa"/>
              <w:right w:w="15" w:type="dxa"/>
            </w:tcMar>
            <w:vAlign w:val="center"/>
          </w:tcPr>
          <w:p w14:paraId="44D256AB" w14:textId="4B68BCC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%100</w:t>
            </w:r>
          </w:p>
        </w:tc>
        <w:tc>
          <w:tcPr>
            <w:tcW w:w="1154" w:type="dxa"/>
            <w:tcBorders>
              <w:top w:val="nil"/>
              <w:left w:val="nil"/>
              <w:bottom w:val="nil"/>
              <w:right w:val="nil"/>
            </w:tcBorders>
            <w:shd w:val="clear" w:color="auto" w:fill="E6E7E8"/>
            <w:tcMar>
              <w:top w:w="15" w:type="dxa"/>
              <w:left w:w="15" w:type="dxa"/>
              <w:bottom w:w="0" w:type="dxa"/>
              <w:right w:w="15" w:type="dxa"/>
            </w:tcMar>
            <w:vAlign w:val="center"/>
          </w:tcPr>
          <w:p w14:paraId="5453BEED" w14:textId="4B2B354A"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67</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E6E7E8"/>
            <w:tcMar>
              <w:top w:w="15" w:type="dxa"/>
              <w:left w:w="15" w:type="dxa"/>
              <w:bottom w:w="0" w:type="dxa"/>
              <w:right w:w="15" w:type="dxa"/>
            </w:tcMar>
            <w:vAlign w:val="center"/>
          </w:tcPr>
          <w:p w14:paraId="2BD07E03" w14:textId="73F94141"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r w:rsidR="00283DD0" w:rsidRPr="00E320A6" w14:paraId="1F55C356" w14:textId="77777777" w:rsidTr="3212F08F">
        <w:trPr>
          <w:trHeight w:val="1075"/>
        </w:trPr>
        <w:tc>
          <w:tcPr>
            <w:tcW w:w="595" w:type="dxa"/>
            <w:tcBorders>
              <w:top w:val="nil"/>
              <w:left w:val="nil"/>
              <w:bottom w:val="nil"/>
              <w:right w:val="nil"/>
            </w:tcBorders>
            <w:shd w:val="clear" w:color="auto" w:fill="B5D8F2"/>
            <w:tcMar>
              <w:top w:w="15" w:type="dxa"/>
              <w:left w:w="15" w:type="dxa"/>
              <w:bottom w:w="0" w:type="dxa"/>
              <w:right w:w="15" w:type="dxa"/>
            </w:tcMar>
            <w:vAlign w:val="center"/>
          </w:tcPr>
          <w:p w14:paraId="3E032643"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6</w:t>
            </w:r>
          </w:p>
        </w:tc>
        <w:tc>
          <w:tcPr>
            <w:tcW w:w="1229" w:type="dxa"/>
            <w:tcBorders>
              <w:top w:val="nil"/>
              <w:left w:val="nil"/>
              <w:bottom w:val="nil"/>
              <w:right w:val="nil"/>
            </w:tcBorders>
            <w:shd w:val="clear" w:color="auto" w:fill="B5D8F2"/>
            <w:tcMar>
              <w:top w:w="15" w:type="dxa"/>
              <w:left w:w="15" w:type="dxa"/>
              <w:bottom w:w="0" w:type="dxa"/>
              <w:right w:w="15" w:type="dxa"/>
            </w:tcMar>
            <w:vAlign w:val="center"/>
          </w:tcPr>
          <w:p w14:paraId="19DFB5EE" w14:textId="5E9E2A84"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Altınay Savunma</w:t>
            </w:r>
          </w:p>
        </w:tc>
        <w:tc>
          <w:tcPr>
            <w:tcW w:w="1184" w:type="dxa"/>
            <w:tcBorders>
              <w:top w:val="nil"/>
              <w:left w:val="nil"/>
              <w:bottom w:val="nil"/>
              <w:right w:val="nil"/>
            </w:tcBorders>
            <w:shd w:val="clear" w:color="auto" w:fill="B5D8F2"/>
            <w:tcMar>
              <w:top w:w="15" w:type="dxa"/>
              <w:left w:w="15" w:type="dxa"/>
              <w:bottom w:w="0" w:type="dxa"/>
              <w:right w:w="15" w:type="dxa"/>
            </w:tcMar>
            <w:vAlign w:val="center"/>
          </w:tcPr>
          <w:p w14:paraId="365319EB" w14:textId="5B25B283"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İnsansız Araçlar</w:t>
            </w:r>
          </w:p>
        </w:tc>
        <w:tc>
          <w:tcPr>
            <w:tcW w:w="1253" w:type="dxa"/>
            <w:tcBorders>
              <w:top w:val="nil"/>
              <w:left w:val="nil"/>
              <w:bottom w:val="nil"/>
              <w:right w:val="nil"/>
            </w:tcBorders>
            <w:shd w:val="clear" w:color="auto" w:fill="B5D8F2"/>
            <w:tcMar>
              <w:top w:w="15" w:type="dxa"/>
              <w:left w:w="15" w:type="dxa"/>
              <w:bottom w:w="0" w:type="dxa"/>
              <w:right w:w="15" w:type="dxa"/>
            </w:tcMar>
            <w:vAlign w:val="center"/>
          </w:tcPr>
          <w:p w14:paraId="2D161787" w14:textId="56035F92"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Halka Arz Yatırımcıları</w:t>
            </w:r>
          </w:p>
        </w:tc>
        <w:tc>
          <w:tcPr>
            <w:tcW w:w="1164" w:type="dxa"/>
            <w:tcBorders>
              <w:top w:val="nil"/>
              <w:left w:val="nil"/>
              <w:bottom w:val="nil"/>
              <w:right w:val="nil"/>
            </w:tcBorders>
            <w:shd w:val="clear" w:color="auto" w:fill="B5D8F2"/>
            <w:tcMar>
              <w:top w:w="15" w:type="dxa"/>
              <w:left w:w="15" w:type="dxa"/>
              <w:bottom w:w="0" w:type="dxa"/>
              <w:right w:w="15" w:type="dxa"/>
            </w:tcMar>
            <w:vAlign w:val="center"/>
          </w:tcPr>
          <w:p w14:paraId="439150A3" w14:textId="5140EBCB"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Türkiye</w:t>
            </w:r>
          </w:p>
        </w:tc>
        <w:tc>
          <w:tcPr>
            <w:tcW w:w="998" w:type="dxa"/>
            <w:tcBorders>
              <w:top w:val="nil"/>
              <w:left w:val="nil"/>
              <w:bottom w:val="nil"/>
              <w:right w:val="nil"/>
            </w:tcBorders>
            <w:shd w:val="clear" w:color="auto" w:fill="B5D8F2"/>
            <w:tcMar>
              <w:top w:w="15" w:type="dxa"/>
              <w:left w:w="15" w:type="dxa"/>
              <w:bottom w:w="0" w:type="dxa"/>
              <w:right w:w="15" w:type="dxa"/>
            </w:tcMar>
            <w:vAlign w:val="center"/>
          </w:tcPr>
          <w:p w14:paraId="38CF58B4" w14:textId="208F891F"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%25</w:t>
            </w:r>
          </w:p>
        </w:tc>
        <w:tc>
          <w:tcPr>
            <w:tcW w:w="1154" w:type="dxa"/>
            <w:tcBorders>
              <w:top w:val="nil"/>
              <w:left w:val="nil"/>
              <w:bottom w:val="nil"/>
              <w:right w:val="nil"/>
            </w:tcBorders>
            <w:shd w:val="clear" w:color="auto" w:fill="B5D8F2"/>
            <w:tcMar>
              <w:top w:w="15" w:type="dxa"/>
              <w:left w:w="15" w:type="dxa"/>
              <w:bottom w:w="0" w:type="dxa"/>
              <w:right w:w="15" w:type="dxa"/>
            </w:tcMar>
            <w:vAlign w:val="center"/>
          </w:tcPr>
          <w:p w14:paraId="058AC2EB" w14:textId="212A0F58"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58,5</w:t>
            </w:r>
          </w:p>
        </w:tc>
        <w:tc>
          <w:tcPr>
            <w:tcW w:w="1262" w:type="dxa"/>
            <w:tcBorders>
              <w:top w:val="nil"/>
              <w:left w:val="nil"/>
              <w:bottom w:val="nil"/>
              <w:right w:val="nil"/>
            </w:tcBorders>
            <w:shd w:val="clear" w:color="auto" w:fill="B5D8F2"/>
            <w:tcMar>
              <w:top w:w="15" w:type="dxa"/>
              <w:left w:w="15" w:type="dxa"/>
              <w:bottom w:w="0" w:type="dxa"/>
              <w:right w:w="15" w:type="dxa"/>
            </w:tcMar>
            <w:vAlign w:val="center"/>
          </w:tcPr>
          <w:p w14:paraId="37645676" w14:textId="036E5F09"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r w:rsidR="00283DD0" w:rsidRPr="00E320A6" w14:paraId="79DFE1A8" w14:textId="77777777" w:rsidTr="3212F08F">
        <w:trPr>
          <w:trHeight w:val="593"/>
        </w:trPr>
        <w:tc>
          <w:tcPr>
            <w:tcW w:w="595" w:type="dxa"/>
            <w:tcBorders>
              <w:top w:val="nil"/>
              <w:left w:val="nil"/>
              <w:bottom w:val="nil"/>
              <w:right w:val="nil"/>
            </w:tcBorders>
            <w:shd w:val="clear" w:color="auto" w:fill="E6E7E8"/>
            <w:tcMar>
              <w:top w:w="15" w:type="dxa"/>
              <w:left w:w="15" w:type="dxa"/>
              <w:bottom w:w="0" w:type="dxa"/>
              <w:right w:w="15" w:type="dxa"/>
            </w:tcMar>
            <w:vAlign w:val="center"/>
          </w:tcPr>
          <w:p w14:paraId="3833853F"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7</w:t>
            </w:r>
          </w:p>
        </w:tc>
        <w:tc>
          <w:tcPr>
            <w:tcW w:w="1229" w:type="dxa"/>
            <w:tcBorders>
              <w:top w:val="nil"/>
              <w:left w:val="nil"/>
              <w:bottom w:val="nil"/>
              <w:right w:val="nil"/>
            </w:tcBorders>
            <w:shd w:val="clear" w:color="auto" w:fill="E6E7E8"/>
            <w:tcMar>
              <w:top w:w="15" w:type="dxa"/>
              <w:left w:w="15" w:type="dxa"/>
              <w:bottom w:w="0" w:type="dxa"/>
              <w:right w:w="15" w:type="dxa"/>
            </w:tcMar>
            <w:vAlign w:val="center"/>
          </w:tcPr>
          <w:p w14:paraId="2B8B94E9" w14:textId="42A29A3F"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Spyke</w:t>
            </w:r>
            <w:proofErr w:type="spellEnd"/>
            <w:r w:rsidRPr="3212F08F">
              <w:rPr>
                <w:rFonts w:ascii="Verdana" w:eastAsia="Verdana" w:hAnsi="Verdana" w:cs="Verdana"/>
                <w:sz w:val="16"/>
                <w:szCs w:val="16"/>
              </w:rPr>
              <w:t xml:space="preserve"> Games</w:t>
            </w:r>
          </w:p>
        </w:tc>
        <w:tc>
          <w:tcPr>
            <w:tcW w:w="1184" w:type="dxa"/>
            <w:tcBorders>
              <w:top w:val="nil"/>
              <w:left w:val="nil"/>
              <w:bottom w:val="nil"/>
              <w:right w:val="nil"/>
            </w:tcBorders>
            <w:shd w:val="clear" w:color="auto" w:fill="E6E7E8"/>
            <w:tcMar>
              <w:top w:w="15" w:type="dxa"/>
              <w:left w:w="15" w:type="dxa"/>
              <w:bottom w:w="0" w:type="dxa"/>
              <w:right w:w="15" w:type="dxa"/>
            </w:tcMar>
            <w:vAlign w:val="center"/>
          </w:tcPr>
          <w:p w14:paraId="24DC6C03" w14:textId="73043202"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Oyun</w:t>
            </w:r>
          </w:p>
        </w:tc>
        <w:tc>
          <w:tcPr>
            <w:tcW w:w="1253" w:type="dxa"/>
            <w:tcBorders>
              <w:top w:val="nil"/>
              <w:left w:val="nil"/>
              <w:bottom w:val="nil"/>
              <w:right w:val="nil"/>
            </w:tcBorders>
            <w:shd w:val="clear" w:color="auto" w:fill="E6E7E8"/>
            <w:tcMar>
              <w:top w:w="15" w:type="dxa"/>
              <w:left w:w="15" w:type="dxa"/>
              <w:bottom w:w="0" w:type="dxa"/>
              <w:right w:w="15" w:type="dxa"/>
            </w:tcMar>
            <w:vAlign w:val="center"/>
          </w:tcPr>
          <w:p w14:paraId="37287FDD" w14:textId="02FF6FBD"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Moon Active</w:t>
            </w:r>
          </w:p>
        </w:tc>
        <w:tc>
          <w:tcPr>
            <w:tcW w:w="1164" w:type="dxa"/>
            <w:tcBorders>
              <w:top w:val="nil"/>
              <w:left w:val="nil"/>
              <w:bottom w:val="nil"/>
              <w:right w:val="nil"/>
            </w:tcBorders>
            <w:shd w:val="clear" w:color="auto" w:fill="E6E7E8"/>
            <w:tcMar>
              <w:top w:w="15" w:type="dxa"/>
              <w:left w:w="15" w:type="dxa"/>
              <w:bottom w:w="0" w:type="dxa"/>
              <w:right w:w="15" w:type="dxa"/>
            </w:tcMar>
            <w:vAlign w:val="center"/>
          </w:tcPr>
          <w:p w14:paraId="27BE13C8" w14:textId="438D7F5C"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İsrail</w:t>
            </w:r>
          </w:p>
        </w:tc>
        <w:tc>
          <w:tcPr>
            <w:tcW w:w="998" w:type="dxa"/>
            <w:tcBorders>
              <w:top w:val="nil"/>
              <w:left w:val="nil"/>
              <w:bottom w:val="nil"/>
              <w:right w:val="nil"/>
            </w:tcBorders>
            <w:shd w:val="clear" w:color="auto" w:fill="E6E7E8"/>
            <w:tcMar>
              <w:top w:w="15" w:type="dxa"/>
              <w:left w:w="15" w:type="dxa"/>
              <w:bottom w:w="0" w:type="dxa"/>
              <w:right w:w="15" w:type="dxa"/>
            </w:tcMar>
            <w:vAlign w:val="center"/>
          </w:tcPr>
          <w:p w14:paraId="4209B8F9" w14:textId="2C70EBC0"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%15,9</w:t>
            </w:r>
          </w:p>
        </w:tc>
        <w:tc>
          <w:tcPr>
            <w:tcW w:w="1154" w:type="dxa"/>
            <w:tcBorders>
              <w:top w:val="nil"/>
              <w:left w:val="nil"/>
              <w:bottom w:val="nil"/>
              <w:right w:val="nil"/>
            </w:tcBorders>
            <w:shd w:val="clear" w:color="auto" w:fill="E6E7E8"/>
            <w:tcMar>
              <w:top w:w="15" w:type="dxa"/>
              <w:left w:w="15" w:type="dxa"/>
              <w:bottom w:w="0" w:type="dxa"/>
              <w:right w:w="15" w:type="dxa"/>
            </w:tcMar>
            <w:vAlign w:val="center"/>
          </w:tcPr>
          <w:p w14:paraId="0A09EFB8" w14:textId="64FA0AE1"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50</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E6E7E8"/>
            <w:tcMar>
              <w:top w:w="15" w:type="dxa"/>
              <w:left w:w="15" w:type="dxa"/>
              <w:bottom w:w="0" w:type="dxa"/>
              <w:right w:w="15" w:type="dxa"/>
            </w:tcMar>
            <w:vAlign w:val="center"/>
          </w:tcPr>
          <w:p w14:paraId="3A3E0F5B" w14:textId="482DB3CB"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Erken Aşama</w:t>
            </w:r>
          </w:p>
        </w:tc>
      </w:tr>
      <w:tr w:rsidR="00283DD0" w:rsidRPr="00E320A6" w14:paraId="0BF3CB78" w14:textId="77777777" w:rsidTr="3212F08F">
        <w:trPr>
          <w:trHeight w:val="985"/>
        </w:trPr>
        <w:tc>
          <w:tcPr>
            <w:tcW w:w="595" w:type="dxa"/>
            <w:tcBorders>
              <w:top w:val="nil"/>
              <w:left w:val="nil"/>
              <w:bottom w:val="nil"/>
              <w:right w:val="nil"/>
            </w:tcBorders>
            <w:shd w:val="clear" w:color="auto" w:fill="B5D8F2"/>
            <w:tcMar>
              <w:top w:w="15" w:type="dxa"/>
              <w:left w:w="15" w:type="dxa"/>
              <w:bottom w:w="0" w:type="dxa"/>
              <w:right w:w="15" w:type="dxa"/>
            </w:tcMar>
            <w:vAlign w:val="center"/>
          </w:tcPr>
          <w:p w14:paraId="1CE0F4CD"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8</w:t>
            </w:r>
          </w:p>
        </w:tc>
        <w:tc>
          <w:tcPr>
            <w:tcW w:w="1229" w:type="dxa"/>
            <w:tcBorders>
              <w:top w:val="nil"/>
              <w:left w:val="nil"/>
              <w:bottom w:val="nil"/>
              <w:right w:val="nil"/>
            </w:tcBorders>
            <w:shd w:val="clear" w:color="auto" w:fill="B5D8F2"/>
            <w:tcMar>
              <w:top w:w="15" w:type="dxa"/>
              <w:left w:w="15" w:type="dxa"/>
              <w:bottom w:w="0" w:type="dxa"/>
              <w:right w:w="15" w:type="dxa"/>
            </w:tcMar>
            <w:vAlign w:val="center"/>
          </w:tcPr>
          <w:p w14:paraId="7D1C1F3B" w14:textId="0F3685F8"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BinBin</w:t>
            </w:r>
            <w:proofErr w:type="spellEnd"/>
          </w:p>
        </w:tc>
        <w:tc>
          <w:tcPr>
            <w:tcW w:w="1184" w:type="dxa"/>
            <w:tcBorders>
              <w:top w:val="nil"/>
              <w:left w:val="nil"/>
              <w:bottom w:val="nil"/>
              <w:right w:val="nil"/>
            </w:tcBorders>
            <w:shd w:val="clear" w:color="auto" w:fill="B5D8F2"/>
            <w:tcMar>
              <w:top w:w="15" w:type="dxa"/>
              <w:left w:w="15" w:type="dxa"/>
              <w:bottom w:w="0" w:type="dxa"/>
              <w:right w:w="15" w:type="dxa"/>
            </w:tcMar>
            <w:vAlign w:val="center"/>
          </w:tcPr>
          <w:p w14:paraId="3AE71491" w14:textId="3B088772"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Mobilite</w:t>
            </w:r>
          </w:p>
        </w:tc>
        <w:tc>
          <w:tcPr>
            <w:tcW w:w="1253" w:type="dxa"/>
            <w:tcBorders>
              <w:top w:val="nil"/>
              <w:left w:val="nil"/>
              <w:bottom w:val="nil"/>
              <w:right w:val="nil"/>
            </w:tcBorders>
            <w:shd w:val="clear" w:color="auto" w:fill="B5D8F2"/>
            <w:tcMar>
              <w:top w:w="15" w:type="dxa"/>
              <w:left w:w="15" w:type="dxa"/>
              <w:bottom w:w="0" w:type="dxa"/>
              <w:right w:w="15" w:type="dxa"/>
            </w:tcMar>
            <w:vAlign w:val="center"/>
          </w:tcPr>
          <w:p w14:paraId="4E0CDB83" w14:textId="5FBA232E"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Halka Arz Yatırımcıları</w:t>
            </w:r>
          </w:p>
        </w:tc>
        <w:tc>
          <w:tcPr>
            <w:tcW w:w="1164" w:type="dxa"/>
            <w:tcBorders>
              <w:top w:val="nil"/>
              <w:left w:val="nil"/>
              <w:bottom w:val="nil"/>
              <w:right w:val="nil"/>
            </w:tcBorders>
            <w:shd w:val="clear" w:color="auto" w:fill="B5D8F2"/>
            <w:tcMar>
              <w:top w:w="15" w:type="dxa"/>
              <w:left w:w="15" w:type="dxa"/>
              <w:bottom w:w="0" w:type="dxa"/>
              <w:right w:w="15" w:type="dxa"/>
            </w:tcMar>
            <w:vAlign w:val="center"/>
          </w:tcPr>
          <w:p w14:paraId="5E4E0C73" w14:textId="1D11F36D" w:rsidR="00686C76" w:rsidRPr="00E320A6" w:rsidRDefault="00940D00"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Türkiye</w:t>
            </w:r>
          </w:p>
        </w:tc>
        <w:tc>
          <w:tcPr>
            <w:tcW w:w="998" w:type="dxa"/>
            <w:tcBorders>
              <w:top w:val="nil"/>
              <w:left w:val="nil"/>
              <w:bottom w:val="nil"/>
              <w:right w:val="nil"/>
            </w:tcBorders>
            <w:shd w:val="clear" w:color="auto" w:fill="B5D8F2"/>
            <w:tcMar>
              <w:top w:w="15" w:type="dxa"/>
              <w:left w:w="15" w:type="dxa"/>
              <w:bottom w:w="0" w:type="dxa"/>
              <w:right w:w="15" w:type="dxa"/>
            </w:tcMar>
            <w:vAlign w:val="center"/>
          </w:tcPr>
          <w:p w14:paraId="73408C23" w14:textId="3F3628F1"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%15,2</w:t>
            </w:r>
          </w:p>
        </w:tc>
        <w:tc>
          <w:tcPr>
            <w:tcW w:w="1154" w:type="dxa"/>
            <w:tcBorders>
              <w:top w:val="nil"/>
              <w:left w:val="nil"/>
              <w:bottom w:val="nil"/>
              <w:right w:val="nil"/>
            </w:tcBorders>
            <w:shd w:val="clear" w:color="auto" w:fill="B5D8F2"/>
            <w:tcMar>
              <w:top w:w="15" w:type="dxa"/>
              <w:left w:w="15" w:type="dxa"/>
              <w:bottom w:w="0" w:type="dxa"/>
              <w:right w:w="15" w:type="dxa"/>
            </w:tcMar>
            <w:vAlign w:val="center"/>
          </w:tcPr>
          <w:p w14:paraId="0E4D1E4B" w14:textId="45758DFC"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45,</w:t>
            </w:r>
            <w:r w:rsidR="00423874" w:rsidRPr="00E320A6">
              <w:rPr>
                <w:rFonts w:ascii="Verdana" w:eastAsia="Verdana" w:hAnsi="Verdana" w:cs="Verdana"/>
                <w:sz w:val="16"/>
                <w:szCs w:val="16"/>
              </w:rPr>
              <w:t>7</w:t>
            </w:r>
          </w:p>
        </w:tc>
        <w:tc>
          <w:tcPr>
            <w:tcW w:w="1262" w:type="dxa"/>
            <w:tcBorders>
              <w:top w:val="nil"/>
              <w:left w:val="nil"/>
              <w:bottom w:val="nil"/>
              <w:right w:val="nil"/>
            </w:tcBorders>
            <w:shd w:val="clear" w:color="auto" w:fill="B5D8F2"/>
            <w:tcMar>
              <w:top w:w="15" w:type="dxa"/>
              <w:left w:w="15" w:type="dxa"/>
              <w:bottom w:w="0" w:type="dxa"/>
              <w:right w:w="15" w:type="dxa"/>
            </w:tcMar>
            <w:vAlign w:val="center"/>
          </w:tcPr>
          <w:p w14:paraId="3F8FD539" w14:textId="21B09421"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r w:rsidR="00283DD0" w:rsidRPr="00E320A6" w14:paraId="318AB255" w14:textId="77777777" w:rsidTr="3212F08F">
        <w:trPr>
          <w:trHeight w:val="593"/>
        </w:trPr>
        <w:tc>
          <w:tcPr>
            <w:tcW w:w="595" w:type="dxa"/>
            <w:tcBorders>
              <w:top w:val="nil"/>
              <w:left w:val="nil"/>
              <w:bottom w:val="nil"/>
              <w:right w:val="nil"/>
            </w:tcBorders>
            <w:shd w:val="clear" w:color="auto" w:fill="E6E7E8"/>
            <w:tcMar>
              <w:top w:w="15" w:type="dxa"/>
              <w:left w:w="15" w:type="dxa"/>
              <w:bottom w:w="0" w:type="dxa"/>
              <w:right w:w="15" w:type="dxa"/>
            </w:tcMar>
            <w:vAlign w:val="center"/>
          </w:tcPr>
          <w:p w14:paraId="22D17351"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9</w:t>
            </w:r>
          </w:p>
        </w:tc>
        <w:tc>
          <w:tcPr>
            <w:tcW w:w="1229" w:type="dxa"/>
            <w:tcBorders>
              <w:top w:val="nil"/>
              <w:left w:val="nil"/>
              <w:bottom w:val="nil"/>
              <w:right w:val="nil"/>
            </w:tcBorders>
            <w:shd w:val="clear" w:color="auto" w:fill="E6E7E8"/>
            <w:tcMar>
              <w:top w:w="15" w:type="dxa"/>
              <w:left w:w="15" w:type="dxa"/>
              <w:bottom w:w="0" w:type="dxa"/>
              <w:right w:w="15" w:type="dxa"/>
            </w:tcMar>
            <w:vAlign w:val="center"/>
          </w:tcPr>
          <w:p w14:paraId="5841B128" w14:textId="4905C7BC"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Midas</w:t>
            </w:r>
          </w:p>
        </w:tc>
        <w:tc>
          <w:tcPr>
            <w:tcW w:w="1184" w:type="dxa"/>
            <w:tcBorders>
              <w:top w:val="nil"/>
              <w:left w:val="nil"/>
              <w:bottom w:val="nil"/>
              <w:right w:val="nil"/>
            </w:tcBorders>
            <w:shd w:val="clear" w:color="auto" w:fill="E6E7E8"/>
            <w:tcMar>
              <w:top w:w="15" w:type="dxa"/>
              <w:left w:w="15" w:type="dxa"/>
              <w:bottom w:w="0" w:type="dxa"/>
              <w:right w:w="15" w:type="dxa"/>
            </w:tcMar>
            <w:vAlign w:val="center"/>
          </w:tcPr>
          <w:p w14:paraId="6B36375A" w14:textId="1CCC0363"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Fintech</w:t>
            </w:r>
            <w:proofErr w:type="spellEnd"/>
          </w:p>
        </w:tc>
        <w:tc>
          <w:tcPr>
            <w:tcW w:w="1253" w:type="dxa"/>
            <w:tcBorders>
              <w:top w:val="nil"/>
              <w:left w:val="nil"/>
              <w:bottom w:val="nil"/>
              <w:right w:val="nil"/>
            </w:tcBorders>
            <w:shd w:val="clear" w:color="auto" w:fill="E6E7E8"/>
            <w:tcMar>
              <w:top w:w="15" w:type="dxa"/>
              <w:left w:w="15" w:type="dxa"/>
              <w:bottom w:w="0" w:type="dxa"/>
              <w:right w:w="15" w:type="dxa"/>
            </w:tcMar>
            <w:vAlign w:val="center"/>
          </w:tcPr>
          <w:p w14:paraId="19F66026" w14:textId="0EF971ED"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Portage</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Ventures</w:t>
            </w:r>
            <w:proofErr w:type="spellEnd"/>
            <w:r w:rsidRPr="3212F08F">
              <w:rPr>
                <w:rFonts w:ascii="Verdana" w:eastAsia="Verdana" w:hAnsi="Verdana" w:cs="Verdana"/>
                <w:sz w:val="16"/>
                <w:szCs w:val="16"/>
              </w:rPr>
              <w:t xml:space="preserve">, IFC, </w:t>
            </w:r>
            <w:proofErr w:type="spellStart"/>
            <w:r w:rsidRPr="3212F08F">
              <w:rPr>
                <w:rFonts w:ascii="Verdana" w:eastAsia="Verdana" w:hAnsi="Verdana" w:cs="Verdana"/>
                <w:sz w:val="16"/>
                <w:szCs w:val="16"/>
              </w:rPr>
              <w:t>Spark</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Capital</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Earlybird</w:t>
            </w:r>
            <w:proofErr w:type="spellEnd"/>
            <w:r w:rsidRPr="3212F08F">
              <w:rPr>
                <w:rFonts w:ascii="Verdana" w:eastAsia="Verdana" w:hAnsi="Verdana" w:cs="Verdana"/>
                <w:sz w:val="16"/>
                <w:szCs w:val="16"/>
              </w:rPr>
              <w:t xml:space="preserve"> Digital East (</w:t>
            </w:r>
            <w:proofErr w:type="spellStart"/>
            <w:r w:rsidRPr="3212F08F">
              <w:rPr>
                <w:rFonts w:ascii="Verdana" w:eastAsia="Verdana" w:hAnsi="Verdana" w:cs="Verdana"/>
                <w:sz w:val="16"/>
                <w:szCs w:val="16"/>
              </w:rPr>
              <w:t>Fund</w:t>
            </w:r>
            <w:proofErr w:type="spellEnd"/>
            <w:r w:rsidRPr="3212F08F">
              <w:rPr>
                <w:rFonts w:ascii="Verdana" w:eastAsia="Verdana" w:hAnsi="Verdana" w:cs="Verdana"/>
                <w:sz w:val="16"/>
                <w:szCs w:val="16"/>
              </w:rPr>
              <w:t xml:space="preserve"> II), </w:t>
            </w:r>
            <w:proofErr w:type="spellStart"/>
            <w:r w:rsidRPr="3212F08F">
              <w:rPr>
                <w:rFonts w:ascii="Verdana" w:eastAsia="Verdana" w:hAnsi="Verdana" w:cs="Verdana"/>
                <w:sz w:val="16"/>
                <w:szCs w:val="16"/>
              </w:rPr>
              <w:t>Revo</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Capital</w:t>
            </w:r>
            <w:proofErr w:type="spellEnd"/>
            <w:r w:rsidRPr="3212F08F">
              <w:rPr>
                <w:rFonts w:ascii="Verdana" w:eastAsia="Verdana" w:hAnsi="Verdana" w:cs="Verdana"/>
                <w:sz w:val="16"/>
                <w:szCs w:val="16"/>
              </w:rPr>
              <w:t xml:space="preserve"> (</w:t>
            </w:r>
            <w:proofErr w:type="spellStart"/>
            <w:r w:rsidRPr="3212F08F">
              <w:rPr>
                <w:rFonts w:ascii="Verdana" w:eastAsia="Verdana" w:hAnsi="Verdana" w:cs="Verdana"/>
                <w:sz w:val="16"/>
                <w:szCs w:val="16"/>
              </w:rPr>
              <w:t>Fund</w:t>
            </w:r>
            <w:proofErr w:type="spellEnd"/>
            <w:r w:rsidRPr="3212F08F">
              <w:rPr>
                <w:rFonts w:ascii="Verdana" w:eastAsia="Verdana" w:hAnsi="Verdana" w:cs="Verdana"/>
                <w:sz w:val="16"/>
                <w:szCs w:val="16"/>
              </w:rPr>
              <w:t xml:space="preserve"> II)</w:t>
            </w:r>
          </w:p>
        </w:tc>
        <w:tc>
          <w:tcPr>
            <w:tcW w:w="1164" w:type="dxa"/>
            <w:tcBorders>
              <w:top w:val="nil"/>
              <w:left w:val="nil"/>
              <w:bottom w:val="nil"/>
              <w:right w:val="nil"/>
            </w:tcBorders>
            <w:shd w:val="clear" w:color="auto" w:fill="E6E7E8"/>
            <w:tcMar>
              <w:top w:w="15" w:type="dxa"/>
              <w:left w:w="15" w:type="dxa"/>
              <w:bottom w:w="0" w:type="dxa"/>
              <w:right w:w="15" w:type="dxa"/>
            </w:tcMar>
            <w:vAlign w:val="center"/>
          </w:tcPr>
          <w:p w14:paraId="1BD34D60" w14:textId="5EE3ABCD"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Kanada, ABD, Almanya, Türkiye</w:t>
            </w:r>
          </w:p>
        </w:tc>
        <w:tc>
          <w:tcPr>
            <w:tcW w:w="998" w:type="dxa"/>
            <w:tcBorders>
              <w:top w:val="nil"/>
              <w:left w:val="nil"/>
              <w:bottom w:val="nil"/>
              <w:right w:val="nil"/>
            </w:tcBorders>
            <w:shd w:val="clear" w:color="auto" w:fill="E6E7E8"/>
            <w:tcMar>
              <w:top w:w="15" w:type="dxa"/>
              <w:left w:w="15" w:type="dxa"/>
              <w:bottom w:w="0" w:type="dxa"/>
              <w:right w:w="15" w:type="dxa"/>
            </w:tcMar>
            <w:vAlign w:val="center"/>
          </w:tcPr>
          <w:p w14:paraId="144C1EDD" w14:textId="330B885A"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Açıklanmadı</w:t>
            </w:r>
          </w:p>
        </w:tc>
        <w:tc>
          <w:tcPr>
            <w:tcW w:w="1154" w:type="dxa"/>
            <w:tcBorders>
              <w:top w:val="nil"/>
              <w:left w:val="nil"/>
              <w:bottom w:val="nil"/>
              <w:right w:val="nil"/>
            </w:tcBorders>
            <w:shd w:val="clear" w:color="auto" w:fill="E6E7E8"/>
            <w:tcMar>
              <w:top w:w="15" w:type="dxa"/>
              <w:left w:w="15" w:type="dxa"/>
              <w:bottom w:w="0" w:type="dxa"/>
              <w:right w:w="15" w:type="dxa"/>
            </w:tcMar>
            <w:vAlign w:val="center"/>
          </w:tcPr>
          <w:p w14:paraId="4748C699" w14:textId="0ADF89FA"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45</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E6E7E8"/>
            <w:tcMar>
              <w:top w:w="15" w:type="dxa"/>
              <w:left w:w="15" w:type="dxa"/>
              <w:bottom w:w="0" w:type="dxa"/>
              <w:right w:w="15" w:type="dxa"/>
            </w:tcMar>
            <w:vAlign w:val="center"/>
          </w:tcPr>
          <w:p w14:paraId="4DF7ABE8" w14:textId="39A8A2E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Erken Aşama</w:t>
            </w:r>
          </w:p>
        </w:tc>
      </w:tr>
      <w:tr w:rsidR="00283DD0" w:rsidRPr="00E320A6" w14:paraId="7219105A" w14:textId="77777777" w:rsidTr="3212F08F">
        <w:trPr>
          <w:trHeight w:val="1363"/>
        </w:trPr>
        <w:tc>
          <w:tcPr>
            <w:tcW w:w="595" w:type="dxa"/>
            <w:tcBorders>
              <w:top w:val="nil"/>
              <w:left w:val="nil"/>
              <w:bottom w:val="nil"/>
              <w:right w:val="nil"/>
            </w:tcBorders>
            <w:shd w:val="clear" w:color="auto" w:fill="B5D8F2"/>
            <w:tcMar>
              <w:top w:w="15" w:type="dxa"/>
              <w:left w:w="15" w:type="dxa"/>
              <w:bottom w:w="0" w:type="dxa"/>
              <w:right w:w="15" w:type="dxa"/>
            </w:tcMar>
            <w:vAlign w:val="center"/>
          </w:tcPr>
          <w:p w14:paraId="30E8328F" w14:textId="77777777"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10</w:t>
            </w:r>
          </w:p>
        </w:tc>
        <w:tc>
          <w:tcPr>
            <w:tcW w:w="1229" w:type="dxa"/>
            <w:tcBorders>
              <w:top w:val="nil"/>
              <w:left w:val="nil"/>
              <w:bottom w:val="nil"/>
              <w:right w:val="nil"/>
            </w:tcBorders>
            <w:shd w:val="clear" w:color="auto" w:fill="B5D8F2"/>
            <w:tcMar>
              <w:top w:w="15" w:type="dxa"/>
              <w:left w:w="15" w:type="dxa"/>
              <w:bottom w:w="0" w:type="dxa"/>
              <w:right w:w="15" w:type="dxa"/>
            </w:tcMar>
            <w:vAlign w:val="center"/>
          </w:tcPr>
          <w:p w14:paraId="56E85CF5" w14:textId="03FD24CF"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Bulutistan</w:t>
            </w:r>
            <w:proofErr w:type="spellEnd"/>
          </w:p>
        </w:tc>
        <w:tc>
          <w:tcPr>
            <w:tcW w:w="1184" w:type="dxa"/>
            <w:tcBorders>
              <w:top w:val="nil"/>
              <w:left w:val="nil"/>
              <w:bottom w:val="nil"/>
              <w:right w:val="nil"/>
            </w:tcBorders>
            <w:shd w:val="clear" w:color="auto" w:fill="B5D8F2"/>
            <w:tcMar>
              <w:top w:w="15" w:type="dxa"/>
              <w:left w:w="15" w:type="dxa"/>
              <w:bottom w:w="0" w:type="dxa"/>
              <w:right w:w="15" w:type="dxa"/>
            </w:tcMar>
            <w:vAlign w:val="center"/>
          </w:tcPr>
          <w:p w14:paraId="2B430802" w14:textId="010D07AB"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SaaS</w:t>
            </w:r>
            <w:proofErr w:type="spellEnd"/>
          </w:p>
        </w:tc>
        <w:tc>
          <w:tcPr>
            <w:tcW w:w="1253" w:type="dxa"/>
            <w:tcBorders>
              <w:top w:val="nil"/>
              <w:left w:val="nil"/>
              <w:bottom w:val="nil"/>
              <w:right w:val="nil"/>
            </w:tcBorders>
            <w:shd w:val="clear" w:color="auto" w:fill="B5D8F2"/>
            <w:tcMar>
              <w:top w:w="15" w:type="dxa"/>
              <w:left w:w="15" w:type="dxa"/>
              <w:bottom w:w="0" w:type="dxa"/>
              <w:right w:w="15" w:type="dxa"/>
            </w:tcMar>
            <w:vAlign w:val="center"/>
          </w:tcPr>
          <w:p w14:paraId="459708DF" w14:textId="3EE4E305" w:rsidR="00686C76" w:rsidRPr="00E320A6" w:rsidRDefault="00686C76" w:rsidP="3212F08F">
            <w:pPr>
              <w:spacing w:after="0" w:line="300" w:lineRule="auto"/>
              <w:rPr>
                <w:rFonts w:ascii="Verdana" w:eastAsia="Verdana" w:hAnsi="Verdana" w:cs="Verdana"/>
                <w:sz w:val="16"/>
                <w:szCs w:val="16"/>
              </w:rPr>
            </w:pPr>
            <w:proofErr w:type="spellStart"/>
            <w:r w:rsidRPr="3212F08F">
              <w:rPr>
                <w:rFonts w:ascii="Verdana" w:eastAsia="Verdana" w:hAnsi="Verdana" w:cs="Verdana"/>
                <w:sz w:val="16"/>
                <w:szCs w:val="16"/>
              </w:rPr>
              <w:t>DxBV</w:t>
            </w:r>
            <w:proofErr w:type="spellEnd"/>
          </w:p>
        </w:tc>
        <w:tc>
          <w:tcPr>
            <w:tcW w:w="1164" w:type="dxa"/>
            <w:tcBorders>
              <w:top w:val="nil"/>
              <w:left w:val="nil"/>
              <w:bottom w:val="nil"/>
              <w:right w:val="nil"/>
            </w:tcBorders>
            <w:shd w:val="clear" w:color="auto" w:fill="B5D8F2"/>
            <w:tcMar>
              <w:top w:w="15" w:type="dxa"/>
              <w:left w:w="15" w:type="dxa"/>
              <w:bottom w:w="0" w:type="dxa"/>
              <w:right w:w="15" w:type="dxa"/>
            </w:tcMar>
            <w:vAlign w:val="center"/>
          </w:tcPr>
          <w:p w14:paraId="4E3C2C2D" w14:textId="7AF42D1B" w:rsidR="00686C76" w:rsidRPr="00E320A6" w:rsidRDefault="00686C76" w:rsidP="00283DD0">
            <w:pPr>
              <w:spacing w:after="0" w:line="300" w:lineRule="auto"/>
              <w:rPr>
                <w:rFonts w:ascii="Verdana" w:eastAsia="Verdana" w:hAnsi="Verdana" w:cs="Verdana"/>
                <w:sz w:val="16"/>
                <w:szCs w:val="16"/>
              </w:rPr>
            </w:pPr>
            <w:r w:rsidRPr="00E320A6">
              <w:rPr>
                <w:rFonts w:ascii="Verdana" w:eastAsia="Verdana" w:hAnsi="Verdana" w:cs="Verdana"/>
                <w:sz w:val="16"/>
                <w:szCs w:val="16"/>
              </w:rPr>
              <w:t>Hollanda</w:t>
            </w:r>
          </w:p>
        </w:tc>
        <w:tc>
          <w:tcPr>
            <w:tcW w:w="998" w:type="dxa"/>
            <w:tcBorders>
              <w:top w:val="nil"/>
              <w:left w:val="nil"/>
              <w:bottom w:val="nil"/>
              <w:right w:val="nil"/>
            </w:tcBorders>
            <w:shd w:val="clear" w:color="auto" w:fill="B5D8F2"/>
            <w:tcMar>
              <w:top w:w="15" w:type="dxa"/>
              <w:left w:w="15" w:type="dxa"/>
              <w:bottom w:w="0" w:type="dxa"/>
              <w:right w:w="15" w:type="dxa"/>
            </w:tcMar>
            <w:vAlign w:val="center"/>
          </w:tcPr>
          <w:p w14:paraId="75779A07" w14:textId="7B648964"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%65</w:t>
            </w:r>
          </w:p>
        </w:tc>
        <w:tc>
          <w:tcPr>
            <w:tcW w:w="1154" w:type="dxa"/>
            <w:tcBorders>
              <w:top w:val="nil"/>
              <w:left w:val="nil"/>
              <w:bottom w:val="nil"/>
              <w:right w:val="nil"/>
            </w:tcBorders>
            <w:shd w:val="clear" w:color="auto" w:fill="B5D8F2"/>
            <w:tcMar>
              <w:top w:w="15" w:type="dxa"/>
              <w:left w:w="15" w:type="dxa"/>
              <w:bottom w:w="0" w:type="dxa"/>
              <w:right w:w="15" w:type="dxa"/>
            </w:tcMar>
            <w:vAlign w:val="center"/>
          </w:tcPr>
          <w:p w14:paraId="085CFD07" w14:textId="3FEAB1F0" w:rsidR="00686C76" w:rsidRPr="00E320A6" w:rsidRDefault="00686C76" w:rsidP="00283DD0">
            <w:pPr>
              <w:spacing w:after="0" w:line="300" w:lineRule="auto"/>
              <w:jc w:val="center"/>
              <w:rPr>
                <w:rFonts w:ascii="Verdana" w:eastAsia="Verdana" w:hAnsi="Verdana" w:cs="Verdana"/>
                <w:sz w:val="16"/>
                <w:szCs w:val="16"/>
              </w:rPr>
            </w:pPr>
            <w:r w:rsidRPr="00E320A6">
              <w:rPr>
                <w:rFonts w:ascii="Verdana" w:eastAsia="Verdana" w:hAnsi="Verdana" w:cs="Verdana"/>
                <w:sz w:val="16"/>
                <w:szCs w:val="16"/>
              </w:rPr>
              <w:t>39</w:t>
            </w:r>
            <w:r w:rsidR="00423874" w:rsidRPr="00E320A6">
              <w:rPr>
                <w:rFonts w:ascii="Verdana" w:eastAsia="Verdana" w:hAnsi="Verdana" w:cs="Verdana"/>
                <w:sz w:val="16"/>
                <w:szCs w:val="16"/>
              </w:rPr>
              <w:t>,0</w:t>
            </w:r>
          </w:p>
        </w:tc>
        <w:tc>
          <w:tcPr>
            <w:tcW w:w="1262" w:type="dxa"/>
            <w:tcBorders>
              <w:top w:val="nil"/>
              <w:left w:val="nil"/>
              <w:bottom w:val="nil"/>
              <w:right w:val="nil"/>
            </w:tcBorders>
            <w:shd w:val="clear" w:color="auto" w:fill="B5D8F2"/>
            <w:tcMar>
              <w:top w:w="15" w:type="dxa"/>
              <w:left w:w="15" w:type="dxa"/>
              <w:bottom w:w="0" w:type="dxa"/>
              <w:right w:w="15" w:type="dxa"/>
            </w:tcMar>
            <w:vAlign w:val="center"/>
          </w:tcPr>
          <w:p w14:paraId="72639A08" w14:textId="0DA5F6B4" w:rsidR="00686C76" w:rsidRPr="00E320A6" w:rsidRDefault="00686C76" w:rsidP="00283DD0">
            <w:pPr>
              <w:spacing w:after="0" w:line="300" w:lineRule="auto"/>
              <w:jc w:val="both"/>
              <w:rPr>
                <w:rFonts w:ascii="Verdana" w:eastAsia="Verdana" w:hAnsi="Verdana" w:cs="Verdana"/>
                <w:sz w:val="16"/>
                <w:szCs w:val="16"/>
              </w:rPr>
            </w:pPr>
            <w:r w:rsidRPr="00E320A6">
              <w:rPr>
                <w:rFonts w:ascii="Verdana" w:eastAsia="Verdana" w:hAnsi="Verdana" w:cs="Verdana"/>
                <w:sz w:val="16"/>
                <w:szCs w:val="16"/>
              </w:rPr>
              <w:t xml:space="preserve">Satın </w:t>
            </w:r>
            <w:r w:rsidR="00940D00" w:rsidRPr="00E320A6">
              <w:rPr>
                <w:rFonts w:ascii="Verdana" w:eastAsia="Verdana" w:hAnsi="Verdana" w:cs="Verdana"/>
                <w:sz w:val="16"/>
                <w:szCs w:val="16"/>
              </w:rPr>
              <w:t>Alma</w:t>
            </w:r>
          </w:p>
        </w:tc>
      </w:tr>
    </w:tbl>
    <w:p w14:paraId="469538D1" w14:textId="77777777" w:rsidR="00E35045" w:rsidRPr="00E320A6" w:rsidRDefault="00E35045" w:rsidP="00283DD0">
      <w:pPr>
        <w:spacing w:after="0" w:line="300" w:lineRule="auto"/>
        <w:jc w:val="both"/>
        <w:rPr>
          <w:rFonts w:ascii="Verdana" w:eastAsia="Verdana" w:hAnsi="Verdana" w:cs="Verdana"/>
          <w:sz w:val="20"/>
          <w:szCs w:val="20"/>
        </w:rPr>
      </w:pPr>
    </w:p>
    <w:p w14:paraId="65B187F5" w14:textId="3E629BDC" w:rsidR="00E35045" w:rsidRPr="00E320A6" w:rsidRDefault="007B579D" w:rsidP="3212F08F">
      <w:pPr>
        <w:spacing w:after="0" w:line="300" w:lineRule="auto"/>
        <w:jc w:val="both"/>
        <w:rPr>
          <w:rFonts w:ascii="Verdana" w:eastAsia="Verdana" w:hAnsi="Verdana" w:cs="Verdana"/>
          <w:sz w:val="20"/>
          <w:szCs w:val="20"/>
        </w:rPr>
      </w:pPr>
      <w:r w:rsidRPr="00290E8B">
        <w:rPr>
          <w:rFonts w:ascii="Verdana" w:eastAsia="Verdana" w:hAnsi="Verdana" w:cs="Verdana"/>
          <w:sz w:val="20"/>
          <w:szCs w:val="20"/>
        </w:rPr>
        <w:t xml:space="preserve">“Türkiye </w:t>
      </w:r>
      <w:proofErr w:type="spellStart"/>
      <w:r w:rsidRPr="00290E8B">
        <w:rPr>
          <w:rFonts w:ascii="Verdana" w:eastAsia="Verdana" w:hAnsi="Verdana" w:cs="Verdana"/>
          <w:sz w:val="20"/>
          <w:szCs w:val="20"/>
        </w:rPr>
        <w:t>Startup</w:t>
      </w:r>
      <w:proofErr w:type="spellEnd"/>
      <w:r w:rsidRPr="00290E8B">
        <w:rPr>
          <w:rFonts w:ascii="Verdana" w:eastAsia="Verdana" w:hAnsi="Verdana" w:cs="Verdana"/>
          <w:sz w:val="20"/>
          <w:szCs w:val="20"/>
        </w:rPr>
        <w:t xml:space="preserve"> Yatırımları” raporunun tamamına </w:t>
      </w:r>
      <w:hyperlink r:id="rId12" w:history="1">
        <w:r w:rsidRPr="00290E8B">
          <w:rPr>
            <w:rStyle w:val="Kpr"/>
            <w:rFonts w:ascii="Verdana" w:eastAsia="Verdana" w:hAnsi="Verdana" w:cs="Verdana"/>
            <w:sz w:val="20"/>
            <w:szCs w:val="20"/>
          </w:rPr>
          <w:t>buradan</w:t>
        </w:r>
      </w:hyperlink>
      <w:r w:rsidRPr="00290E8B">
        <w:rPr>
          <w:rFonts w:ascii="Verdana" w:eastAsia="Verdana" w:hAnsi="Verdana" w:cs="Verdana"/>
          <w:sz w:val="20"/>
          <w:szCs w:val="20"/>
        </w:rPr>
        <w:t xml:space="preserve"> ulaşabilirsiniz.</w:t>
      </w:r>
      <w:r w:rsidRPr="3212F08F">
        <w:rPr>
          <w:rFonts w:ascii="Verdana" w:eastAsia="Verdana" w:hAnsi="Verdana" w:cs="Verdana"/>
          <w:sz w:val="20"/>
          <w:szCs w:val="20"/>
        </w:rPr>
        <w:t xml:space="preserve"> </w:t>
      </w:r>
    </w:p>
    <w:p w14:paraId="56008232" w14:textId="5AD94156" w:rsidR="00D74BF4" w:rsidRPr="00E320A6" w:rsidRDefault="007B579D" w:rsidP="00431C9E">
      <w:pPr>
        <w:pBdr>
          <w:top w:val="nil"/>
          <w:left w:val="nil"/>
          <w:bottom w:val="nil"/>
          <w:right w:val="nil"/>
          <w:between w:val="nil"/>
        </w:pBdr>
        <w:spacing w:after="0" w:line="240" w:lineRule="auto"/>
        <w:jc w:val="both"/>
        <w:rPr>
          <w:rFonts w:ascii="Verdana" w:hAnsi="Verdana"/>
          <w:b/>
          <w:color w:val="000000"/>
          <w:sz w:val="16"/>
          <w:szCs w:val="16"/>
        </w:rPr>
      </w:pPr>
      <w:r w:rsidRPr="00E320A6">
        <w:rPr>
          <w:rFonts w:ascii="Verdana" w:eastAsia="Verdana" w:hAnsi="Verdana" w:cs="Verdana"/>
          <w:color w:val="000000"/>
          <w:sz w:val="18"/>
          <w:szCs w:val="18"/>
        </w:rPr>
        <w:t> </w:t>
      </w:r>
    </w:p>
    <w:p w14:paraId="7F1FDFA3" w14:textId="04193485"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b/>
          <w:color w:val="000000"/>
          <w:sz w:val="16"/>
        </w:rPr>
        <w:t xml:space="preserve">Bilgi için: </w:t>
      </w:r>
      <w:r w:rsidRPr="00283DD0">
        <w:rPr>
          <w:rFonts w:ascii="Verdana" w:hAnsi="Verdana"/>
          <w:color w:val="000000"/>
          <w:sz w:val="16"/>
        </w:rPr>
        <w:tab/>
        <w:t> </w:t>
      </w:r>
    </w:p>
    <w:p w14:paraId="04D379CA" w14:textId="77777777"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color w:val="000000"/>
          <w:sz w:val="16"/>
        </w:rPr>
        <w:t>Ceren Moral Aru </w:t>
      </w:r>
    </w:p>
    <w:p w14:paraId="3FF3DA61" w14:textId="77777777"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color w:val="000000"/>
          <w:sz w:val="16"/>
        </w:rPr>
        <w:t>0533 921 43 53 </w:t>
      </w:r>
    </w:p>
    <w:p w14:paraId="090D8439" w14:textId="77777777"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color w:val="000000"/>
          <w:sz w:val="16"/>
        </w:rPr>
        <w:t>cerenm@marjinal.com.tr </w:t>
      </w:r>
    </w:p>
    <w:p w14:paraId="66962F09" w14:textId="77777777"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color w:val="000000"/>
          <w:sz w:val="16"/>
        </w:rPr>
        <w:t> </w:t>
      </w:r>
    </w:p>
    <w:p w14:paraId="2A974C2E" w14:textId="77777777" w:rsidR="00E35045" w:rsidRPr="00283DD0" w:rsidRDefault="007B579D" w:rsidP="00283DD0">
      <w:pPr>
        <w:pBdr>
          <w:top w:val="nil"/>
          <w:left w:val="nil"/>
          <w:bottom w:val="nil"/>
          <w:right w:val="nil"/>
          <w:between w:val="nil"/>
        </w:pBdr>
        <w:spacing w:after="0" w:line="240" w:lineRule="auto"/>
        <w:jc w:val="both"/>
        <w:rPr>
          <w:rFonts w:ascii="Verdana" w:hAnsi="Verdana"/>
          <w:color w:val="000000"/>
          <w:sz w:val="16"/>
        </w:rPr>
      </w:pPr>
      <w:r w:rsidRPr="00283DD0">
        <w:rPr>
          <w:rFonts w:ascii="Verdana" w:hAnsi="Verdana"/>
          <w:b/>
          <w:color w:val="000000"/>
          <w:sz w:val="16"/>
        </w:rPr>
        <w:t>KPMG Hakkında</w:t>
      </w:r>
      <w:r w:rsidRPr="00283DD0">
        <w:rPr>
          <w:rFonts w:ascii="Verdana" w:hAnsi="Verdana"/>
          <w:color w:val="000000"/>
          <w:sz w:val="16"/>
        </w:rPr>
        <w:t> </w:t>
      </w:r>
    </w:p>
    <w:p w14:paraId="0952475F" w14:textId="2D3FA563" w:rsidR="00E35045" w:rsidRPr="00283DD0" w:rsidRDefault="007B579D" w:rsidP="3212F08F">
      <w:pPr>
        <w:pBdr>
          <w:top w:val="nil"/>
          <w:left w:val="nil"/>
          <w:bottom w:val="nil"/>
          <w:right w:val="nil"/>
          <w:between w:val="nil"/>
        </w:pBdr>
        <w:spacing w:after="0" w:line="240" w:lineRule="auto"/>
        <w:jc w:val="both"/>
        <w:rPr>
          <w:rFonts w:ascii="Verdana" w:hAnsi="Verdana"/>
          <w:color w:val="000000"/>
          <w:sz w:val="16"/>
          <w:szCs w:val="16"/>
        </w:rPr>
      </w:pPr>
      <w:r w:rsidRPr="3212F08F">
        <w:rPr>
          <w:rFonts w:ascii="Verdana" w:hAnsi="Verdana"/>
          <w:color w:val="000000" w:themeColor="text1"/>
          <w:sz w:val="16"/>
          <w:szCs w:val="16"/>
        </w:rPr>
        <w:t>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w:t>
      </w:r>
      <w:r w:rsidR="00D74BF4" w:rsidRPr="3212F08F">
        <w:rPr>
          <w:rFonts w:ascii="Verdana" w:hAnsi="Verdana"/>
          <w:color w:val="000000" w:themeColor="text1"/>
          <w:sz w:val="16"/>
          <w:szCs w:val="16"/>
        </w:rPr>
        <w:t>,</w:t>
      </w:r>
      <w:r w:rsidRPr="3212F08F">
        <w:rPr>
          <w:rFonts w:ascii="Verdana" w:hAnsi="Verdana"/>
          <w:color w:val="000000" w:themeColor="text1"/>
          <w:sz w:val="16"/>
          <w:szCs w:val="16"/>
        </w:rPr>
        <w:t xml:space="preserve"> Bursa</w:t>
      </w:r>
      <w:r w:rsidR="00D74BF4" w:rsidRPr="3212F08F">
        <w:rPr>
          <w:rFonts w:ascii="Verdana" w:hAnsi="Verdana"/>
          <w:color w:val="000000" w:themeColor="text1"/>
          <w:sz w:val="16"/>
          <w:szCs w:val="16"/>
        </w:rPr>
        <w:t xml:space="preserve"> ve Adana</w:t>
      </w:r>
      <w:r w:rsidRPr="3212F08F">
        <w:rPr>
          <w:rFonts w:ascii="Verdana" w:hAnsi="Verdana"/>
          <w:color w:val="000000" w:themeColor="text1"/>
          <w:sz w:val="16"/>
          <w:szCs w:val="16"/>
        </w:rPr>
        <w:t xml:space="preserve"> ofisleriyle, 1982 yılından beri yaklaşık 1.700 çalışanıyla her sektörden 4 binin üzerinde firmaya sektörler özelinde hizmet veriyor. 2020 yılında küresel ağın </w:t>
      </w:r>
      <w:proofErr w:type="spellStart"/>
      <w:r w:rsidRPr="3212F08F">
        <w:rPr>
          <w:rFonts w:ascii="Verdana" w:hAnsi="Verdana"/>
          <w:color w:val="000000" w:themeColor="text1"/>
          <w:sz w:val="16"/>
          <w:szCs w:val="16"/>
        </w:rPr>
        <w:t>Lighthouse</w:t>
      </w:r>
      <w:proofErr w:type="spellEnd"/>
      <w:r w:rsidRPr="3212F08F">
        <w:rPr>
          <w:rFonts w:ascii="Verdana" w:hAnsi="Verdana"/>
          <w:color w:val="000000" w:themeColor="text1"/>
          <w:sz w:val="16"/>
          <w:szCs w:val="16"/>
        </w:rPr>
        <w:t xml:space="preserve"> lisansını alarak yeni teknolojilerde dünyadaki mükemmeliyet merkezleri arasına giren KPMG Türkiye, müşterilerine değer yaratan çözümler sunuyor. Detaylı bilgi için </w:t>
      </w:r>
      <w:hyperlink r:id="rId13">
        <w:r w:rsidRPr="3212F08F">
          <w:rPr>
            <w:rFonts w:ascii="Verdana" w:hAnsi="Verdana"/>
            <w:color w:val="0563C1"/>
            <w:sz w:val="16"/>
            <w:szCs w:val="16"/>
            <w:u w:val="single"/>
          </w:rPr>
          <w:t>www.kpmg.com.tr</w:t>
        </w:r>
      </w:hyperlink>
      <w:r w:rsidRPr="3212F08F">
        <w:rPr>
          <w:rFonts w:ascii="Verdana" w:hAnsi="Verdana"/>
          <w:color w:val="000000" w:themeColor="text1"/>
          <w:sz w:val="16"/>
          <w:szCs w:val="16"/>
        </w:rPr>
        <w:t xml:space="preserve"> adresine başvurabilirsiniz.</w:t>
      </w:r>
    </w:p>
    <w:p w14:paraId="3488C601" w14:textId="77777777" w:rsidR="00E35045" w:rsidRPr="00283DD0" w:rsidRDefault="00E35045">
      <w:pPr>
        <w:pBdr>
          <w:top w:val="nil"/>
          <w:left w:val="nil"/>
          <w:bottom w:val="nil"/>
          <w:right w:val="nil"/>
          <w:between w:val="nil"/>
        </w:pBdr>
        <w:spacing w:after="0" w:line="240" w:lineRule="auto"/>
        <w:jc w:val="both"/>
        <w:rPr>
          <w:rFonts w:ascii="Verdana" w:hAnsi="Verdana"/>
          <w:b/>
          <w:color w:val="000000"/>
          <w:sz w:val="16"/>
          <w:u w:val="single"/>
        </w:rPr>
      </w:pPr>
    </w:p>
    <w:p w14:paraId="7E20DA91" w14:textId="77777777" w:rsidR="00E35045" w:rsidRPr="00283DD0" w:rsidRDefault="007B579D">
      <w:pPr>
        <w:pBdr>
          <w:top w:val="nil"/>
          <w:left w:val="nil"/>
          <w:bottom w:val="nil"/>
          <w:right w:val="nil"/>
          <w:between w:val="nil"/>
        </w:pBdr>
        <w:spacing w:after="0" w:line="240" w:lineRule="auto"/>
        <w:jc w:val="both"/>
        <w:rPr>
          <w:rFonts w:ascii="Verdana" w:hAnsi="Verdana"/>
          <w:b/>
          <w:color w:val="000000"/>
          <w:sz w:val="16"/>
          <w:u w:val="single"/>
        </w:rPr>
      </w:pPr>
      <w:r w:rsidRPr="00283DD0">
        <w:rPr>
          <w:rFonts w:ascii="Verdana" w:hAnsi="Verdana"/>
          <w:b/>
          <w:color w:val="000000"/>
          <w:sz w:val="16"/>
          <w:u w:val="single"/>
        </w:rPr>
        <w:t>212 Hakkında</w:t>
      </w:r>
    </w:p>
    <w:p w14:paraId="4D6DF472" w14:textId="77777777" w:rsidR="00E35045" w:rsidRPr="00283DD0" w:rsidRDefault="007B579D">
      <w:pPr>
        <w:spacing w:after="0"/>
        <w:jc w:val="both"/>
        <w:rPr>
          <w:rFonts w:ascii="Verdana" w:hAnsi="Verdana"/>
          <w:sz w:val="16"/>
        </w:rPr>
      </w:pPr>
      <w:r w:rsidRPr="00283DD0">
        <w:rPr>
          <w:rFonts w:ascii="Verdana" w:hAnsi="Verdana"/>
          <w:sz w:val="16"/>
        </w:rPr>
        <w:t xml:space="preserve">212, Türkiye, Orta ve Doğu Avrupa ile MENA bölgesinde, büyüme aşamasındaki teknoloji şirketlerine yatırım yapıyor. 86 milyon euro değerindeki yönetim varlığı ve toplam 28 yatırımı ile 212 ürün-pazar uyumunu yakalamış ve küresel ölçekte büyümeyi hedefleyen B2B teknoloji şirketlerine destek oluyor. Detaylı bilgiye </w:t>
      </w:r>
      <w:hyperlink r:id="rId14">
        <w:r w:rsidRPr="00283DD0">
          <w:rPr>
            <w:rFonts w:ascii="Verdana" w:hAnsi="Verdana"/>
            <w:color w:val="0563C1"/>
            <w:sz w:val="16"/>
            <w:u w:val="single"/>
          </w:rPr>
          <w:t>www.212.vc</w:t>
        </w:r>
      </w:hyperlink>
      <w:r w:rsidRPr="00283DD0">
        <w:rPr>
          <w:rFonts w:ascii="Verdana" w:hAnsi="Verdana"/>
          <w:sz w:val="16"/>
        </w:rPr>
        <w:t xml:space="preserve"> adresinden ulaşabilirsiniz.</w:t>
      </w:r>
    </w:p>
    <w:sectPr w:rsidR="00E35045" w:rsidRPr="00283DD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8830" w14:textId="77777777" w:rsidR="0059053D" w:rsidRDefault="0059053D">
      <w:pPr>
        <w:spacing w:after="0" w:line="240" w:lineRule="auto"/>
      </w:pPr>
      <w:r>
        <w:separator/>
      </w:r>
    </w:p>
  </w:endnote>
  <w:endnote w:type="continuationSeparator" w:id="0">
    <w:p w14:paraId="5BAC1D33" w14:textId="77777777" w:rsidR="0059053D" w:rsidRDefault="0059053D">
      <w:pPr>
        <w:spacing w:after="0" w:line="240" w:lineRule="auto"/>
      </w:pPr>
      <w:r>
        <w:continuationSeparator/>
      </w:r>
    </w:p>
  </w:endnote>
  <w:endnote w:type="continuationNotice" w:id="1">
    <w:p w14:paraId="2E786888" w14:textId="77777777" w:rsidR="0059053D" w:rsidRDefault="00590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3FDD" w14:textId="77777777" w:rsidR="00E35045" w:rsidRDefault="00E35045">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DEA5" w14:textId="77777777" w:rsidR="00E35045" w:rsidRDefault="00E35045">
    <w:pPr>
      <w:pBdr>
        <w:top w:val="nil"/>
        <w:left w:val="nil"/>
        <w:bottom w:val="nil"/>
        <w:right w:val="nil"/>
        <w:between w:val="nil"/>
      </w:pBdr>
      <w:tabs>
        <w:tab w:val="center" w:pos="4703"/>
        <w:tab w:val="right" w:pos="94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7379" w14:textId="77777777" w:rsidR="00E35045" w:rsidRDefault="00E35045">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D645" w14:textId="77777777" w:rsidR="0059053D" w:rsidRDefault="0059053D">
      <w:pPr>
        <w:spacing w:after="0" w:line="240" w:lineRule="auto"/>
      </w:pPr>
      <w:r>
        <w:separator/>
      </w:r>
    </w:p>
  </w:footnote>
  <w:footnote w:type="continuationSeparator" w:id="0">
    <w:p w14:paraId="46EF6825" w14:textId="77777777" w:rsidR="0059053D" w:rsidRDefault="0059053D">
      <w:pPr>
        <w:spacing w:after="0" w:line="240" w:lineRule="auto"/>
      </w:pPr>
      <w:r>
        <w:continuationSeparator/>
      </w:r>
    </w:p>
  </w:footnote>
  <w:footnote w:type="continuationNotice" w:id="1">
    <w:p w14:paraId="37DAD9EE" w14:textId="77777777" w:rsidR="0059053D" w:rsidRDefault="00590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EF5B" w14:textId="77777777" w:rsidR="00E35045" w:rsidRDefault="00E35045">
    <w:pPr>
      <w:pBdr>
        <w:top w:val="nil"/>
        <w:left w:val="nil"/>
        <w:bottom w:val="nil"/>
        <w:right w:val="nil"/>
        <w:between w:val="nil"/>
      </w:pBdr>
      <w:tabs>
        <w:tab w:val="center" w:pos="4703"/>
        <w:tab w:val="right" w:pos="94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8C35" w14:textId="44432D9F" w:rsidR="00E35045" w:rsidRDefault="007B579D">
    <w:pPr>
      <w:pBdr>
        <w:top w:val="nil"/>
        <w:left w:val="nil"/>
        <w:bottom w:val="nil"/>
        <w:right w:val="nil"/>
        <w:between w:val="nil"/>
      </w:pBdr>
      <w:tabs>
        <w:tab w:val="center" w:pos="4703"/>
        <w:tab w:val="right" w:pos="9406"/>
      </w:tabs>
      <w:spacing w:after="0" w:line="240" w:lineRule="auto"/>
      <w:rPr>
        <w:color w:val="000000"/>
      </w:rPr>
    </w:pPr>
    <w:r>
      <w:rPr>
        <w:noProof/>
      </w:rPr>
      <w:drawing>
        <wp:anchor distT="0" distB="0" distL="114300" distR="114300" simplePos="0" relativeHeight="251658240" behindDoc="0" locked="0" layoutInCell="1" hidden="0" allowOverlap="1" wp14:anchorId="25E4296D" wp14:editId="3D15F3EB">
          <wp:simplePos x="0" y="0"/>
          <wp:positionH relativeFrom="column">
            <wp:posOffset>-158748</wp:posOffset>
          </wp:positionH>
          <wp:positionV relativeFrom="paragraph">
            <wp:posOffset>-248282</wp:posOffset>
          </wp:positionV>
          <wp:extent cx="1057275" cy="44450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8" b="20467"/>
                  <a:stretch>
                    <a:fillRect/>
                  </a:stretch>
                </pic:blipFill>
                <pic:spPr>
                  <a:xfrm>
                    <a:off x="0" y="0"/>
                    <a:ext cx="1057275" cy="444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1ACE" w14:textId="77777777" w:rsidR="00E35045" w:rsidRDefault="00E35045">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4FA"/>
    <w:multiLevelType w:val="singleLevel"/>
    <w:tmpl w:val="1B5ACFA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9662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45"/>
    <w:rsid w:val="00011F6A"/>
    <w:rsid w:val="00015966"/>
    <w:rsid w:val="00027B93"/>
    <w:rsid w:val="00057267"/>
    <w:rsid w:val="0006125E"/>
    <w:rsid w:val="000718EB"/>
    <w:rsid w:val="0007582C"/>
    <w:rsid w:val="00091F9F"/>
    <w:rsid w:val="000934C8"/>
    <w:rsid w:val="000D101C"/>
    <w:rsid w:val="000F181B"/>
    <w:rsid w:val="001006FF"/>
    <w:rsid w:val="0010084E"/>
    <w:rsid w:val="00105B7A"/>
    <w:rsid w:val="00124A80"/>
    <w:rsid w:val="00141A14"/>
    <w:rsid w:val="001425CA"/>
    <w:rsid w:val="00151DDC"/>
    <w:rsid w:val="00164097"/>
    <w:rsid w:val="001756DE"/>
    <w:rsid w:val="00177BF4"/>
    <w:rsid w:val="001956B4"/>
    <w:rsid w:val="001A3C6D"/>
    <w:rsid w:val="001B19E4"/>
    <w:rsid w:val="001B5362"/>
    <w:rsid w:val="001C1F75"/>
    <w:rsid w:val="001D08AA"/>
    <w:rsid w:val="001D3BD6"/>
    <w:rsid w:val="001E35CC"/>
    <w:rsid w:val="002524C8"/>
    <w:rsid w:val="00255B80"/>
    <w:rsid w:val="0027785B"/>
    <w:rsid w:val="00283DD0"/>
    <w:rsid w:val="00290E8B"/>
    <w:rsid w:val="002D08B4"/>
    <w:rsid w:val="002D7806"/>
    <w:rsid w:val="002E44E7"/>
    <w:rsid w:val="003046E9"/>
    <w:rsid w:val="00325094"/>
    <w:rsid w:val="00334925"/>
    <w:rsid w:val="003370DC"/>
    <w:rsid w:val="00352E74"/>
    <w:rsid w:val="00365133"/>
    <w:rsid w:val="00366662"/>
    <w:rsid w:val="003A0E99"/>
    <w:rsid w:val="003B174B"/>
    <w:rsid w:val="00400E1A"/>
    <w:rsid w:val="00422E8E"/>
    <w:rsid w:val="004234B1"/>
    <w:rsid w:val="00423874"/>
    <w:rsid w:val="00431C9E"/>
    <w:rsid w:val="00434738"/>
    <w:rsid w:val="00445125"/>
    <w:rsid w:val="00484A22"/>
    <w:rsid w:val="004B36FB"/>
    <w:rsid w:val="004E785A"/>
    <w:rsid w:val="004F0189"/>
    <w:rsid w:val="004F5EEE"/>
    <w:rsid w:val="00512278"/>
    <w:rsid w:val="0054671F"/>
    <w:rsid w:val="00551EA7"/>
    <w:rsid w:val="005806D1"/>
    <w:rsid w:val="00581F17"/>
    <w:rsid w:val="0059053D"/>
    <w:rsid w:val="005F006A"/>
    <w:rsid w:val="005F0D30"/>
    <w:rsid w:val="0060126D"/>
    <w:rsid w:val="00624F9D"/>
    <w:rsid w:val="006252E1"/>
    <w:rsid w:val="006636EC"/>
    <w:rsid w:val="00670658"/>
    <w:rsid w:val="00686C76"/>
    <w:rsid w:val="00690D2F"/>
    <w:rsid w:val="006D0719"/>
    <w:rsid w:val="006D4D4B"/>
    <w:rsid w:val="00731880"/>
    <w:rsid w:val="00751A77"/>
    <w:rsid w:val="007830FE"/>
    <w:rsid w:val="00786C05"/>
    <w:rsid w:val="00786C2D"/>
    <w:rsid w:val="007B002F"/>
    <w:rsid w:val="007B579D"/>
    <w:rsid w:val="007C017F"/>
    <w:rsid w:val="007E5818"/>
    <w:rsid w:val="00844073"/>
    <w:rsid w:val="00856D02"/>
    <w:rsid w:val="0086067F"/>
    <w:rsid w:val="008644C0"/>
    <w:rsid w:val="0086586E"/>
    <w:rsid w:val="00885198"/>
    <w:rsid w:val="008B4604"/>
    <w:rsid w:val="008B545E"/>
    <w:rsid w:val="008C4BC4"/>
    <w:rsid w:val="0090013D"/>
    <w:rsid w:val="00911D2E"/>
    <w:rsid w:val="00932F0B"/>
    <w:rsid w:val="00940D00"/>
    <w:rsid w:val="009578A8"/>
    <w:rsid w:val="009A5D25"/>
    <w:rsid w:val="009A7A3D"/>
    <w:rsid w:val="009C56C2"/>
    <w:rsid w:val="009F713B"/>
    <w:rsid w:val="00A00C8E"/>
    <w:rsid w:val="00A059FD"/>
    <w:rsid w:val="00A102E0"/>
    <w:rsid w:val="00A82AE6"/>
    <w:rsid w:val="00A8503B"/>
    <w:rsid w:val="00A86D97"/>
    <w:rsid w:val="00AB6943"/>
    <w:rsid w:val="00AE2FE3"/>
    <w:rsid w:val="00B179AB"/>
    <w:rsid w:val="00B43FFB"/>
    <w:rsid w:val="00B53E72"/>
    <w:rsid w:val="00B56AED"/>
    <w:rsid w:val="00B80A92"/>
    <w:rsid w:val="00B866F5"/>
    <w:rsid w:val="00B8754F"/>
    <w:rsid w:val="00B9738A"/>
    <w:rsid w:val="00BA24C8"/>
    <w:rsid w:val="00BD1173"/>
    <w:rsid w:val="00BE2D7B"/>
    <w:rsid w:val="00C032B8"/>
    <w:rsid w:val="00C457DD"/>
    <w:rsid w:val="00C72E32"/>
    <w:rsid w:val="00CA6267"/>
    <w:rsid w:val="00CE6D57"/>
    <w:rsid w:val="00D34696"/>
    <w:rsid w:val="00D46BDE"/>
    <w:rsid w:val="00D556AD"/>
    <w:rsid w:val="00D57299"/>
    <w:rsid w:val="00D57A40"/>
    <w:rsid w:val="00D633E1"/>
    <w:rsid w:val="00D74BF4"/>
    <w:rsid w:val="00D8190A"/>
    <w:rsid w:val="00D824F6"/>
    <w:rsid w:val="00DA6F0B"/>
    <w:rsid w:val="00DD7059"/>
    <w:rsid w:val="00DE041B"/>
    <w:rsid w:val="00E05C08"/>
    <w:rsid w:val="00E320A6"/>
    <w:rsid w:val="00E35045"/>
    <w:rsid w:val="00E5663D"/>
    <w:rsid w:val="00E61E09"/>
    <w:rsid w:val="00E62CA7"/>
    <w:rsid w:val="00E6300B"/>
    <w:rsid w:val="00E65FED"/>
    <w:rsid w:val="00E87CC8"/>
    <w:rsid w:val="00EA4CEF"/>
    <w:rsid w:val="00EB58D0"/>
    <w:rsid w:val="00EE4215"/>
    <w:rsid w:val="00EE631C"/>
    <w:rsid w:val="00F123A4"/>
    <w:rsid w:val="00F55E4D"/>
    <w:rsid w:val="00F74387"/>
    <w:rsid w:val="00FF1241"/>
    <w:rsid w:val="011FFDED"/>
    <w:rsid w:val="0190E225"/>
    <w:rsid w:val="1AC48980"/>
    <w:rsid w:val="3212F08F"/>
    <w:rsid w:val="45D88EFD"/>
    <w:rsid w:val="55322158"/>
    <w:rsid w:val="60AB9C8F"/>
    <w:rsid w:val="68AD8E7B"/>
    <w:rsid w:val="6961B48B"/>
    <w:rsid w:val="70BC5CAE"/>
  </w:rsids>
  <m:mathPr>
    <m:mathFont m:val="Cambria Math"/>
    <m:brkBin m:val="before"/>
    <m:brkBinSub m:val="--"/>
    <m:smallFrac m:val="0"/>
    <m:dispDef/>
    <m:lMargin m:val="0"/>
    <m:rMargin m:val="0"/>
    <m:defJc m:val="centerGroup"/>
    <m:wrapIndent m:val="1440"/>
    <m:intLim m:val="subSup"/>
    <m:naryLim m:val="undOvr"/>
  </m:mathPr>
  <w:themeFontLang w:val="tr-TR"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C444"/>
  <w15:docId w15:val="{366D5783-D345-47D4-927C-BB449F60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link w:val="Balk2Char"/>
    <w:uiPriority w:val="9"/>
    <w:semiHidden/>
    <w:unhideWhenUsed/>
    <w:qFormat/>
    <w:rsid w:val="00202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unhideWhenUsed/>
    <w:rsid w:val="00CC0210"/>
    <w:pPr>
      <w:spacing w:line="240" w:lineRule="auto"/>
    </w:pPr>
    <w:rPr>
      <w:sz w:val="20"/>
      <w:szCs w:val="20"/>
    </w:rPr>
  </w:style>
  <w:style w:type="character" w:customStyle="1" w:styleId="AklamaMetniChar">
    <w:name w:val="Açıklama Metni Char"/>
    <w:basedOn w:val="VarsaylanParagrafYazTipi"/>
    <w:link w:val="AklamaMetni"/>
    <w:uiPriority w:val="99"/>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table" w:styleId="TabloKlavuzu">
    <w:name w:val="Table Grid"/>
    <w:basedOn w:val="NormalTablo"/>
    <w:uiPriority w:val="39"/>
    <w:rsid w:val="008F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202FA3"/>
    <w:rPr>
      <w:rFonts w:asciiTheme="majorHAnsi" w:eastAsiaTheme="majorEastAsia" w:hAnsiTheme="majorHAnsi" w:cstheme="majorBidi"/>
      <w:color w:val="2F5496" w:themeColor="accent1" w:themeShade="BF"/>
      <w:sz w:val="26"/>
      <w:szCs w:val="26"/>
    </w:rPr>
  </w:style>
  <w:style w:type="character" w:styleId="zlenenKpr">
    <w:name w:val="FollowedHyperlink"/>
    <w:basedOn w:val="VarsaylanParagrafYazTipi"/>
    <w:uiPriority w:val="99"/>
    <w:semiHidden/>
    <w:unhideWhenUsed/>
    <w:rsid w:val="00202FA3"/>
    <w:rPr>
      <w:color w:val="954F72" w:themeColor="followedHyperlink"/>
      <w:u w:val="single"/>
    </w:rPr>
  </w:style>
  <w:style w:type="character" w:customStyle="1" w:styleId="gmail-apple-converted-space">
    <w:name w:val="gmail-apple-converted-space"/>
    <w:basedOn w:val="VarsaylanParagrafYazTipi"/>
    <w:rsid w:val="00FA7968"/>
  </w:style>
  <w:style w:type="character" w:customStyle="1" w:styleId="ui-provider">
    <w:name w:val="ui-provider"/>
    <w:basedOn w:val="VarsaylanParagrafYazTipi"/>
    <w:rsid w:val="00496C5C"/>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0" w:type="dxa"/>
        <w:right w:w="0" w:type="dxa"/>
      </w:tblCellMar>
    </w:tblPr>
  </w:style>
  <w:style w:type="paragraph" w:styleId="NormalWeb">
    <w:name w:val="Normal (Web)"/>
    <w:basedOn w:val="Normal"/>
    <w:uiPriority w:val="99"/>
    <w:unhideWhenUsed/>
    <w:rsid w:val="00BE2D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NormalTablo"/>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41755">
      <w:bodyDiv w:val="1"/>
      <w:marLeft w:val="0"/>
      <w:marRight w:val="0"/>
      <w:marTop w:val="0"/>
      <w:marBottom w:val="0"/>
      <w:divBdr>
        <w:top w:val="none" w:sz="0" w:space="0" w:color="auto"/>
        <w:left w:val="none" w:sz="0" w:space="0" w:color="auto"/>
        <w:bottom w:val="none" w:sz="0" w:space="0" w:color="auto"/>
        <w:right w:val="none" w:sz="0" w:space="0" w:color="auto"/>
      </w:divBdr>
    </w:div>
    <w:div w:id="694883687">
      <w:bodyDiv w:val="1"/>
      <w:marLeft w:val="0"/>
      <w:marRight w:val="0"/>
      <w:marTop w:val="0"/>
      <w:marBottom w:val="0"/>
      <w:divBdr>
        <w:top w:val="none" w:sz="0" w:space="0" w:color="auto"/>
        <w:left w:val="none" w:sz="0" w:space="0" w:color="auto"/>
        <w:bottom w:val="none" w:sz="0" w:space="0" w:color="auto"/>
        <w:right w:val="none" w:sz="0" w:space="0" w:color="auto"/>
      </w:divBdr>
    </w:div>
    <w:div w:id="706761782">
      <w:bodyDiv w:val="1"/>
      <w:marLeft w:val="0"/>
      <w:marRight w:val="0"/>
      <w:marTop w:val="0"/>
      <w:marBottom w:val="0"/>
      <w:divBdr>
        <w:top w:val="none" w:sz="0" w:space="0" w:color="auto"/>
        <w:left w:val="none" w:sz="0" w:space="0" w:color="auto"/>
        <w:bottom w:val="none" w:sz="0" w:space="0" w:color="auto"/>
        <w:right w:val="none" w:sz="0" w:space="0" w:color="auto"/>
      </w:divBdr>
    </w:div>
    <w:div w:id="1519201814">
      <w:bodyDiv w:val="1"/>
      <w:marLeft w:val="0"/>
      <w:marRight w:val="0"/>
      <w:marTop w:val="0"/>
      <w:marBottom w:val="0"/>
      <w:divBdr>
        <w:top w:val="none" w:sz="0" w:space="0" w:color="auto"/>
        <w:left w:val="none" w:sz="0" w:space="0" w:color="auto"/>
        <w:bottom w:val="none" w:sz="0" w:space="0" w:color="auto"/>
        <w:right w:val="none" w:sz="0" w:space="0" w:color="auto"/>
      </w:divBdr>
    </w:div>
    <w:div w:id="1632443141">
      <w:bodyDiv w:val="1"/>
      <w:marLeft w:val="0"/>
      <w:marRight w:val="0"/>
      <w:marTop w:val="0"/>
      <w:marBottom w:val="0"/>
      <w:divBdr>
        <w:top w:val="none" w:sz="0" w:space="0" w:color="auto"/>
        <w:left w:val="none" w:sz="0" w:space="0" w:color="auto"/>
        <w:bottom w:val="none" w:sz="0" w:space="0" w:color="auto"/>
        <w:right w:val="none" w:sz="0" w:space="0" w:color="auto"/>
      </w:divBdr>
    </w:div>
    <w:div w:id="1754281704">
      <w:bodyDiv w:val="1"/>
      <w:marLeft w:val="0"/>
      <w:marRight w:val="0"/>
      <w:marTop w:val="0"/>
      <w:marBottom w:val="0"/>
      <w:divBdr>
        <w:top w:val="none" w:sz="0" w:space="0" w:color="auto"/>
        <w:left w:val="none" w:sz="0" w:space="0" w:color="auto"/>
        <w:bottom w:val="none" w:sz="0" w:space="0" w:color="auto"/>
        <w:right w:val="none" w:sz="0" w:space="0" w:color="auto"/>
      </w:divBdr>
    </w:div>
    <w:div w:id="2065830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pmg.com.t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kpmg.com/tr/tr/home/insights/2025/02/kpmg_turkiye_startup_yatirimlari_20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12.v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vG0KOedbZiNhAGVJlG7ILyAOg==">CgMxLjA4AHIhMWQyZmc5bHFvZkxjaFBsTnRqbFNsOGR0cURlRG81UkI0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a5f7e4-2986-46c3-893f-0e0d1047cb81" xsi:nil="true"/>
    <Tarih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b4i6 xmlns="a6a5f7e4-2986-46c3-893f-0e0d1047cb81" xsi:nil="true"/>
    <_x0068_ms1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B281A-107E-4396-894C-83401C56D6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FAB0A3-A02F-4ECC-8AE9-4710F63A0B0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03D10BE2-9CF6-4CA4-8688-5A17A570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9021C-D138-4F89-88E3-937CF81360E8}">
  <ds:schemaRefs>
    <ds:schemaRef ds:uri="http://schemas.microsoft.com/sharepoint/v3/contenttype/forms"/>
  </ds:schemaRefs>
</ds:datastoreItem>
</file>

<file path=docMetadata/LabelInfo.xml><?xml version="1.0" encoding="utf-8"?>
<clbl:labelList xmlns:clbl="http://schemas.microsoft.com/office/2020/mipLabelMetadata">
  <clbl:label id="{4ed8881d-4062-46d6-b0ca-1cc939420954}"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4</Pages>
  <Words>1703</Words>
  <Characters>9709</Characters>
  <Application>Microsoft Office Word</Application>
  <DocSecurity>0</DocSecurity>
  <Lines>80</Lines>
  <Paragraphs>22</Paragraphs>
  <ScaleCrop>false</ScaleCrop>
  <Company>KPMG</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Balci, Berra</dc:creator>
  <cp:lastModifiedBy>Ceren Moral</cp:lastModifiedBy>
  <cp:revision>7</cp:revision>
  <dcterms:created xsi:type="dcterms:W3CDTF">2025-02-20T08:41:00Z</dcterms:created>
  <dcterms:modified xsi:type="dcterms:W3CDTF">2025-02-20T11:15:00Z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