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977A8" w14:textId="77777777" w:rsidR="00027B4A" w:rsidRPr="00FD224A" w:rsidRDefault="00027B4A" w:rsidP="00027B4A">
      <w:pPr>
        <w:spacing w:after="0" w:line="240" w:lineRule="auto"/>
        <w:rPr>
          <w:rFonts w:ascii="Tahoma" w:eastAsia="Tahoma" w:hAnsi="Tahoma" w:cs="Tahoma"/>
          <w:b/>
          <w:sz w:val="24"/>
          <w:szCs w:val="24"/>
          <w:u w:val="single"/>
          <w:lang w:val="tr-TR" w:eastAsia="tr-TR"/>
        </w:rPr>
      </w:pPr>
      <w:r w:rsidRPr="00FD224A">
        <w:rPr>
          <w:rFonts w:ascii="Times New Roman" w:eastAsia="Times New Roman" w:hAnsi="Times New Roman" w:cs="Times New Roman"/>
          <w:noProof/>
          <w:sz w:val="24"/>
          <w:szCs w:val="24"/>
          <w:lang w:val="tr-TR" w:eastAsia="tr-TR"/>
        </w:rPr>
        <w:drawing>
          <wp:anchor distT="0" distB="0" distL="114300" distR="114300" simplePos="0" relativeHeight="251659264" behindDoc="0" locked="0" layoutInCell="1" hidden="0" allowOverlap="1" wp14:anchorId="3924EA7F" wp14:editId="5DCF2E3C">
            <wp:simplePos x="0" y="0"/>
            <wp:positionH relativeFrom="column">
              <wp:posOffset>-127635</wp:posOffset>
            </wp:positionH>
            <wp:positionV relativeFrom="paragraph">
              <wp:posOffset>-7620</wp:posOffset>
            </wp:positionV>
            <wp:extent cx="1057275" cy="4445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t="22089" b="20467"/>
                    <a:stretch>
                      <a:fillRect/>
                    </a:stretch>
                  </pic:blipFill>
                  <pic:spPr>
                    <a:xfrm>
                      <a:off x="0" y="0"/>
                      <a:ext cx="1057275" cy="444500"/>
                    </a:xfrm>
                    <a:prstGeom prst="rect">
                      <a:avLst/>
                    </a:prstGeom>
                    <a:ln/>
                  </pic:spPr>
                </pic:pic>
              </a:graphicData>
            </a:graphic>
          </wp:anchor>
        </w:drawing>
      </w:r>
    </w:p>
    <w:p w14:paraId="4B702612" w14:textId="77777777" w:rsidR="00027B4A" w:rsidRPr="00FD224A" w:rsidRDefault="00027B4A" w:rsidP="00027B4A">
      <w:pPr>
        <w:spacing w:after="0" w:line="240" w:lineRule="auto"/>
        <w:rPr>
          <w:rFonts w:ascii="Tahoma" w:eastAsia="Tahoma" w:hAnsi="Tahoma" w:cs="Tahoma"/>
          <w:b/>
          <w:sz w:val="24"/>
          <w:szCs w:val="24"/>
          <w:u w:val="single"/>
          <w:lang w:val="tr-TR" w:eastAsia="tr-TR"/>
        </w:rPr>
      </w:pPr>
    </w:p>
    <w:p w14:paraId="21EF7288" w14:textId="77777777" w:rsidR="00027B4A" w:rsidRPr="00FD224A" w:rsidRDefault="00027B4A" w:rsidP="00027B4A">
      <w:pPr>
        <w:spacing w:after="0" w:line="240" w:lineRule="auto"/>
        <w:rPr>
          <w:rFonts w:ascii="Tahoma" w:eastAsia="Tahoma" w:hAnsi="Tahoma" w:cs="Tahoma"/>
          <w:b/>
          <w:sz w:val="24"/>
          <w:szCs w:val="24"/>
          <w:u w:val="single"/>
          <w:lang w:val="tr-TR" w:eastAsia="tr-TR"/>
        </w:rPr>
      </w:pPr>
    </w:p>
    <w:p w14:paraId="7A0981BA" w14:textId="1E0003CE" w:rsidR="00027B4A" w:rsidRPr="00FD224A" w:rsidRDefault="00027B4A" w:rsidP="00027B4A">
      <w:pPr>
        <w:spacing w:after="0" w:line="240" w:lineRule="auto"/>
        <w:rPr>
          <w:rFonts w:ascii="Tahoma" w:eastAsia="Tahoma" w:hAnsi="Tahoma" w:cs="Tahoma"/>
          <w:b/>
          <w:szCs w:val="24"/>
          <w:u w:val="single"/>
          <w:lang w:val="tr-TR" w:eastAsia="tr-TR"/>
        </w:rPr>
      </w:pPr>
      <w:r w:rsidRPr="00FD224A">
        <w:rPr>
          <w:rFonts w:ascii="Tahoma" w:eastAsia="Tahoma" w:hAnsi="Tahoma" w:cs="Tahoma"/>
          <w:b/>
          <w:szCs w:val="24"/>
          <w:u w:val="single"/>
          <w:lang w:val="tr-TR" w:eastAsia="tr-TR"/>
        </w:rPr>
        <w:t>BASIN BÜLTENİ</w:t>
      </w:r>
      <w:r w:rsidRPr="00FD224A">
        <w:rPr>
          <w:rFonts w:ascii="Tahoma" w:eastAsia="Tahoma" w:hAnsi="Tahoma" w:cs="Tahoma"/>
          <w:b/>
          <w:szCs w:val="24"/>
          <w:u w:val="single"/>
          <w:lang w:val="tr-TR" w:eastAsia="tr-TR"/>
        </w:rPr>
        <w:tab/>
      </w:r>
      <w:r w:rsidRPr="00FD224A">
        <w:rPr>
          <w:rFonts w:ascii="Tahoma" w:eastAsia="Tahoma" w:hAnsi="Tahoma" w:cs="Tahoma"/>
          <w:b/>
          <w:szCs w:val="24"/>
          <w:u w:val="single"/>
          <w:lang w:val="tr-TR" w:eastAsia="tr-TR"/>
        </w:rPr>
        <w:tab/>
      </w:r>
      <w:r w:rsidRPr="00FD224A">
        <w:rPr>
          <w:rFonts w:ascii="Tahoma" w:eastAsia="Tahoma" w:hAnsi="Tahoma" w:cs="Tahoma"/>
          <w:b/>
          <w:szCs w:val="24"/>
          <w:u w:val="single"/>
          <w:lang w:val="tr-TR" w:eastAsia="tr-TR"/>
        </w:rPr>
        <w:tab/>
      </w:r>
      <w:r w:rsidRPr="00FD224A">
        <w:rPr>
          <w:rFonts w:ascii="Tahoma" w:eastAsia="Tahoma" w:hAnsi="Tahoma" w:cs="Tahoma"/>
          <w:b/>
          <w:szCs w:val="24"/>
          <w:u w:val="single"/>
          <w:lang w:val="tr-TR" w:eastAsia="tr-TR"/>
        </w:rPr>
        <w:tab/>
      </w:r>
      <w:r w:rsidRPr="00FD224A">
        <w:rPr>
          <w:rFonts w:ascii="Tahoma" w:eastAsia="Tahoma" w:hAnsi="Tahoma" w:cs="Tahoma"/>
          <w:b/>
          <w:szCs w:val="24"/>
          <w:u w:val="single"/>
          <w:lang w:val="tr-TR" w:eastAsia="tr-TR"/>
        </w:rPr>
        <w:tab/>
      </w:r>
      <w:r w:rsidRPr="00FD224A">
        <w:rPr>
          <w:rFonts w:ascii="Tahoma" w:eastAsia="Tahoma" w:hAnsi="Tahoma" w:cs="Tahoma"/>
          <w:b/>
          <w:szCs w:val="24"/>
          <w:u w:val="single"/>
          <w:lang w:val="tr-TR" w:eastAsia="tr-TR"/>
        </w:rPr>
        <w:tab/>
      </w:r>
      <w:r w:rsidRPr="00FD224A">
        <w:rPr>
          <w:rFonts w:ascii="Tahoma" w:eastAsia="Tahoma" w:hAnsi="Tahoma" w:cs="Tahoma"/>
          <w:b/>
          <w:szCs w:val="24"/>
          <w:u w:val="single"/>
          <w:lang w:val="tr-TR" w:eastAsia="tr-TR"/>
        </w:rPr>
        <w:tab/>
        <w:t xml:space="preserve">     </w:t>
      </w:r>
      <w:r w:rsidR="00FD224A">
        <w:rPr>
          <w:rFonts w:ascii="Tahoma" w:eastAsia="Tahoma" w:hAnsi="Tahoma" w:cs="Tahoma"/>
          <w:b/>
          <w:szCs w:val="24"/>
          <w:u w:val="single"/>
          <w:lang w:val="tr-TR" w:eastAsia="tr-TR"/>
        </w:rPr>
        <w:t xml:space="preserve">          </w:t>
      </w:r>
      <w:r w:rsidRPr="00FD224A">
        <w:rPr>
          <w:rFonts w:ascii="Tahoma" w:eastAsia="Tahoma" w:hAnsi="Tahoma" w:cs="Tahoma"/>
          <w:b/>
          <w:szCs w:val="24"/>
          <w:u w:val="single"/>
          <w:lang w:val="tr-TR" w:eastAsia="tr-TR"/>
        </w:rPr>
        <w:t>21 Aralık 2022</w:t>
      </w:r>
    </w:p>
    <w:p w14:paraId="59C2B0DC" w14:textId="77777777" w:rsidR="00027B4A" w:rsidRPr="00FD224A" w:rsidRDefault="00027B4A" w:rsidP="00027B4A">
      <w:pPr>
        <w:spacing w:after="0" w:line="240" w:lineRule="auto"/>
        <w:jc w:val="right"/>
        <w:rPr>
          <w:rFonts w:ascii="Tahoma" w:eastAsia="Times New Roman" w:hAnsi="Tahoma" w:cs="Calibri"/>
          <w:bCs/>
          <w:sz w:val="26"/>
          <w:szCs w:val="26"/>
          <w:lang w:val="tr-TR" w:eastAsia="tr-TR"/>
        </w:rPr>
      </w:pPr>
    </w:p>
    <w:p w14:paraId="1D07BE2B" w14:textId="77777777" w:rsidR="00027B4A" w:rsidRPr="00FD224A" w:rsidRDefault="00027B4A" w:rsidP="00027B4A">
      <w:pPr>
        <w:spacing w:after="0" w:line="240" w:lineRule="auto"/>
        <w:rPr>
          <w:rFonts w:ascii="Tahoma" w:eastAsia="Times New Roman" w:hAnsi="Tahoma" w:cs="Calibri"/>
          <w:bCs/>
          <w:sz w:val="26"/>
          <w:szCs w:val="26"/>
          <w:u w:val="single"/>
          <w:lang w:val="tr-TR" w:eastAsia="tr-TR"/>
        </w:rPr>
      </w:pPr>
    </w:p>
    <w:p w14:paraId="4D172DB8" w14:textId="019EBDEC" w:rsidR="00027B4A" w:rsidRPr="00FD224A" w:rsidRDefault="00027B4A" w:rsidP="00027B4A">
      <w:pPr>
        <w:spacing w:after="0" w:line="240" w:lineRule="auto"/>
        <w:jc w:val="center"/>
        <w:rPr>
          <w:rFonts w:ascii="Tahoma" w:eastAsia="Times New Roman" w:hAnsi="Tahoma" w:cs="Arial"/>
          <w:sz w:val="36"/>
          <w:szCs w:val="24"/>
          <w:lang w:val="tr-TR" w:eastAsia="tr-TR"/>
        </w:rPr>
      </w:pPr>
      <w:r w:rsidRPr="00FD224A">
        <w:rPr>
          <w:rFonts w:ascii="Tahoma" w:eastAsia="Times New Roman" w:hAnsi="Tahoma" w:cs="Calibri"/>
          <w:bCs/>
          <w:sz w:val="24"/>
          <w:szCs w:val="26"/>
          <w:lang w:val="tr-TR" w:eastAsia="tr-TR"/>
        </w:rPr>
        <w:t xml:space="preserve">KPMG </w:t>
      </w:r>
      <w:bookmarkStart w:id="0" w:name="_Hlk60597856"/>
      <w:r w:rsidRPr="00FD224A">
        <w:rPr>
          <w:rFonts w:ascii="Tahoma" w:eastAsia="Times New Roman" w:hAnsi="Tahoma" w:cs="Calibri"/>
          <w:bCs/>
          <w:sz w:val="24"/>
          <w:szCs w:val="26"/>
          <w:lang w:val="tr-TR" w:eastAsia="tr-TR"/>
        </w:rPr>
        <w:t>Türkiye</w:t>
      </w:r>
      <w:r w:rsidR="00FD224A">
        <w:rPr>
          <w:rFonts w:ascii="Tahoma" w:eastAsia="Times New Roman" w:hAnsi="Tahoma" w:cs="Calibri"/>
          <w:bCs/>
          <w:sz w:val="24"/>
          <w:szCs w:val="26"/>
          <w:lang w:val="tr-TR" w:eastAsia="tr-TR"/>
        </w:rPr>
        <w:t>,</w:t>
      </w:r>
      <w:r w:rsidRPr="00FD224A">
        <w:rPr>
          <w:rFonts w:ascii="Tahoma" w:eastAsia="Times New Roman" w:hAnsi="Tahoma" w:cs="Calibri"/>
          <w:bCs/>
          <w:sz w:val="24"/>
          <w:szCs w:val="26"/>
          <w:lang w:val="tr-TR" w:eastAsia="tr-TR"/>
        </w:rPr>
        <w:t xml:space="preserve"> </w:t>
      </w:r>
      <w:bookmarkEnd w:id="0"/>
      <w:r w:rsidRPr="00FD224A">
        <w:rPr>
          <w:rFonts w:ascii="Tahoma" w:eastAsia="Times New Roman" w:hAnsi="Tahoma" w:cs="Calibri"/>
          <w:bCs/>
          <w:sz w:val="24"/>
          <w:szCs w:val="26"/>
          <w:lang w:val="tr-TR" w:eastAsia="tr-TR"/>
        </w:rPr>
        <w:t>“KPMG Perspektifinden Birleşme ve Satın Alma Trendleri 2022” raporunu açıkladı</w:t>
      </w:r>
    </w:p>
    <w:p w14:paraId="0D41CB3B" w14:textId="77777777" w:rsidR="00027B4A" w:rsidRPr="00FD224A" w:rsidRDefault="00027B4A" w:rsidP="00027B4A">
      <w:pPr>
        <w:spacing w:after="0" w:line="240" w:lineRule="auto"/>
        <w:rPr>
          <w:rFonts w:ascii="Tahoma" w:eastAsia="Times New Roman" w:hAnsi="Tahoma" w:cs="Calibri"/>
          <w:bCs/>
          <w:i/>
          <w:sz w:val="24"/>
          <w:szCs w:val="24"/>
          <w:lang w:val="tr-TR" w:eastAsia="tr-TR"/>
        </w:rPr>
      </w:pPr>
    </w:p>
    <w:p w14:paraId="301E52AD" w14:textId="518BF536" w:rsidR="00027B4A" w:rsidRPr="00FD224A" w:rsidRDefault="00027B4A" w:rsidP="00027B4A">
      <w:pPr>
        <w:spacing w:after="0" w:line="240" w:lineRule="auto"/>
        <w:jc w:val="center"/>
        <w:rPr>
          <w:rFonts w:ascii="Tahoma" w:eastAsia="Times New Roman" w:hAnsi="Tahoma" w:cs="Arial"/>
          <w:sz w:val="36"/>
          <w:szCs w:val="24"/>
          <w:lang w:val="tr-TR" w:eastAsia="tr-TR"/>
        </w:rPr>
      </w:pPr>
      <w:r w:rsidRPr="00FD224A">
        <w:rPr>
          <w:rFonts w:ascii="Tahoma" w:eastAsia="Times New Roman" w:hAnsi="Tahoma" w:cs="Calibri"/>
          <w:b/>
          <w:bCs/>
          <w:sz w:val="36"/>
          <w:szCs w:val="40"/>
          <w:lang w:val="tr-TR" w:eastAsia="tr-TR"/>
        </w:rPr>
        <w:t xml:space="preserve">2022 yılında dünyada işlem hacminde düşüş yaşanırken Türkiye’de de azalan işlem hacmi ve işlem sayısı dikkat çekiyor </w:t>
      </w:r>
    </w:p>
    <w:p w14:paraId="16569230" w14:textId="77777777" w:rsidR="00027B4A" w:rsidRPr="00FD224A" w:rsidRDefault="00027B4A" w:rsidP="00FD224A">
      <w:pPr>
        <w:spacing w:after="0" w:line="240" w:lineRule="auto"/>
        <w:jc w:val="center"/>
        <w:rPr>
          <w:rFonts w:ascii="Tahoma" w:eastAsia="Times New Roman" w:hAnsi="Tahoma" w:cs="Arial"/>
          <w:sz w:val="36"/>
          <w:szCs w:val="24"/>
          <w:lang w:val="tr-TR" w:eastAsia="tr-TR"/>
        </w:rPr>
      </w:pPr>
    </w:p>
    <w:p w14:paraId="1232FF07" w14:textId="4DC03668" w:rsidR="00027B4A" w:rsidRPr="00FD224A" w:rsidRDefault="00027B4A" w:rsidP="00CE4907">
      <w:pPr>
        <w:spacing w:after="0" w:line="240" w:lineRule="auto"/>
        <w:jc w:val="center"/>
        <w:rPr>
          <w:rFonts w:ascii="Tahoma" w:eastAsia="Times New Roman" w:hAnsi="Tahoma" w:cs="Times New Roman"/>
          <w:szCs w:val="24"/>
          <w:lang w:val="tr-TR" w:eastAsia="tr-TR"/>
        </w:rPr>
      </w:pPr>
      <w:r w:rsidRPr="00FD224A">
        <w:rPr>
          <w:rFonts w:ascii="Tahoma" w:eastAsia="Times New Roman" w:hAnsi="Tahoma" w:cs="Calibri"/>
          <w:b/>
          <w:sz w:val="24"/>
          <w:szCs w:val="26"/>
          <w:lang w:val="tr-TR" w:eastAsia="tr-TR"/>
        </w:rPr>
        <w:t xml:space="preserve">KPMG Türkiye dördüncü kez hazırladığı “KPMG Perspektifinden Birleşme ve Satın Alma Trendleri 2022” raporunu açıkladı. </w:t>
      </w:r>
      <w:bookmarkStart w:id="1" w:name="_Hlk91082166"/>
      <w:r w:rsidRPr="00FD224A">
        <w:rPr>
          <w:rFonts w:ascii="Tahoma" w:eastAsia="Times New Roman" w:hAnsi="Tahoma" w:cs="Calibri"/>
          <w:b/>
          <w:sz w:val="24"/>
          <w:szCs w:val="26"/>
          <w:lang w:val="tr-TR" w:eastAsia="tr-TR"/>
        </w:rPr>
        <w:t xml:space="preserve">2022 verilerinin değerlendirildiği rapora göre, dünyada birleşme ve satın alma işlemleri </w:t>
      </w:r>
      <w:bookmarkStart w:id="2" w:name="_Hlk91082278"/>
      <w:r w:rsidRPr="00FD224A">
        <w:rPr>
          <w:rFonts w:ascii="Tahoma" w:eastAsia="Times New Roman" w:hAnsi="Tahoma" w:cs="Calibri"/>
          <w:b/>
          <w:sz w:val="24"/>
          <w:szCs w:val="26"/>
          <w:lang w:val="tr-TR" w:eastAsia="tr-TR"/>
        </w:rPr>
        <w:t>2021 yılına kıyasla işlem hacmi açısından düşüş sergilerken işlem adetleri açısından geçen seneki rekor seviyesine yaklaştı.</w:t>
      </w:r>
      <w:bookmarkEnd w:id="2"/>
      <w:r w:rsidRPr="00FD224A">
        <w:rPr>
          <w:rFonts w:ascii="Tahoma" w:eastAsia="Times New Roman" w:hAnsi="Tahoma" w:cs="Calibri"/>
          <w:b/>
          <w:sz w:val="24"/>
          <w:szCs w:val="26"/>
          <w:lang w:val="tr-TR" w:eastAsia="tr-TR"/>
        </w:rPr>
        <w:t xml:space="preserve"> Türkiye’de ise işlem hacimleri düşerken işlem sayısı da benzer şekilde düşüş gösterdi.</w:t>
      </w:r>
      <w:bookmarkEnd w:id="1"/>
      <w:r w:rsidRPr="00FD224A">
        <w:rPr>
          <w:rFonts w:ascii="Tahoma" w:eastAsia="Times New Roman" w:hAnsi="Tahoma" w:cs="Calibri"/>
          <w:b/>
          <w:sz w:val="24"/>
          <w:szCs w:val="26"/>
          <w:lang w:val="tr-TR" w:eastAsia="tr-TR"/>
        </w:rPr>
        <w:t xml:space="preserve"> </w:t>
      </w:r>
      <w:bookmarkStart w:id="3" w:name="_Hlk91082216"/>
      <w:r w:rsidRPr="00FD224A">
        <w:rPr>
          <w:rFonts w:ascii="Tahoma" w:eastAsia="Times New Roman" w:hAnsi="Tahoma" w:cs="Calibri"/>
          <w:b/>
          <w:sz w:val="24"/>
          <w:szCs w:val="26"/>
          <w:lang w:val="tr-TR" w:eastAsia="tr-TR"/>
        </w:rPr>
        <w:t>Değeri açıklanan işlemlerin toplam hacmi 5,3 milyar dolara ulaşırken değeri açıklanmayan işlemlerle birlikte tahmini toplam işlem hacminin 6,5 milyar dolar olduğu öngörüldü. 2023 yılı için iyimser beklentiler korunarak</w:t>
      </w:r>
      <w:r w:rsidR="00FD224A">
        <w:rPr>
          <w:rFonts w:ascii="Tahoma" w:eastAsia="Times New Roman" w:hAnsi="Tahoma" w:cs="Calibri"/>
          <w:b/>
          <w:sz w:val="24"/>
          <w:szCs w:val="26"/>
          <w:lang w:val="tr-TR" w:eastAsia="tr-TR"/>
        </w:rPr>
        <w:t xml:space="preserve"> </w:t>
      </w:r>
      <w:r w:rsidRPr="00FD224A">
        <w:rPr>
          <w:rFonts w:ascii="Tahoma" w:eastAsia="Times New Roman" w:hAnsi="Tahoma" w:cs="Calibri"/>
          <w:b/>
          <w:sz w:val="24"/>
          <w:szCs w:val="26"/>
          <w:lang w:val="tr-TR" w:eastAsia="tr-TR"/>
        </w:rPr>
        <w:t>teknoloji ve üretim sektörlerine olan ilgi ile beraber hem işlem hacminin hem de işlem adetlerinin artması bekleniyor.</w:t>
      </w:r>
    </w:p>
    <w:bookmarkEnd w:id="3"/>
    <w:p w14:paraId="496E5CE0" w14:textId="77777777" w:rsidR="00027B4A" w:rsidRPr="00FD224A" w:rsidRDefault="00027B4A" w:rsidP="00027B4A">
      <w:pPr>
        <w:spacing w:after="0" w:line="240" w:lineRule="auto"/>
        <w:jc w:val="both"/>
        <w:rPr>
          <w:rFonts w:ascii="Tahoma" w:eastAsia="Times New Roman" w:hAnsi="Tahoma" w:cs="Calibri"/>
          <w:b/>
          <w:sz w:val="26"/>
          <w:szCs w:val="26"/>
          <w:lang w:val="tr-TR" w:eastAsia="tr-TR"/>
        </w:rPr>
      </w:pPr>
    </w:p>
    <w:p w14:paraId="29EDD318" w14:textId="79E9AB1A" w:rsidR="00027B4A" w:rsidRPr="00FD224A" w:rsidRDefault="00027B4A" w:rsidP="00027B4A">
      <w:pPr>
        <w:spacing w:after="0" w:line="240" w:lineRule="auto"/>
        <w:jc w:val="both"/>
        <w:rPr>
          <w:rFonts w:ascii="Tahoma" w:eastAsia="Times New Roman" w:hAnsi="Tahoma" w:cs="Times New Roman"/>
          <w:sz w:val="24"/>
          <w:szCs w:val="20"/>
          <w:lang w:val="tr-TR" w:eastAsia="tr-TR"/>
        </w:rPr>
      </w:pPr>
      <w:r w:rsidRPr="00FD224A">
        <w:rPr>
          <w:rFonts w:ascii="Tahoma" w:eastAsia="Times New Roman" w:hAnsi="Tahoma" w:cs="Calibri"/>
          <w:sz w:val="24"/>
          <w:szCs w:val="20"/>
          <w:lang w:val="tr-TR" w:eastAsia="tr-TR"/>
        </w:rPr>
        <w:t>KPMG Türkiye</w:t>
      </w:r>
      <w:r w:rsidR="00CE4907">
        <w:rPr>
          <w:rFonts w:ascii="Tahoma" w:eastAsia="Times New Roman" w:hAnsi="Tahoma" w:cs="Calibri"/>
          <w:sz w:val="24"/>
          <w:szCs w:val="20"/>
          <w:lang w:val="tr-TR" w:eastAsia="tr-TR"/>
        </w:rPr>
        <w:t>,</w:t>
      </w:r>
      <w:r w:rsidRPr="00FD224A">
        <w:rPr>
          <w:rFonts w:ascii="Tahoma" w:eastAsia="Times New Roman" w:hAnsi="Tahoma" w:cs="Calibri"/>
          <w:sz w:val="24"/>
          <w:szCs w:val="20"/>
          <w:lang w:val="tr-TR" w:eastAsia="tr-TR"/>
        </w:rPr>
        <w:t xml:space="preserve"> dördüncüsünü hazırladığı yıllık “KPMG Perspektifinden Birleşme ve Satın Alma Trendleri 2022” raporunu açıkladı. Rapora göre, Türkiye’de birleşme ve satın alma hacmi ve sayısı bir önceki yıla kıyasla önemli oranda düşüş kaydetti. Raporda 2023 yılı için iyimser beklenti korunuyor, teknoloji ve üretim sektörlerine olan ilgi ile beraber işlem hacimlerinin ve adetlerinin artacağı öngörülüyor. </w:t>
      </w:r>
    </w:p>
    <w:p w14:paraId="23C811C4" w14:textId="77777777" w:rsidR="00027B4A" w:rsidRPr="00FD224A" w:rsidRDefault="00027B4A" w:rsidP="00027B4A">
      <w:pPr>
        <w:spacing w:after="0" w:line="240" w:lineRule="auto"/>
        <w:jc w:val="both"/>
        <w:rPr>
          <w:rFonts w:ascii="Tahoma" w:eastAsia="Times New Roman" w:hAnsi="Tahoma" w:cs="Calibri"/>
          <w:sz w:val="28"/>
          <w:lang w:val="tr-TR" w:eastAsia="tr-TR"/>
        </w:rPr>
      </w:pPr>
    </w:p>
    <w:p w14:paraId="4D5E6212" w14:textId="2BDE0EC1" w:rsidR="00027B4A" w:rsidRPr="00FD224A" w:rsidRDefault="00027B4A" w:rsidP="00027B4A">
      <w:pPr>
        <w:spacing w:after="0" w:line="240" w:lineRule="auto"/>
        <w:jc w:val="both"/>
        <w:rPr>
          <w:rFonts w:ascii="Tahoma" w:eastAsia="Times New Roman" w:hAnsi="Tahoma" w:cs="Times New Roman"/>
          <w:sz w:val="32"/>
          <w:szCs w:val="24"/>
          <w:lang w:val="tr-TR" w:eastAsia="tr-TR"/>
        </w:rPr>
      </w:pPr>
      <w:r w:rsidRPr="00FD224A">
        <w:rPr>
          <w:rFonts w:ascii="Tahoma" w:eastAsia="Times New Roman" w:hAnsi="Tahoma" w:cs="Calibri"/>
          <w:b/>
          <w:sz w:val="24"/>
          <w:szCs w:val="20"/>
          <w:lang w:val="tr-TR" w:eastAsia="tr-TR"/>
        </w:rPr>
        <w:t>2022’nin ana gündemi, Rusya – Ukrayna savaşı, artan emtia ve gıda fiyatları, yükselen enflasyon ve paralelinde</w:t>
      </w:r>
      <w:r w:rsidR="00CE347C" w:rsidRPr="00FD224A">
        <w:rPr>
          <w:rFonts w:ascii="Tahoma" w:eastAsia="Times New Roman" w:hAnsi="Tahoma" w:cs="Calibri"/>
          <w:b/>
          <w:sz w:val="24"/>
          <w:szCs w:val="20"/>
          <w:lang w:val="tr-TR" w:eastAsia="tr-TR"/>
        </w:rPr>
        <w:t xml:space="preserve"> birçok ülkede</w:t>
      </w:r>
      <w:r w:rsidRPr="00FD224A">
        <w:rPr>
          <w:rFonts w:ascii="Tahoma" w:eastAsia="Times New Roman" w:hAnsi="Tahoma" w:cs="Calibri"/>
          <w:b/>
          <w:sz w:val="24"/>
          <w:szCs w:val="20"/>
          <w:lang w:val="tr-TR" w:eastAsia="tr-TR"/>
        </w:rPr>
        <w:t xml:space="preserve"> yükselen politika faizlerinin yol açtığı resesyon kaygıları oldu</w:t>
      </w:r>
    </w:p>
    <w:p w14:paraId="38E52C86" w14:textId="560FC012" w:rsidR="00027B4A" w:rsidRDefault="00027B4A" w:rsidP="00027B4A">
      <w:pPr>
        <w:spacing w:after="0" w:line="240" w:lineRule="auto"/>
        <w:jc w:val="both"/>
        <w:rPr>
          <w:rFonts w:ascii="Tahoma" w:eastAsia="Times New Roman" w:hAnsi="Tahoma" w:cs="Calibri"/>
          <w:b/>
          <w:sz w:val="24"/>
          <w:szCs w:val="20"/>
          <w:lang w:val="tr-TR" w:eastAsia="tr-TR"/>
        </w:rPr>
      </w:pPr>
    </w:p>
    <w:p w14:paraId="4AE9DE4E" w14:textId="5226206B" w:rsidR="00027B4A" w:rsidRPr="00FD224A" w:rsidRDefault="00027B4A" w:rsidP="00027B4A">
      <w:pPr>
        <w:spacing w:after="0" w:line="240" w:lineRule="auto"/>
        <w:jc w:val="both"/>
        <w:rPr>
          <w:rFonts w:ascii="Tahoma" w:eastAsia="Times New Roman" w:hAnsi="Tahoma" w:cs="Calibri"/>
          <w:sz w:val="24"/>
          <w:szCs w:val="20"/>
          <w:lang w:val="tr-TR" w:eastAsia="tr-TR"/>
        </w:rPr>
      </w:pPr>
      <w:bookmarkStart w:id="4" w:name="_Hlk91082407"/>
      <w:r w:rsidRPr="00FD224A">
        <w:rPr>
          <w:rFonts w:ascii="Tahoma" w:eastAsia="Times New Roman" w:hAnsi="Tahoma" w:cs="Calibri"/>
          <w:sz w:val="24"/>
          <w:szCs w:val="20"/>
          <w:lang w:val="tr-TR" w:eastAsia="tr-TR"/>
        </w:rPr>
        <w:t>Rapora göre, 2021 yılında Covid-19 pandemisi hızla yükselen aşılama oranları ile hem global hem de ulusal ölçekte sosyal, ekonomik ve ticari hayatta etkisini kaybetti. Ancak Şubat 2022’de başlayan Rusya – Ukrayna savaşı, Rusya’ya uygulanan yaptırımlara paralel olarak yükselen emtia ve gıda fiyatları, pandemi döneminde yaşanan parasal genişleme sonucunda yükselen enflasyon ve buna karşılık olarak</w:t>
      </w:r>
      <w:r w:rsidR="00CE347C" w:rsidRPr="00FD224A">
        <w:rPr>
          <w:rFonts w:ascii="Tahoma" w:eastAsia="Times New Roman" w:hAnsi="Tahoma" w:cs="Calibri"/>
          <w:sz w:val="24"/>
          <w:szCs w:val="20"/>
          <w:lang w:val="tr-TR" w:eastAsia="tr-TR"/>
        </w:rPr>
        <w:t xml:space="preserve"> birçok ülkede</w:t>
      </w:r>
      <w:r w:rsidRPr="00FD224A">
        <w:rPr>
          <w:rFonts w:ascii="Tahoma" w:eastAsia="Times New Roman" w:hAnsi="Tahoma" w:cs="Calibri"/>
          <w:sz w:val="24"/>
          <w:szCs w:val="20"/>
          <w:lang w:val="tr-TR" w:eastAsia="tr-TR"/>
        </w:rPr>
        <w:t xml:space="preserve"> merkez bankalarının politika faizlerini artırması ile beraber ortaya çıkan resesyon riski 2022 yılında dünyanın ana gündemini oluşturdu ve yatırımcıların yatırım iştahını önemli ölçüde etkiledi. </w:t>
      </w:r>
    </w:p>
    <w:bookmarkEnd w:id="4"/>
    <w:p w14:paraId="09023712" w14:textId="77777777" w:rsidR="00027B4A" w:rsidRPr="00FD224A" w:rsidRDefault="00027B4A" w:rsidP="00027B4A">
      <w:pPr>
        <w:spacing w:after="0" w:line="240" w:lineRule="auto"/>
        <w:jc w:val="both"/>
        <w:rPr>
          <w:rFonts w:ascii="Tahoma" w:eastAsia="Times New Roman" w:hAnsi="Tahoma" w:cs="Calibri"/>
          <w:sz w:val="24"/>
          <w:szCs w:val="20"/>
          <w:lang w:val="tr-TR" w:eastAsia="tr-TR"/>
        </w:rPr>
      </w:pPr>
    </w:p>
    <w:p w14:paraId="126D2463" w14:textId="77777777" w:rsidR="00027B4A" w:rsidRPr="00FD224A" w:rsidRDefault="00027B4A" w:rsidP="00027B4A">
      <w:pPr>
        <w:spacing w:after="0" w:line="240" w:lineRule="auto"/>
        <w:jc w:val="both"/>
        <w:rPr>
          <w:rFonts w:ascii="Tahoma" w:eastAsia="Times New Roman" w:hAnsi="Tahoma" w:cs="Calibri"/>
          <w:b/>
          <w:bCs/>
          <w:sz w:val="24"/>
          <w:szCs w:val="20"/>
          <w:lang w:val="tr-TR" w:eastAsia="tr-TR"/>
        </w:rPr>
      </w:pPr>
      <w:bookmarkStart w:id="5" w:name="_Hlk91079840"/>
      <w:bookmarkStart w:id="6" w:name="_Hlk91082420"/>
      <w:r w:rsidRPr="00FD224A">
        <w:rPr>
          <w:rFonts w:ascii="Tahoma" w:eastAsia="Times New Roman" w:hAnsi="Tahoma" w:cs="Calibri"/>
          <w:b/>
          <w:bCs/>
          <w:sz w:val="24"/>
          <w:szCs w:val="20"/>
          <w:lang w:val="tr-TR" w:eastAsia="tr-TR"/>
        </w:rPr>
        <w:t>Türkiye’de birleşme ve satın alma işlem hacmi 2021 yılı hariç önceki yıllarla paralellik gösterdi</w:t>
      </w:r>
    </w:p>
    <w:p w14:paraId="0019A610" w14:textId="77777777" w:rsidR="00027B4A" w:rsidRPr="00FD224A" w:rsidRDefault="00027B4A" w:rsidP="00027B4A">
      <w:pPr>
        <w:spacing w:after="0" w:line="240" w:lineRule="auto"/>
        <w:jc w:val="both"/>
        <w:rPr>
          <w:rFonts w:ascii="Tahoma" w:eastAsia="Times New Roman" w:hAnsi="Tahoma" w:cs="Calibri"/>
          <w:sz w:val="24"/>
          <w:szCs w:val="20"/>
          <w:lang w:val="tr-TR" w:eastAsia="tr-TR"/>
        </w:rPr>
      </w:pPr>
    </w:p>
    <w:p w14:paraId="73045AD9" w14:textId="5E60014D" w:rsidR="00027B4A" w:rsidRPr="00FD224A" w:rsidRDefault="00027B4A" w:rsidP="00027B4A">
      <w:pPr>
        <w:spacing w:after="0" w:line="240" w:lineRule="auto"/>
        <w:jc w:val="both"/>
        <w:rPr>
          <w:rFonts w:ascii="Tahoma" w:eastAsia="Times New Roman" w:hAnsi="Tahoma" w:cs="Calibri"/>
          <w:sz w:val="24"/>
          <w:szCs w:val="20"/>
          <w:lang w:val="tr-TR" w:eastAsia="tr-TR"/>
        </w:rPr>
      </w:pPr>
      <w:r w:rsidRPr="00FD224A">
        <w:rPr>
          <w:rFonts w:ascii="Tahoma" w:eastAsia="Times New Roman" w:hAnsi="Tahoma" w:cs="Calibri"/>
          <w:sz w:val="24"/>
          <w:szCs w:val="20"/>
          <w:lang w:val="tr-TR" w:eastAsia="tr-TR"/>
        </w:rPr>
        <w:lastRenderedPageBreak/>
        <w:t>Rapora göre, 2022 yılında, dünyada birleşme ve satın alma aktivitesinde 2021 yılı hariç önceki yıllara benzer bir performans gerçekleşirken Türkiye’de de benzer şekilde işlem hacminde 2021 yılı haricinde önceki yıllara benzer bir performans gözlemlendi</w:t>
      </w:r>
      <w:bookmarkEnd w:id="5"/>
      <w:r w:rsidRPr="00FD224A">
        <w:rPr>
          <w:rFonts w:ascii="Tahoma" w:eastAsia="Times New Roman" w:hAnsi="Tahoma" w:cs="Calibri"/>
          <w:sz w:val="24"/>
          <w:szCs w:val="20"/>
          <w:lang w:val="tr-TR" w:eastAsia="tr-TR"/>
        </w:rPr>
        <w:t xml:space="preserve">. İşlem adetlerinde ise önceki yıllara kıyasla bir miktar düşüş kaydedildi. 2022 yılında dünyada yaklaşık 3,5 trilyon dolar </w:t>
      </w:r>
      <w:r w:rsidR="00CE4907">
        <w:rPr>
          <w:rFonts w:ascii="Tahoma" w:eastAsia="Times New Roman" w:hAnsi="Tahoma" w:cs="Calibri"/>
          <w:sz w:val="24"/>
          <w:szCs w:val="20"/>
          <w:lang w:val="tr-TR" w:eastAsia="tr-TR"/>
        </w:rPr>
        <w:t xml:space="preserve">değerinde </w:t>
      </w:r>
      <w:r w:rsidRPr="00FD224A">
        <w:rPr>
          <w:rFonts w:ascii="Tahoma" w:eastAsia="Times New Roman" w:hAnsi="Tahoma" w:cs="Calibri"/>
          <w:sz w:val="24"/>
          <w:szCs w:val="20"/>
          <w:lang w:val="tr-TR" w:eastAsia="tr-TR"/>
        </w:rPr>
        <w:t xml:space="preserve">birleşme ve satın alma işlemi gerçekleşirken bu tutar önceki yıllar ile paralellik gösterdi. Türkiye’de ise değeri açıklanan işlem hacmi 5,3 milyar dolar seviyesinde gerçekleşti. </w:t>
      </w:r>
      <w:bookmarkEnd w:id="6"/>
    </w:p>
    <w:p w14:paraId="091E2907" w14:textId="77777777" w:rsidR="00027B4A" w:rsidRPr="00FD224A" w:rsidRDefault="00027B4A" w:rsidP="00027B4A">
      <w:pPr>
        <w:spacing w:after="0" w:line="240" w:lineRule="auto"/>
        <w:jc w:val="both"/>
        <w:rPr>
          <w:rFonts w:ascii="Tahoma" w:eastAsia="Times New Roman" w:hAnsi="Tahoma" w:cs="Calibri"/>
          <w:sz w:val="24"/>
          <w:szCs w:val="20"/>
          <w:lang w:val="tr-TR" w:eastAsia="tr-TR"/>
        </w:rPr>
      </w:pPr>
    </w:p>
    <w:p w14:paraId="6518ABE9" w14:textId="77777777" w:rsidR="00027B4A" w:rsidRPr="00FD224A" w:rsidRDefault="00027B4A" w:rsidP="00027B4A">
      <w:pPr>
        <w:spacing w:after="0" w:line="240" w:lineRule="auto"/>
        <w:jc w:val="both"/>
        <w:rPr>
          <w:rFonts w:ascii="Calibri" w:eastAsia="Times New Roman" w:hAnsi="Calibri" w:cs="Calibri"/>
          <w:sz w:val="24"/>
          <w:szCs w:val="20"/>
          <w:lang w:val="tr-TR" w:eastAsia="tr-TR"/>
        </w:rPr>
      </w:pPr>
      <w:r w:rsidRPr="00FD224A">
        <w:rPr>
          <w:rFonts w:ascii="Tahoma" w:eastAsia="Times New Roman" w:hAnsi="Tahoma" w:cs="Calibri"/>
          <w:b/>
          <w:sz w:val="24"/>
          <w:szCs w:val="20"/>
          <w:lang w:val="tr-TR" w:eastAsia="tr-TR"/>
        </w:rPr>
        <w:t>Türk Telekom 2022’nin tek “mega” işlemi oldu</w:t>
      </w:r>
    </w:p>
    <w:p w14:paraId="7E87F696" w14:textId="77777777" w:rsidR="00027B4A" w:rsidRPr="00FD224A" w:rsidRDefault="00027B4A" w:rsidP="00027B4A">
      <w:pPr>
        <w:spacing w:after="0" w:line="240" w:lineRule="auto"/>
        <w:jc w:val="both"/>
        <w:rPr>
          <w:rFonts w:ascii="Tahoma" w:eastAsia="Times New Roman" w:hAnsi="Tahoma" w:cs="Calibri"/>
          <w:b/>
          <w:sz w:val="24"/>
          <w:szCs w:val="20"/>
          <w:lang w:val="tr-TR" w:eastAsia="tr-TR"/>
        </w:rPr>
      </w:pPr>
    </w:p>
    <w:p w14:paraId="410BDCBE" w14:textId="5BB7826C" w:rsidR="00027B4A" w:rsidRPr="00FD224A" w:rsidRDefault="00027B4A" w:rsidP="00027B4A">
      <w:pPr>
        <w:spacing w:after="0" w:line="240" w:lineRule="auto"/>
        <w:jc w:val="both"/>
        <w:rPr>
          <w:rFonts w:ascii="Tahoma" w:eastAsia="Times New Roman" w:hAnsi="Tahoma" w:cs="Calibri"/>
          <w:sz w:val="24"/>
          <w:szCs w:val="20"/>
          <w:lang w:val="tr-TR" w:eastAsia="tr-TR"/>
        </w:rPr>
      </w:pPr>
      <w:bookmarkStart w:id="7" w:name="_Hlk91082478"/>
      <w:r w:rsidRPr="00FD224A">
        <w:rPr>
          <w:rFonts w:ascii="Tahoma" w:eastAsia="Times New Roman" w:hAnsi="Tahoma" w:cs="Calibri"/>
          <w:sz w:val="24"/>
          <w:szCs w:val="20"/>
          <w:lang w:val="tr-TR" w:eastAsia="tr-TR"/>
        </w:rPr>
        <w:t>2022 yılında da küresel trendlere paralel olarak, teknolojinin farklı alanlarının giderek önem kazanmasının yanı sıra dijitalleşme ve tedarik zincirlerinde yeniden şekillenme ile birlikte işlem sayısı bazında teknoloji, medya ve telekomünikasyon ve üretim sektörleri ön plana çıktı. Söz konusu trendler doğrultusunda işlem hacmi bazında ise te</w:t>
      </w:r>
      <w:r w:rsidR="0043694C">
        <w:rPr>
          <w:rFonts w:ascii="Tahoma" w:eastAsia="Times New Roman" w:hAnsi="Tahoma" w:cs="Calibri"/>
          <w:sz w:val="24"/>
          <w:szCs w:val="20"/>
          <w:lang w:val="tr-TR" w:eastAsia="tr-TR"/>
        </w:rPr>
        <w:t>knoloji</w:t>
      </w:r>
      <w:r w:rsidRPr="00FD224A">
        <w:rPr>
          <w:rFonts w:ascii="Tahoma" w:eastAsia="Times New Roman" w:hAnsi="Tahoma" w:cs="Calibri"/>
          <w:sz w:val="24"/>
          <w:szCs w:val="20"/>
          <w:lang w:val="tr-TR" w:eastAsia="tr-TR"/>
        </w:rPr>
        <w:t>, medya ve telekomünikasyon</w:t>
      </w:r>
      <w:r w:rsidR="0043694C">
        <w:rPr>
          <w:rFonts w:ascii="Tahoma" w:eastAsia="Times New Roman" w:hAnsi="Tahoma" w:cs="Calibri"/>
          <w:sz w:val="24"/>
          <w:szCs w:val="20"/>
          <w:lang w:val="tr-TR" w:eastAsia="tr-TR"/>
        </w:rPr>
        <w:t xml:space="preserve"> (TMT)</w:t>
      </w:r>
      <w:r w:rsidRPr="00FD224A">
        <w:rPr>
          <w:rFonts w:ascii="Tahoma" w:eastAsia="Times New Roman" w:hAnsi="Tahoma" w:cs="Calibri"/>
          <w:sz w:val="24"/>
          <w:szCs w:val="20"/>
          <w:lang w:val="tr-TR" w:eastAsia="tr-TR"/>
        </w:rPr>
        <w:t xml:space="preserve"> sektörünün öne çıktığı gözlemlendi. Türkiye’de </w:t>
      </w:r>
      <w:r w:rsidR="0043694C">
        <w:rPr>
          <w:rFonts w:ascii="Tahoma" w:eastAsia="Times New Roman" w:hAnsi="Tahoma" w:cs="Calibri"/>
          <w:sz w:val="24"/>
          <w:szCs w:val="20"/>
          <w:lang w:val="tr-TR" w:eastAsia="tr-TR"/>
        </w:rPr>
        <w:t>TMT</w:t>
      </w:r>
      <w:r w:rsidRPr="00FD224A">
        <w:rPr>
          <w:rFonts w:ascii="Tahoma" w:eastAsia="Times New Roman" w:hAnsi="Tahoma" w:cs="Calibri"/>
          <w:sz w:val="24"/>
          <w:szCs w:val="20"/>
          <w:lang w:val="tr-TR" w:eastAsia="tr-TR"/>
        </w:rPr>
        <w:t xml:space="preserve"> sektöründeki en büyük işlem Türk Telekom’un yüzde 55 oranındaki hissesinin Türkiye Varlık Fonu tarafından 1</w:t>
      </w:r>
      <w:r w:rsidR="000576A3">
        <w:rPr>
          <w:rFonts w:ascii="Tahoma" w:eastAsia="Times New Roman" w:hAnsi="Tahoma" w:cs="Calibri"/>
          <w:sz w:val="24"/>
          <w:szCs w:val="20"/>
          <w:lang w:val="tr-TR" w:eastAsia="tr-TR"/>
        </w:rPr>
        <w:t xml:space="preserve"> milyar </w:t>
      </w:r>
      <w:r w:rsidRPr="00FD224A">
        <w:rPr>
          <w:rFonts w:ascii="Tahoma" w:eastAsia="Times New Roman" w:hAnsi="Tahoma" w:cs="Calibri"/>
          <w:sz w:val="24"/>
          <w:szCs w:val="20"/>
          <w:lang w:val="tr-TR" w:eastAsia="tr-TR"/>
        </w:rPr>
        <w:t>650</w:t>
      </w:r>
      <w:r w:rsidR="000576A3">
        <w:rPr>
          <w:rFonts w:ascii="Tahoma" w:eastAsia="Times New Roman" w:hAnsi="Tahoma" w:cs="Calibri"/>
          <w:sz w:val="24"/>
          <w:szCs w:val="20"/>
          <w:lang w:val="tr-TR" w:eastAsia="tr-TR"/>
        </w:rPr>
        <w:t xml:space="preserve"> </w:t>
      </w:r>
      <w:r w:rsidRPr="00FD224A">
        <w:rPr>
          <w:rFonts w:ascii="Tahoma" w:eastAsia="Times New Roman" w:hAnsi="Tahoma" w:cs="Calibri"/>
          <w:sz w:val="24"/>
          <w:szCs w:val="20"/>
          <w:lang w:val="tr-TR" w:eastAsia="tr-TR"/>
        </w:rPr>
        <w:t xml:space="preserve">milyon </w:t>
      </w:r>
      <w:r w:rsidR="000576A3">
        <w:rPr>
          <w:rFonts w:ascii="Tahoma" w:eastAsia="Times New Roman" w:hAnsi="Tahoma" w:cs="Calibri"/>
          <w:sz w:val="24"/>
          <w:szCs w:val="20"/>
          <w:lang w:val="tr-TR" w:eastAsia="tr-TR"/>
        </w:rPr>
        <w:t>d</w:t>
      </w:r>
      <w:r w:rsidRPr="00FD224A">
        <w:rPr>
          <w:rFonts w:ascii="Tahoma" w:eastAsia="Times New Roman" w:hAnsi="Tahoma" w:cs="Calibri"/>
          <w:sz w:val="24"/>
          <w:szCs w:val="20"/>
          <w:lang w:val="tr-TR" w:eastAsia="tr-TR"/>
        </w:rPr>
        <w:t xml:space="preserve">olar bedelle satın alınması oldu. Bu işlem aynı zamanda 2022 yılında </w:t>
      </w:r>
      <w:r w:rsidR="00723CE2" w:rsidRPr="00FD224A">
        <w:rPr>
          <w:rFonts w:ascii="Tahoma" w:eastAsia="Times New Roman" w:hAnsi="Tahoma" w:cs="Calibri"/>
          <w:sz w:val="24"/>
          <w:szCs w:val="20"/>
          <w:lang w:val="tr-TR" w:eastAsia="tr-TR"/>
        </w:rPr>
        <w:t>Türkiye’</w:t>
      </w:r>
      <w:r w:rsidR="000576A3">
        <w:rPr>
          <w:rFonts w:ascii="Tahoma" w:eastAsia="Times New Roman" w:hAnsi="Tahoma" w:cs="Calibri"/>
          <w:sz w:val="24"/>
          <w:szCs w:val="20"/>
          <w:lang w:val="tr-TR" w:eastAsia="tr-TR"/>
        </w:rPr>
        <w:t xml:space="preserve">de </w:t>
      </w:r>
      <w:r w:rsidRPr="00FD224A">
        <w:rPr>
          <w:rFonts w:ascii="Tahoma" w:eastAsia="Times New Roman" w:hAnsi="Tahoma" w:cs="Calibri"/>
          <w:sz w:val="24"/>
          <w:szCs w:val="20"/>
          <w:lang w:val="tr-TR" w:eastAsia="tr-TR"/>
        </w:rPr>
        <w:t xml:space="preserve">milyar dolar seviyesini aşan tek “mega işlem” olarak ön plana çıktı. Teknoloji, medya ve telekomünikasyon </w:t>
      </w:r>
      <w:r w:rsidRPr="0043694C">
        <w:rPr>
          <w:rFonts w:ascii="Tahoma" w:eastAsia="Times New Roman" w:hAnsi="Tahoma" w:cs="Calibri"/>
          <w:sz w:val="24"/>
          <w:szCs w:val="20"/>
          <w:lang w:val="tr-TR" w:eastAsia="tr-TR"/>
        </w:rPr>
        <w:t>sektöründeki bi</w:t>
      </w:r>
      <w:r w:rsidRPr="00FD224A">
        <w:rPr>
          <w:rFonts w:ascii="Tahoma" w:eastAsia="Times New Roman" w:hAnsi="Tahoma" w:cs="Calibri"/>
          <w:sz w:val="24"/>
          <w:szCs w:val="20"/>
          <w:lang w:val="tr-TR" w:eastAsia="tr-TR"/>
        </w:rPr>
        <w:t xml:space="preserve">r diğer büyük işlem ise </w:t>
      </w:r>
      <w:proofErr w:type="spellStart"/>
      <w:r w:rsidRPr="00FD224A">
        <w:rPr>
          <w:rFonts w:ascii="Tahoma" w:eastAsia="Times New Roman" w:hAnsi="Tahoma" w:cs="Calibri"/>
          <w:sz w:val="24"/>
          <w:szCs w:val="20"/>
          <w:lang w:val="tr-TR" w:eastAsia="tr-TR"/>
        </w:rPr>
        <w:t>Getir’in</w:t>
      </w:r>
      <w:proofErr w:type="spellEnd"/>
      <w:r w:rsidRPr="00FD224A">
        <w:rPr>
          <w:rFonts w:ascii="Tahoma" w:eastAsia="Times New Roman" w:hAnsi="Tahoma" w:cs="Calibri"/>
          <w:sz w:val="24"/>
          <w:szCs w:val="20"/>
          <w:lang w:val="tr-TR" w:eastAsia="tr-TR"/>
        </w:rPr>
        <w:t xml:space="preserve"> yüzde 6,8’lik hissesinin aralarında </w:t>
      </w:r>
      <w:proofErr w:type="spellStart"/>
      <w:r w:rsidRPr="00FD224A">
        <w:rPr>
          <w:rFonts w:ascii="Tahoma" w:eastAsia="Times New Roman" w:hAnsi="Tahoma" w:cs="Calibri"/>
          <w:sz w:val="24"/>
          <w:szCs w:val="20"/>
          <w:lang w:val="tr-TR" w:eastAsia="tr-TR"/>
        </w:rPr>
        <w:t>Mubadala</w:t>
      </w:r>
      <w:proofErr w:type="spellEnd"/>
      <w:r w:rsidRPr="00FD224A">
        <w:rPr>
          <w:rFonts w:ascii="Tahoma" w:eastAsia="Times New Roman" w:hAnsi="Tahoma" w:cs="Calibri"/>
          <w:sz w:val="24"/>
          <w:szCs w:val="20"/>
          <w:lang w:val="tr-TR" w:eastAsia="tr-TR"/>
        </w:rPr>
        <w:t xml:space="preserve"> </w:t>
      </w:r>
      <w:proofErr w:type="spellStart"/>
      <w:r w:rsidRPr="00FD224A">
        <w:rPr>
          <w:rFonts w:ascii="Tahoma" w:eastAsia="Times New Roman" w:hAnsi="Tahoma" w:cs="Calibri"/>
          <w:sz w:val="24"/>
          <w:szCs w:val="20"/>
          <w:lang w:val="tr-TR" w:eastAsia="tr-TR"/>
        </w:rPr>
        <w:t>Investment</w:t>
      </w:r>
      <w:proofErr w:type="spellEnd"/>
      <w:r w:rsidRPr="00FD224A">
        <w:rPr>
          <w:rFonts w:ascii="Tahoma" w:eastAsia="Times New Roman" w:hAnsi="Tahoma" w:cs="Calibri"/>
          <w:sz w:val="24"/>
          <w:szCs w:val="20"/>
          <w:lang w:val="tr-TR" w:eastAsia="tr-TR"/>
        </w:rPr>
        <w:t xml:space="preserve"> </w:t>
      </w:r>
      <w:proofErr w:type="spellStart"/>
      <w:r w:rsidRPr="00FD224A">
        <w:rPr>
          <w:rFonts w:ascii="Tahoma" w:eastAsia="Times New Roman" w:hAnsi="Tahoma" w:cs="Calibri"/>
          <w:sz w:val="24"/>
          <w:szCs w:val="20"/>
          <w:lang w:val="tr-TR" w:eastAsia="tr-TR"/>
        </w:rPr>
        <w:t>Company</w:t>
      </w:r>
      <w:proofErr w:type="spellEnd"/>
      <w:r w:rsidRPr="00FD224A">
        <w:rPr>
          <w:rFonts w:ascii="Tahoma" w:eastAsia="Times New Roman" w:hAnsi="Tahoma" w:cs="Calibri"/>
          <w:sz w:val="24"/>
          <w:szCs w:val="20"/>
          <w:lang w:val="tr-TR" w:eastAsia="tr-TR"/>
        </w:rPr>
        <w:t xml:space="preserve">, </w:t>
      </w:r>
      <w:proofErr w:type="spellStart"/>
      <w:r w:rsidRPr="00FD224A">
        <w:rPr>
          <w:rFonts w:ascii="Tahoma" w:eastAsia="Times New Roman" w:hAnsi="Tahoma" w:cs="Calibri"/>
          <w:sz w:val="24"/>
          <w:szCs w:val="20"/>
          <w:lang w:val="tr-TR" w:eastAsia="tr-TR"/>
        </w:rPr>
        <w:t>Sequoia</w:t>
      </w:r>
      <w:proofErr w:type="spellEnd"/>
      <w:r w:rsidRPr="00FD224A">
        <w:rPr>
          <w:rFonts w:ascii="Tahoma" w:eastAsia="Times New Roman" w:hAnsi="Tahoma" w:cs="Calibri"/>
          <w:sz w:val="24"/>
          <w:szCs w:val="20"/>
          <w:lang w:val="tr-TR" w:eastAsia="tr-TR"/>
        </w:rPr>
        <w:t xml:space="preserve"> </w:t>
      </w:r>
      <w:proofErr w:type="spellStart"/>
      <w:r w:rsidRPr="00FD224A">
        <w:rPr>
          <w:rFonts w:ascii="Tahoma" w:eastAsia="Times New Roman" w:hAnsi="Tahoma" w:cs="Calibri"/>
          <w:sz w:val="24"/>
          <w:szCs w:val="20"/>
          <w:lang w:val="tr-TR" w:eastAsia="tr-TR"/>
        </w:rPr>
        <w:t>Capital</w:t>
      </w:r>
      <w:proofErr w:type="spellEnd"/>
      <w:r w:rsidRPr="00FD224A">
        <w:rPr>
          <w:rFonts w:ascii="Tahoma" w:eastAsia="Times New Roman" w:hAnsi="Tahoma" w:cs="Calibri"/>
          <w:sz w:val="24"/>
          <w:szCs w:val="20"/>
          <w:lang w:val="tr-TR" w:eastAsia="tr-TR"/>
        </w:rPr>
        <w:t xml:space="preserve">, </w:t>
      </w:r>
      <w:proofErr w:type="spellStart"/>
      <w:r w:rsidRPr="00FD224A">
        <w:rPr>
          <w:rFonts w:ascii="Tahoma" w:eastAsia="Times New Roman" w:hAnsi="Tahoma" w:cs="Calibri"/>
          <w:sz w:val="24"/>
          <w:szCs w:val="20"/>
          <w:lang w:val="tr-TR" w:eastAsia="tr-TR"/>
        </w:rPr>
        <w:t>Tiger</w:t>
      </w:r>
      <w:proofErr w:type="spellEnd"/>
      <w:r w:rsidRPr="00FD224A">
        <w:rPr>
          <w:rFonts w:ascii="Tahoma" w:eastAsia="Times New Roman" w:hAnsi="Tahoma" w:cs="Calibri"/>
          <w:sz w:val="24"/>
          <w:szCs w:val="20"/>
          <w:lang w:val="tr-TR" w:eastAsia="tr-TR"/>
        </w:rPr>
        <w:t xml:space="preserve"> Global gibi yatırımcıları içeren finansal yatırımcı grubunun yapmış olduğu 768</w:t>
      </w:r>
      <w:r w:rsidR="000576A3">
        <w:rPr>
          <w:rFonts w:ascii="Tahoma" w:eastAsia="Times New Roman" w:hAnsi="Tahoma" w:cs="Calibri"/>
          <w:sz w:val="24"/>
          <w:szCs w:val="20"/>
          <w:lang w:val="tr-TR" w:eastAsia="tr-TR"/>
        </w:rPr>
        <w:t xml:space="preserve"> </w:t>
      </w:r>
      <w:r w:rsidRPr="00FD224A">
        <w:rPr>
          <w:rFonts w:ascii="Tahoma" w:eastAsia="Times New Roman" w:hAnsi="Tahoma" w:cs="Calibri"/>
          <w:sz w:val="24"/>
          <w:szCs w:val="20"/>
          <w:lang w:val="tr-TR" w:eastAsia="tr-TR"/>
        </w:rPr>
        <w:t xml:space="preserve">milyon </w:t>
      </w:r>
      <w:r w:rsidR="000576A3">
        <w:rPr>
          <w:rFonts w:ascii="Tahoma" w:eastAsia="Times New Roman" w:hAnsi="Tahoma" w:cs="Calibri"/>
          <w:sz w:val="24"/>
          <w:szCs w:val="20"/>
          <w:lang w:val="tr-TR" w:eastAsia="tr-TR"/>
        </w:rPr>
        <w:t>d</w:t>
      </w:r>
      <w:r w:rsidRPr="00FD224A">
        <w:rPr>
          <w:rFonts w:ascii="Tahoma" w:eastAsia="Times New Roman" w:hAnsi="Tahoma" w:cs="Calibri"/>
          <w:sz w:val="24"/>
          <w:szCs w:val="20"/>
          <w:lang w:val="tr-TR" w:eastAsia="tr-TR"/>
        </w:rPr>
        <w:t xml:space="preserve">olar tutarındaki yatırım ile satın alınması oldu. Yarım milyar dolar eşiğini aşan bir diğer işlem ise Kalyon Güneş Enerjisi </w:t>
      </w:r>
      <w:proofErr w:type="spellStart"/>
      <w:r w:rsidRPr="00FD224A">
        <w:rPr>
          <w:rFonts w:ascii="Tahoma" w:eastAsia="Times New Roman" w:hAnsi="Tahoma" w:cs="Calibri"/>
          <w:sz w:val="24"/>
          <w:szCs w:val="20"/>
          <w:lang w:val="tr-TR" w:eastAsia="tr-TR"/>
        </w:rPr>
        <w:t>Üretim’in</w:t>
      </w:r>
      <w:proofErr w:type="spellEnd"/>
      <w:r w:rsidRPr="00FD224A">
        <w:rPr>
          <w:rFonts w:ascii="Tahoma" w:eastAsia="Times New Roman" w:hAnsi="Tahoma" w:cs="Calibri"/>
          <w:sz w:val="24"/>
          <w:szCs w:val="20"/>
          <w:lang w:val="tr-TR" w:eastAsia="tr-TR"/>
        </w:rPr>
        <w:t xml:space="preserve"> yüzde 50 hissesinin BAE kökenli International Holding Company tarafından satın alınması oldu</w:t>
      </w:r>
      <w:bookmarkStart w:id="8" w:name="_Hlk91167600"/>
      <w:r w:rsidRPr="00FD224A">
        <w:rPr>
          <w:rFonts w:ascii="Tahoma" w:eastAsia="Times New Roman" w:hAnsi="Tahoma" w:cs="Calibri"/>
          <w:sz w:val="24"/>
          <w:szCs w:val="20"/>
          <w:lang w:val="tr-TR" w:eastAsia="tr-TR"/>
        </w:rPr>
        <w:t xml:space="preserve">. </w:t>
      </w:r>
      <w:bookmarkEnd w:id="8"/>
    </w:p>
    <w:bookmarkEnd w:id="7"/>
    <w:p w14:paraId="7F202F6C" w14:textId="77777777" w:rsidR="00027B4A" w:rsidRPr="00FD224A" w:rsidRDefault="00027B4A" w:rsidP="00027B4A">
      <w:pPr>
        <w:spacing w:after="0" w:line="240" w:lineRule="auto"/>
        <w:jc w:val="both"/>
        <w:rPr>
          <w:rFonts w:ascii="Tahoma" w:eastAsia="Times New Roman" w:hAnsi="Tahoma" w:cs="Calibri"/>
          <w:sz w:val="24"/>
          <w:szCs w:val="20"/>
          <w:lang w:val="tr-TR" w:eastAsia="tr-TR"/>
        </w:rPr>
      </w:pPr>
    </w:p>
    <w:p w14:paraId="10C8509A" w14:textId="77777777" w:rsidR="00027B4A" w:rsidRPr="00FD224A" w:rsidRDefault="00027B4A" w:rsidP="00027B4A">
      <w:pPr>
        <w:spacing w:after="0" w:line="240" w:lineRule="auto"/>
        <w:jc w:val="both"/>
        <w:rPr>
          <w:rFonts w:ascii="Tahoma" w:eastAsia="Times New Roman" w:hAnsi="Tahoma" w:cs="Calibri"/>
          <w:b/>
          <w:color w:val="FF0000"/>
          <w:sz w:val="24"/>
          <w:szCs w:val="20"/>
          <w:lang w:val="tr-TR" w:eastAsia="tr-TR"/>
        </w:rPr>
      </w:pPr>
      <w:r w:rsidRPr="00FD224A">
        <w:rPr>
          <w:rFonts w:ascii="Tahoma" w:eastAsia="Times New Roman" w:hAnsi="Tahoma" w:cs="Calibri"/>
          <w:b/>
          <w:sz w:val="24"/>
          <w:szCs w:val="20"/>
          <w:lang w:val="tr-TR" w:eastAsia="tr-TR"/>
        </w:rPr>
        <w:t>Finansal yatırımcılardan 3,6 milyar dolarlık işlem hacmi</w:t>
      </w:r>
    </w:p>
    <w:p w14:paraId="6FC8DBEA" w14:textId="77777777" w:rsidR="00027B4A" w:rsidRPr="00FD224A" w:rsidRDefault="00027B4A" w:rsidP="00027B4A">
      <w:pPr>
        <w:spacing w:after="0" w:line="240" w:lineRule="auto"/>
        <w:jc w:val="both"/>
        <w:rPr>
          <w:rFonts w:ascii="Tahoma" w:eastAsia="Times New Roman" w:hAnsi="Tahoma" w:cs="Calibri"/>
          <w:sz w:val="24"/>
          <w:szCs w:val="20"/>
          <w:highlight w:val="yellow"/>
          <w:lang w:val="tr-TR" w:eastAsia="tr-TR"/>
        </w:rPr>
      </w:pPr>
    </w:p>
    <w:p w14:paraId="07A99427" w14:textId="2A1362C5" w:rsidR="00027B4A" w:rsidRPr="00FD224A" w:rsidRDefault="00027B4A" w:rsidP="00027B4A">
      <w:pPr>
        <w:spacing w:after="0" w:line="240" w:lineRule="auto"/>
        <w:jc w:val="both"/>
        <w:rPr>
          <w:rFonts w:ascii="Tahoma" w:eastAsia="Times New Roman" w:hAnsi="Tahoma" w:cs="Calibri"/>
          <w:sz w:val="24"/>
          <w:szCs w:val="20"/>
          <w:lang w:val="tr-TR" w:eastAsia="tr-TR"/>
        </w:rPr>
      </w:pPr>
      <w:r w:rsidRPr="00FD224A">
        <w:rPr>
          <w:rFonts w:ascii="Tahoma" w:eastAsia="Times New Roman" w:hAnsi="Tahoma" w:cs="Calibri"/>
          <w:sz w:val="24"/>
          <w:szCs w:val="20"/>
          <w:lang w:val="tr-TR" w:eastAsia="tr-TR"/>
        </w:rPr>
        <w:t xml:space="preserve">Finansal yatırımcılar (özel sermaye, risk sermayesi, varlık fonları vb.) 2021 yılında 150 işlem gerçekleştirirken yarattıkları işlem hacminin toplam işlem hacmindeki payı yüzde 21 seviyesindeydi. 2022 yılında toplam 82 işlem gerçekleştiren finansal yatırımcıların yapmış oldukları işlemlerin toplam işlem hacmindeki payı </w:t>
      </w:r>
      <w:r w:rsidR="000576A3">
        <w:rPr>
          <w:rFonts w:ascii="Tahoma" w:eastAsia="Times New Roman" w:hAnsi="Tahoma" w:cs="Calibri"/>
          <w:sz w:val="24"/>
          <w:szCs w:val="20"/>
          <w:lang w:val="tr-TR" w:eastAsia="tr-TR"/>
        </w:rPr>
        <w:t xml:space="preserve">ise </w:t>
      </w:r>
      <w:r w:rsidRPr="00FD224A">
        <w:rPr>
          <w:rFonts w:ascii="Tahoma" w:eastAsia="Times New Roman" w:hAnsi="Tahoma" w:cs="Calibri"/>
          <w:sz w:val="24"/>
          <w:szCs w:val="20"/>
          <w:lang w:val="tr-TR" w:eastAsia="tr-TR"/>
        </w:rPr>
        <w:t>geçtiğimiz yılın üzerine çıkarak yüzde 68 seviyesinde gerçekleşti.</w:t>
      </w:r>
    </w:p>
    <w:p w14:paraId="0FA53E43" w14:textId="77777777" w:rsidR="00027B4A" w:rsidRPr="00FD224A" w:rsidRDefault="00027B4A" w:rsidP="00027B4A">
      <w:pPr>
        <w:spacing w:after="0" w:line="240" w:lineRule="auto"/>
        <w:jc w:val="both"/>
        <w:rPr>
          <w:rFonts w:ascii="Tahoma" w:eastAsia="Times New Roman" w:hAnsi="Tahoma" w:cs="Calibri"/>
          <w:sz w:val="24"/>
          <w:szCs w:val="20"/>
          <w:lang w:val="tr-TR" w:eastAsia="tr-TR"/>
        </w:rPr>
      </w:pPr>
    </w:p>
    <w:p w14:paraId="5FB7EFCA" w14:textId="688854D8" w:rsidR="00027B4A" w:rsidRPr="00FD224A" w:rsidRDefault="00027B4A" w:rsidP="00027B4A">
      <w:pPr>
        <w:spacing w:after="0" w:line="240" w:lineRule="auto"/>
        <w:jc w:val="both"/>
        <w:rPr>
          <w:rFonts w:ascii="Tahoma" w:eastAsia="Times New Roman" w:hAnsi="Tahoma" w:cs="Calibri"/>
          <w:sz w:val="24"/>
          <w:szCs w:val="20"/>
          <w:lang w:val="tr-TR" w:eastAsia="tr-TR"/>
        </w:rPr>
      </w:pPr>
      <w:proofErr w:type="spellStart"/>
      <w:r w:rsidRPr="00FD224A">
        <w:rPr>
          <w:rFonts w:ascii="Tahoma" w:eastAsia="Times New Roman" w:hAnsi="Tahoma" w:cs="Calibri"/>
          <w:sz w:val="24"/>
          <w:szCs w:val="20"/>
          <w:lang w:val="tr-TR" w:eastAsia="tr-TR"/>
        </w:rPr>
        <w:t>Dream</w:t>
      </w:r>
      <w:proofErr w:type="spellEnd"/>
      <w:r w:rsidRPr="00FD224A">
        <w:rPr>
          <w:rFonts w:ascii="Tahoma" w:eastAsia="Times New Roman" w:hAnsi="Tahoma" w:cs="Calibri"/>
          <w:sz w:val="24"/>
          <w:szCs w:val="20"/>
          <w:lang w:val="tr-TR" w:eastAsia="tr-TR"/>
        </w:rPr>
        <w:t xml:space="preserve"> </w:t>
      </w:r>
      <w:proofErr w:type="spellStart"/>
      <w:r w:rsidRPr="00FD224A">
        <w:rPr>
          <w:rFonts w:ascii="Tahoma" w:eastAsia="Times New Roman" w:hAnsi="Tahoma" w:cs="Calibri"/>
          <w:sz w:val="24"/>
          <w:szCs w:val="20"/>
          <w:lang w:val="tr-TR" w:eastAsia="tr-TR"/>
        </w:rPr>
        <w:t>Games’in</w:t>
      </w:r>
      <w:proofErr w:type="spellEnd"/>
      <w:r w:rsidRPr="00FD224A">
        <w:rPr>
          <w:rFonts w:ascii="Tahoma" w:eastAsia="Times New Roman" w:hAnsi="Tahoma" w:cs="Calibri"/>
          <w:sz w:val="24"/>
          <w:szCs w:val="20"/>
          <w:lang w:val="tr-TR" w:eastAsia="tr-TR"/>
        </w:rPr>
        <w:t xml:space="preserve"> </w:t>
      </w:r>
      <w:r w:rsidR="000576A3">
        <w:rPr>
          <w:rFonts w:ascii="Tahoma" w:eastAsia="Times New Roman" w:hAnsi="Tahoma" w:cs="Calibri"/>
          <w:sz w:val="24"/>
          <w:szCs w:val="20"/>
          <w:lang w:val="tr-TR" w:eastAsia="tr-TR"/>
        </w:rPr>
        <w:t xml:space="preserve">yüzde </w:t>
      </w:r>
      <w:r w:rsidRPr="00FD224A">
        <w:rPr>
          <w:rFonts w:ascii="Tahoma" w:eastAsia="Times New Roman" w:hAnsi="Tahoma" w:cs="Calibri"/>
          <w:sz w:val="24"/>
          <w:szCs w:val="20"/>
          <w:lang w:val="tr-TR" w:eastAsia="tr-TR"/>
        </w:rPr>
        <w:t xml:space="preserve">9,3 hissesinin Index </w:t>
      </w:r>
      <w:proofErr w:type="spellStart"/>
      <w:r w:rsidRPr="00FD224A">
        <w:rPr>
          <w:rFonts w:ascii="Tahoma" w:eastAsia="Times New Roman" w:hAnsi="Tahoma" w:cs="Calibri"/>
          <w:sz w:val="24"/>
          <w:szCs w:val="20"/>
          <w:lang w:val="tr-TR" w:eastAsia="tr-TR"/>
        </w:rPr>
        <w:t>Ventures</w:t>
      </w:r>
      <w:proofErr w:type="spellEnd"/>
      <w:r w:rsidRPr="00FD224A">
        <w:rPr>
          <w:rFonts w:ascii="Tahoma" w:eastAsia="Times New Roman" w:hAnsi="Tahoma" w:cs="Calibri"/>
          <w:sz w:val="24"/>
          <w:szCs w:val="20"/>
          <w:lang w:val="tr-TR" w:eastAsia="tr-TR"/>
        </w:rPr>
        <w:t xml:space="preserve">, </w:t>
      </w:r>
      <w:proofErr w:type="spellStart"/>
      <w:r w:rsidRPr="00FD224A">
        <w:rPr>
          <w:rFonts w:ascii="Tahoma" w:eastAsia="Times New Roman" w:hAnsi="Tahoma" w:cs="Calibri"/>
          <w:sz w:val="24"/>
          <w:szCs w:val="20"/>
          <w:lang w:val="tr-TR" w:eastAsia="tr-TR"/>
        </w:rPr>
        <w:t>Balderton</w:t>
      </w:r>
      <w:proofErr w:type="spellEnd"/>
      <w:r w:rsidRPr="00FD224A">
        <w:rPr>
          <w:rFonts w:ascii="Tahoma" w:eastAsia="Times New Roman" w:hAnsi="Tahoma" w:cs="Calibri"/>
          <w:sz w:val="24"/>
          <w:szCs w:val="20"/>
          <w:lang w:val="tr-TR" w:eastAsia="tr-TR"/>
        </w:rPr>
        <w:t xml:space="preserve"> </w:t>
      </w:r>
      <w:proofErr w:type="spellStart"/>
      <w:r w:rsidRPr="00FD224A">
        <w:rPr>
          <w:rFonts w:ascii="Tahoma" w:eastAsia="Times New Roman" w:hAnsi="Tahoma" w:cs="Calibri"/>
          <w:sz w:val="24"/>
          <w:szCs w:val="20"/>
          <w:lang w:val="tr-TR" w:eastAsia="tr-TR"/>
        </w:rPr>
        <w:t>Capital</w:t>
      </w:r>
      <w:proofErr w:type="spellEnd"/>
      <w:r w:rsidRPr="00FD224A">
        <w:rPr>
          <w:rFonts w:ascii="Tahoma" w:eastAsia="Times New Roman" w:hAnsi="Tahoma" w:cs="Calibri"/>
          <w:sz w:val="24"/>
          <w:szCs w:val="20"/>
          <w:lang w:val="tr-TR" w:eastAsia="tr-TR"/>
        </w:rPr>
        <w:t xml:space="preserve">, </w:t>
      </w:r>
      <w:proofErr w:type="spellStart"/>
      <w:r w:rsidRPr="00FD224A">
        <w:rPr>
          <w:rFonts w:ascii="Tahoma" w:eastAsia="Times New Roman" w:hAnsi="Tahoma" w:cs="Calibri"/>
          <w:sz w:val="24"/>
          <w:szCs w:val="20"/>
          <w:lang w:val="tr-TR" w:eastAsia="tr-TR"/>
        </w:rPr>
        <w:t>Makers</w:t>
      </w:r>
      <w:proofErr w:type="spellEnd"/>
      <w:r w:rsidRPr="00FD224A">
        <w:rPr>
          <w:rFonts w:ascii="Tahoma" w:eastAsia="Times New Roman" w:hAnsi="Tahoma" w:cs="Calibri"/>
          <w:sz w:val="24"/>
          <w:szCs w:val="20"/>
          <w:lang w:val="tr-TR" w:eastAsia="tr-TR"/>
        </w:rPr>
        <w:t xml:space="preserve"> </w:t>
      </w:r>
      <w:proofErr w:type="spellStart"/>
      <w:r w:rsidRPr="00FD224A">
        <w:rPr>
          <w:rFonts w:ascii="Tahoma" w:eastAsia="Times New Roman" w:hAnsi="Tahoma" w:cs="Calibri"/>
          <w:sz w:val="24"/>
          <w:szCs w:val="20"/>
          <w:lang w:val="tr-TR" w:eastAsia="tr-TR"/>
        </w:rPr>
        <w:t>Fund</w:t>
      </w:r>
      <w:proofErr w:type="spellEnd"/>
      <w:r w:rsidRPr="00FD224A">
        <w:rPr>
          <w:rFonts w:ascii="Tahoma" w:eastAsia="Times New Roman" w:hAnsi="Tahoma" w:cs="Calibri"/>
          <w:sz w:val="24"/>
          <w:szCs w:val="20"/>
          <w:lang w:val="tr-TR" w:eastAsia="tr-TR"/>
        </w:rPr>
        <w:t xml:space="preserve">, </w:t>
      </w:r>
      <w:proofErr w:type="spellStart"/>
      <w:r w:rsidRPr="00FD224A">
        <w:rPr>
          <w:rFonts w:ascii="Tahoma" w:eastAsia="Times New Roman" w:hAnsi="Tahoma" w:cs="Calibri"/>
          <w:sz w:val="24"/>
          <w:szCs w:val="20"/>
          <w:lang w:val="tr-TR" w:eastAsia="tr-TR"/>
        </w:rPr>
        <w:t>BlackRock</w:t>
      </w:r>
      <w:proofErr w:type="spellEnd"/>
      <w:r w:rsidRPr="00FD224A">
        <w:rPr>
          <w:rFonts w:ascii="Tahoma" w:eastAsia="Times New Roman" w:hAnsi="Tahoma" w:cs="Calibri"/>
          <w:sz w:val="24"/>
          <w:szCs w:val="20"/>
          <w:lang w:val="tr-TR" w:eastAsia="tr-TR"/>
        </w:rPr>
        <w:t xml:space="preserve"> </w:t>
      </w:r>
      <w:proofErr w:type="spellStart"/>
      <w:r w:rsidRPr="00FD224A">
        <w:rPr>
          <w:rFonts w:ascii="Tahoma" w:eastAsia="Times New Roman" w:hAnsi="Tahoma" w:cs="Calibri"/>
          <w:sz w:val="24"/>
          <w:szCs w:val="20"/>
          <w:lang w:val="tr-TR" w:eastAsia="tr-TR"/>
        </w:rPr>
        <w:t>Private</w:t>
      </w:r>
      <w:proofErr w:type="spellEnd"/>
      <w:r w:rsidRPr="00FD224A">
        <w:rPr>
          <w:rFonts w:ascii="Tahoma" w:eastAsia="Times New Roman" w:hAnsi="Tahoma" w:cs="Calibri"/>
          <w:sz w:val="24"/>
          <w:szCs w:val="20"/>
          <w:lang w:val="tr-TR" w:eastAsia="tr-TR"/>
        </w:rPr>
        <w:t xml:space="preserve"> </w:t>
      </w:r>
      <w:proofErr w:type="spellStart"/>
      <w:r w:rsidRPr="00FD224A">
        <w:rPr>
          <w:rFonts w:ascii="Tahoma" w:eastAsia="Times New Roman" w:hAnsi="Tahoma" w:cs="Calibri"/>
          <w:sz w:val="24"/>
          <w:szCs w:val="20"/>
          <w:lang w:val="tr-TR" w:eastAsia="tr-TR"/>
        </w:rPr>
        <w:t>Equity</w:t>
      </w:r>
      <w:proofErr w:type="spellEnd"/>
      <w:r w:rsidRPr="00FD224A">
        <w:rPr>
          <w:rFonts w:ascii="Tahoma" w:eastAsia="Times New Roman" w:hAnsi="Tahoma" w:cs="Calibri"/>
          <w:sz w:val="24"/>
          <w:szCs w:val="20"/>
          <w:lang w:val="tr-TR" w:eastAsia="tr-TR"/>
        </w:rPr>
        <w:t xml:space="preserve"> </w:t>
      </w:r>
      <w:proofErr w:type="spellStart"/>
      <w:r w:rsidRPr="00FD224A">
        <w:rPr>
          <w:rFonts w:ascii="Tahoma" w:eastAsia="Times New Roman" w:hAnsi="Tahoma" w:cs="Calibri"/>
          <w:sz w:val="24"/>
          <w:szCs w:val="20"/>
          <w:lang w:val="tr-TR" w:eastAsia="tr-TR"/>
        </w:rPr>
        <w:t>Partners</w:t>
      </w:r>
      <w:proofErr w:type="spellEnd"/>
      <w:r w:rsidRPr="00FD224A">
        <w:rPr>
          <w:rFonts w:ascii="Tahoma" w:eastAsia="Times New Roman" w:hAnsi="Tahoma" w:cs="Calibri"/>
          <w:sz w:val="24"/>
          <w:szCs w:val="20"/>
          <w:lang w:val="tr-TR" w:eastAsia="tr-TR"/>
        </w:rPr>
        <w:t xml:space="preserve">, Kora ve </w:t>
      </w:r>
      <w:proofErr w:type="spellStart"/>
      <w:r w:rsidRPr="00FD224A">
        <w:rPr>
          <w:rFonts w:ascii="Tahoma" w:eastAsia="Times New Roman" w:hAnsi="Tahoma" w:cs="Calibri"/>
          <w:sz w:val="24"/>
          <w:szCs w:val="20"/>
          <w:lang w:val="tr-TR" w:eastAsia="tr-TR"/>
        </w:rPr>
        <w:t>Institutional</w:t>
      </w:r>
      <w:proofErr w:type="spellEnd"/>
      <w:r w:rsidRPr="00FD224A">
        <w:rPr>
          <w:rFonts w:ascii="Tahoma" w:eastAsia="Times New Roman" w:hAnsi="Tahoma" w:cs="Calibri"/>
          <w:sz w:val="24"/>
          <w:szCs w:val="20"/>
          <w:lang w:val="tr-TR" w:eastAsia="tr-TR"/>
        </w:rPr>
        <w:t xml:space="preserve"> </w:t>
      </w:r>
      <w:proofErr w:type="spellStart"/>
      <w:r w:rsidRPr="00FD224A">
        <w:rPr>
          <w:rFonts w:ascii="Tahoma" w:eastAsia="Times New Roman" w:hAnsi="Tahoma" w:cs="Calibri"/>
          <w:sz w:val="24"/>
          <w:szCs w:val="20"/>
          <w:lang w:val="tr-TR" w:eastAsia="tr-TR"/>
        </w:rPr>
        <w:t>Venture</w:t>
      </w:r>
      <w:proofErr w:type="spellEnd"/>
      <w:r w:rsidRPr="00FD224A">
        <w:rPr>
          <w:rFonts w:ascii="Tahoma" w:eastAsia="Times New Roman" w:hAnsi="Tahoma" w:cs="Calibri"/>
          <w:sz w:val="24"/>
          <w:szCs w:val="20"/>
          <w:lang w:val="tr-TR" w:eastAsia="tr-TR"/>
        </w:rPr>
        <w:t xml:space="preserve"> </w:t>
      </w:r>
      <w:proofErr w:type="spellStart"/>
      <w:r w:rsidRPr="00FD224A">
        <w:rPr>
          <w:rFonts w:ascii="Tahoma" w:eastAsia="Times New Roman" w:hAnsi="Tahoma" w:cs="Calibri"/>
          <w:sz w:val="24"/>
          <w:szCs w:val="20"/>
          <w:lang w:val="tr-TR" w:eastAsia="tr-TR"/>
        </w:rPr>
        <w:t>Partners’tan</w:t>
      </w:r>
      <w:proofErr w:type="spellEnd"/>
      <w:r w:rsidRPr="00FD224A">
        <w:rPr>
          <w:rFonts w:ascii="Tahoma" w:eastAsia="Times New Roman" w:hAnsi="Tahoma" w:cs="Calibri"/>
          <w:sz w:val="24"/>
          <w:szCs w:val="20"/>
          <w:lang w:val="tr-TR" w:eastAsia="tr-TR"/>
        </w:rPr>
        <w:t xml:space="preserve"> oluşan</w:t>
      </w:r>
      <w:r w:rsidR="000576A3">
        <w:rPr>
          <w:rFonts w:ascii="Tahoma" w:eastAsia="Times New Roman" w:hAnsi="Tahoma" w:cs="Calibri"/>
          <w:sz w:val="24"/>
          <w:szCs w:val="20"/>
          <w:lang w:val="tr-TR" w:eastAsia="tr-TR"/>
        </w:rPr>
        <w:t xml:space="preserve"> </w:t>
      </w:r>
      <w:r w:rsidRPr="00FD224A">
        <w:rPr>
          <w:rFonts w:ascii="Tahoma" w:eastAsia="Times New Roman" w:hAnsi="Tahoma" w:cs="Calibri"/>
          <w:sz w:val="24"/>
          <w:szCs w:val="20"/>
          <w:lang w:val="tr-TR" w:eastAsia="tr-TR"/>
        </w:rPr>
        <w:t>yatırımcı grubu tarafından 255</w:t>
      </w:r>
      <w:r w:rsidR="000576A3">
        <w:rPr>
          <w:rFonts w:ascii="Tahoma" w:eastAsia="Times New Roman" w:hAnsi="Tahoma" w:cs="Calibri"/>
          <w:sz w:val="24"/>
          <w:szCs w:val="20"/>
          <w:lang w:val="tr-TR" w:eastAsia="tr-TR"/>
        </w:rPr>
        <w:t xml:space="preserve"> </w:t>
      </w:r>
      <w:r w:rsidRPr="00FD224A">
        <w:rPr>
          <w:rFonts w:ascii="Tahoma" w:eastAsia="Times New Roman" w:hAnsi="Tahoma" w:cs="Calibri"/>
          <w:sz w:val="24"/>
          <w:szCs w:val="20"/>
          <w:lang w:val="tr-TR" w:eastAsia="tr-TR"/>
        </w:rPr>
        <w:t xml:space="preserve">milyon </w:t>
      </w:r>
      <w:r w:rsidR="000576A3">
        <w:rPr>
          <w:rFonts w:ascii="Tahoma" w:eastAsia="Times New Roman" w:hAnsi="Tahoma" w:cs="Calibri"/>
          <w:sz w:val="24"/>
          <w:szCs w:val="20"/>
          <w:lang w:val="tr-TR" w:eastAsia="tr-TR"/>
        </w:rPr>
        <w:t>d</w:t>
      </w:r>
      <w:r w:rsidRPr="00FD224A">
        <w:rPr>
          <w:rFonts w:ascii="Tahoma" w:eastAsia="Times New Roman" w:hAnsi="Tahoma" w:cs="Calibri"/>
          <w:sz w:val="24"/>
          <w:szCs w:val="20"/>
          <w:lang w:val="tr-TR" w:eastAsia="tr-TR"/>
        </w:rPr>
        <w:t xml:space="preserve">olar yatırım ile satın alınması, </w:t>
      </w:r>
      <w:proofErr w:type="spellStart"/>
      <w:r w:rsidRPr="00FD224A">
        <w:rPr>
          <w:rFonts w:ascii="Tahoma" w:eastAsia="Times New Roman" w:hAnsi="Tahoma" w:cs="Calibri"/>
          <w:sz w:val="24"/>
          <w:szCs w:val="20"/>
          <w:lang w:val="tr-TR" w:eastAsia="tr-TR"/>
        </w:rPr>
        <w:t>Insider’ın</w:t>
      </w:r>
      <w:proofErr w:type="spellEnd"/>
      <w:r w:rsidRPr="00FD224A">
        <w:rPr>
          <w:rFonts w:ascii="Tahoma" w:eastAsia="Times New Roman" w:hAnsi="Tahoma" w:cs="Calibri"/>
          <w:sz w:val="24"/>
          <w:szCs w:val="20"/>
          <w:lang w:val="tr-TR" w:eastAsia="tr-TR"/>
        </w:rPr>
        <w:t xml:space="preserve"> </w:t>
      </w:r>
      <w:r w:rsidR="000576A3">
        <w:rPr>
          <w:rFonts w:ascii="Tahoma" w:eastAsia="Times New Roman" w:hAnsi="Tahoma" w:cs="Calibri"/>
          <w:sz w:val="24"/>
          <w:szCs w:val="20"/>
          <w:lang w:val="tr-TR" w:eastAsia="tr-TR"/>
        </w:rPr>
        <w:t xml:space="preserve">yüzde </w:t>
      </w:r>
      <w:r w:rsidRPr="00FD224A">
        <w:rPr>
          <w:rFonts w:ascii="Tahoma" w:eastAsia="Times New Roman" w:hAnsi="Tahoma" w:cs="Calibri"/>
          <w:sz w:val="24"/>
          <w:szCs w:val="20"/>
          <w:lang w:val="tr-TR" w:eastAsia="tr-TR"/>
        </w:rPr>
        <w:t xml:space="preserve">9,9 hissesinin </w:t>
      </w:r>
      <w:proofErr w:type="spellStart"/>
      <w:r w:rsidRPr="00FD224A">
        <w:rPr>
          <w:rFonts w:ascii="Tahoma" w:eastAsia="Times New Roman" w:hAnsi="Tahoma" w:cs="Calibri"/>
          <w:sz w:val="24"/>
          <w:szCs w:val="20"/>
          <w:lang w:val="tr-TR" w:eastAsia="tr-TR"/>
        </w:rPr>
        <w:t>Qatar</w:t>
      </w:r>
      <w:proofErr w:type="spellEnd"/>
      <w:r w:rsidRPr="00FD224A">
        <w:rPr>
          <w:rFonts w:ascii="Tahoma" w:eastAsia="Times New Roman" w:hAnsi="Tahoma" w:cs="Calibri"/>
          <w:sz w:val="24"/>
          <w:szCs w:val="20"/>
          <w:lang w:val="tr-TR" w:eastAsia="tr-TR"/>
        </w:rPr>
        <w:t xml:space="preserve"> </w:t>
      </w:r>
      <w:proofErr w:type="spellStart"/>
      <w:r w:rsidRPr="00FD224A">
        <w:rPr>
          <w:rFonts w:ascii="Tahoma" w:eastAsia="Times New Roman" w:hAnsi="Tahoma" w:cs="Calibri"/>
          <w:sz w:val="24"/>
          <w:szCs w:val="20"/>
          <w:lang w:val="tr-TR" w:eastAsia="tr-TR"/>
        </w:rPr>
        <w:t>Investment</w:t>
      </w:r>
      <w:proofErr w:type="spellEnd"/>
      <w:r w:rsidRPr="00FD224A">
        <w:rPr>
          <w:rFonts w:ascii="Tahoma" w:eastAsia="Times New Roman" w:hAnsi="Tahoma" w:cs="Calibri"/>
          <w:sz w:val="24"/>
          <w:szCs w:val="20"/>
          <w:lang w:val="tr-TR" w:eastAsia="tr-TR"/>
        </w:rPr>
        <w:t xml:space="preserve"> </w:t>
      </w:r>
      <w:proofErr w:type="spellStart"/>
      <w:r w:rsidRPr="00FD224A">
        <w:rPr>
          <w:rFonts w:ascii="Tahoma" w:eastAsia="Times New Roman" w:hAnsi="Tahoma" w:cs="Calibri"/>
          <w:sz w:val="24"/>
          <w:szCs w:val="20"/>
          <w:lang w:val="tr-TR" w:eastAsia="tr-TR"/>
        </w:rPr>
        <w:t>Authority</w:t>
      </w:r>
      <w:proofErr w:type="spellEnd"/>
      <w:r w:rsidRPr="00FD224A">
        <w:rPr>
          <w:rFonts w:ascii="Tahoma" w:eastAsia="Times New Roman" w:hAnsi="Tahoma" w:cs="Calibri"/>
          <w:sz w:val="24"/>
          <w:szCs w:val="20"/>
          <w:lang w:val="tr-TR" w:eastAsia="tr-TR"/>
        </w:rPr>
        <w:t xml:space="preserve">, 212, </w:t>
      </w:r>
      <w:proofErr w:type="spellStart"/>
      <w:r w:rsidRPr="00FD224A">
        <w:rPr>
          <w:rFonts w:ascii="Tahoma" w:eastAsia="Times New Roman" w:hAnsi="Tahoma" w:cs="Calibri"/>
          <w:sz w:val="24"/>
          <w:szCs w:val="20"/>
          <w:lang w:val="tr-TR" w:eastAsia="tr-TR"/>
        </w:rPr>
        <w:t>Sequoia</w:t>
      </w:r>
      <w:proofErr w:type="spellEnd"/>
      <w:r w:rsidRPr="00FD224A">
        <w:rPr>
          <w:rFonts w:ascii="Tahoma" w:eastAsia="Times New Roman" w:hAnsi="Tahoma" w:cs="Calibri"/>
          <w:sz w:val="24"/>
          <w:szCs w:val="20"/>
          <w:lang w:val="tr-TR" w:eastAsia="tr-TR"/>
        </w:rPr>
        <w:t xml:space="preserve"> </w:t>
      </w:r>
      <w:proofErr w:type="spellStart"/>
      <w:r w:rsidRPr="00FD224A">
        <w:rPr>
          <w:rFonts w:ascii="Tahoma" w:eastAsia="Times New Roman" w:hAnsi="Tahoma" w:cs="Calibri"/>
          <w:sz w:val="24"/>
          <w:szCs w:val="20"/>
          <w:lang w:val="tr-TR" w:eastAsia="tr-TR"/>
        </w:rPr>
        <w:t>Capital</w:t>
      </w:r>
      <w:proofErr w:type="spellEnd"/>
      <w:r w:rsidRPr="00FD224A">
        <w:rPr>
          <w:rFonts w:ascii="Tahoma" w:eastAsia="Times New Roman" w:hAnsi="Tahoma" w:cs="Calibri"/>
          <w:sz w:val="24"/>
          <w:szCs w:val="20"/>
          <w:lang w:val="tr-TR" w:eastAsia="tr-TR"/>
        </w:rPr>
        <w:t xml:space="preserve"> </w:t>
      </w:r>
      <w:proofErr w:type="spellStart"/>
      <w:r w:rsidRPr="00FD224A">
        <w:rPr>
          <w:rFonts w:ascii="Tahoma" w:eastAsia="Times New Roman" w:hAnsi="Tahoma" w:cs="Calibri"/>
          <w:sz w:val="24"/>
          <w:szCs w:val="20"/>
          <w:lang w:val="tr-TR" w:eastAsia="tr-TR"/>
        </w:rPr>
        <w:t>India</w:t>
      </w:r>
      <w:proofErr w:type="spellEnd"/>
      <w:r w:rsidRPr="00FD224A">
        <w:rPr>
          <w:rFonts w:ascii="Tahoma" w:eastAsia="Times New Roman" w:hAnsi="Tahoma" w:cs="Calibri"/>
          <w:sz w:val="24"/>
          <w:szCs w:val="20"/>
          <w:lang w:val="tr-TR" w:eastAsia="tr-TR"/>
        </w:rPr>
        <w:t xml:space="preserve">, </w:t>
      </w:r>
      <w:proofErr w:type="spellStart"/>
      <w:r w:rsidRPr="00FD224A">
        <w:rPr>
          <w:rFonts w:ascii="Tahoma" w:eastAsia="Times New Roman" w:hAnsi="Tahoma" w:cs="Calibri"/>
          <w:sz w:val="24"/>
          <w:szCs w:val="20"/>
          <w:lang w:val="tr-TR" w:eastAsia="tr-TR"/>
        </w:rPr>
        <w:t>Wamda</w:t>
      </w:r>
      <w:proofErr w:type="spellEnd"/>
      <w:r w:rsidRPr="00FD224A">
        <w:rPr>
          <w:rFonts w:ascii="Tahoma" w:eastAsia="Times New Roman" w:hAnsi="Tahoma" w:cs="Calibri"/>
          <w:sz w:val="24"/>
          <w:szCs w:val="20"/>
          <w:lang w:val="tr-TR" w:eastAsia="tr-TR"/>
        </w:rPr>
        <w:t xml:space="preserve"> </w:t>
      </w:r>
      <w:proofErr w:type="spellStart"/>
      <w:r w:rsidRPr="00FD224A">
        <w:rPr>
          <w:rFonts w:ascii="Tahoma" w:eastAsia="Times New Roman" w:hAnsi="Tahoma" w:cs="Calibri"/>
          <w:sz w:val="24"/>
          <w:szCs w:val="20"/>
          <w:lang w:val="tr-TR" w:eastAsia="tr-TR"/>
        </w:rPr>
        <w:t>Capital</w:t>
      </w:r>
      <w:proofErr w:type="spellEnd"/>
      <w:r w:rsidRPr="00FD224A">
        <w:rPr>
          <w:rFonts w:ascii="Tahoma" w:eastAsia="Times New Roman" w:hAnsi="Tahoma" w:cs="Calibri"/>
          <w:sz w:val="24"/>
          <w:szCs w:val="20"/>
          <w:lang w:val="tr-TR" w:eastAsia="tr-TR"/>
        </w:rPr>
        <w:t xml:space="preserve">, </w:t>
      </w:r>
      <w:proofErr w:type="spellStart"/>
      <w:r w:rsidRPr="00FD224A">
        <w:rPr>
          <w:rFonts w:ascii="Tahoma" w:eastAsia="Times New Roman" w:hAnsi="Tahoma" w:cs="Calibri"/>
          <w:sz w:val="24"/>
          <w:szCs w:val="20"/>
          <w:lang w:val="tr-TR" w:eastAsia="tr-TR"/>
        </w:rPr>
        <w:t>Endeavor</w:t>
      </w:r>
      <w:proofErr w:type="spellEnd"/>
      <w:r w:rsidR="000576A3">
        <w:rPr>
          <w:rFonts w:ascii="Tahoma" w:eastAsia="Times New Roman" w:hAnsi="Tahoma" w:cs="Calibri"/>
          <w:sz w:val="24"/>
          <w:szCs w:val="20"/>
          <w:lang w:val="tr-TR" w:eastAsia="tr-TR"/>
        </w:rPr>
        <w:t xml:space="preserve"> </w:t>
      </w:r>
      <w:proofErr w:type="spellStart"/>
      <w:r w:rsidRPr="00FD224A">
        <w:rPr>
          <w:rFonts w:ascii="Tahoma" w:eastAsia="Times New Roman" w:hAnsi="Tahoma" w:cs="Calibri"/>
          <w:sz w:val="24"/>
          <w:szCs w:val="20"/>
          <w:lang w:val="tr-TR" w:eastAsia="tr-TR"/>
        </w:rPr>
        <w:t>Catalyst</w:t>
      </w:r>
      <w:proofErr w:type="spellEnd"/>
      <w:r w:rsidRPr="00FD224A">
        <w:rPr>
          <w:rFonts w:ascii="Tahoma" w:eastAsia="Times New Roman" w:hAnsi="Tahoma" w:cs="Calibri"/>
          <w:sz w:val="24"/>
          <w:szCs w:val="20"/>
          <w:lang w:val="tr-TR" w:eastAsia="tr-TR"/>
        </w:rPr>
        <w:t>,</w:t>
      </w:r>
      <w:r w:rsidR="000576A3">
        <w:rPr>
          <w:rFonts w:ascii="Tahoma" w:eastAsia="Times New Roman" w:hAnsi="Tahoma" w:cs="Calibri"/>
          <w:sz w:val="24"/>
          <w:szCs w:val="20"/>
          <w:lang w:val="tr-TR" w:eastAsia="tr-TR"/>
        </w:rPr>
        <w:t xml:space="preserve"> </w:t>
      </w:r>
      <w:proofErr w:type="spellStart"/>
      <w:r w:rsidRPr="00FD224A">
        <w:rPr>
          <w:rFonts w:ascii="Tahoma" w:eastAsia="Times New Roman" w:hAnsi="Tahoma" w:cs="Calibri"/>
          <w:sz w:val="24"/>
          <w:szCs w:val="20"/>
          <w:lang w:val="tr-TR" w:eastAsia="tr-TR"/>
        </w:rPr>
        <w:t>Riverwood</w:t>
      </w:r>
      <w:proofErr w:type="spellEnd"/>
      <w:r w:rsidRPr="00FD224A">
        <w:rPr>
          <w:rFonts w:ascii="Tahoma" w:eastAsia="Times New Roman" w:hAnsi="Tahoma" w:cs="Calibri"/>
          <w:sz w:val="24"/>
          <w:szCs w:val="20"/>
          <w:lang w:val="tr-TR" w:eastAsia="tr-TR"/>
        </w:rPr>
        <w:t xml:space="preserve"> </w:t>
      </w:r>
      <w:proofErr w:type="spellStart"/>
      <w:r w:rsidRPr="00FD224A">
        <w:rPr>
          <w:rFonts w:ascii="Tahoma" w:eastAsia="Times New Roman" w:hAnsi="Tahoma" w:cs="Calibri"/>
          <w:sz w:val="24"/>
          <w:szCs w:val="20"/>
          <w:lang w:val="tr-TR" w:eastAsia="tr-TR"/>
        </w:rPr>
        <w:t>Capital</w:t>
      </w:r>
      <w:proofErr w:type="spellEnd"/>
      <w:r w:rsidRPr="00FD224A">
        <w:rPr>
          <w:rFonts w:ascii="Tahoma" w:eastAsia="Times New Roman" w:hAnsi="Tahoma" w:cs="Calibri"/>
          <w:sz w:val="24"/>
          <w:szCs w:val="20"/>
          <w:lang w:val="tr-TR" w:eastAsia="tr-TR"/>
        </w:rPr>
        <w:t xml:space="preserve">, Esas </w:t>
      </w:r>
      <w:proofErr w:type="spellStart"/>
      <w:r w:rsidRPr="00FD224A">
        <w:rPr>
          <w:rFonts w:ascii="Tahoma" w:eastAsia="Times New Roman" w:hAnsi="Tahoma" w:cs="Calibri"/>
          <w:sz w:val="24"/>
          <w:szCs w:val="20"/>
          <w:lang w:val="tr-TR" w:eastAsia="tr-TR"/>
        </w:rPr>
        <w:t>Private</w:t>
      </w:r>
      <w:proofErr w:type="spellEnd"/>
      <w:r w:rsidRPr="00FD224A">
        <w:rPr>
          <w:rFonts w:ascii="Tahoma" w:eastAsia="Times New Roman" w:hAnsi="Tahoma" w:cs="Calibri"/>
          <w:sz w:val="24"/>
          <w:szCs w:val="20"/>
          <w:lang w:val="tr-TR" w:eastAsia="tr-TR"/>
        </w:rPr>
        <w:t xml:space="preserve"> </w:t>
      </w:r>
      <w:proofErr w:type="spellStart"/>
      <w:r w:rsidRPr="00FD224A">
        <w:rPr>
          <w:rFonts w:ascii="Tahoma" w:eastAsia="Times New Roman" w:hAnsi="Tahoma" w:cs="Calibri"/>
          <w:sz w:val="24"/>
          <w:szCs w:val="20"/>
          <w:lang w:val="tr-TR" w:eastAsia="tr-TR"/>
        </w:rPr>
        <w:t>Equity</w:t>
      </w:r>
      <w:proofErr w:type="spellEnd"/>
      <w:r w:rsidRPr="00FD224A">
        <w:rPr>
          <w:rFonts w:ascii="Tahoma" w:eastAsia="Times New Roman" w:hAnsi="Tahoma" w:cs="Calibri"/>
          <w:sz w:val="24"/>
          <w:szCs w:val="20"/>
          <w:lang w:val="tr-TR" w:eastAsia="tr-TR"/>
        </w:rPr>
        <w:t xml:space="preserve">, ESPRO </w:t>
      </w:r>
      <w:proofErr w:type="spellStart"/>
      <w:r w:rsidRPr="00FD224A">
        <w:rPr>
          <w:rFonts w:ascii="Tahoma" w:eastAsia="Times New Roman" w:hAnsi="Tahoma" w:cs="Calibri"/>
          <w:sz w:val="24"/>
          <w:szCs w:val="20"/>
          <w:lang w:val="tr-TR" w:eastAsia="tr-TR"/>
        </w:rPr>
        <w:t>Investment</w:t>
      </w:r>
      <w:proofErr w:type="spellEnd"/>
      <w:r w:rsidRPr="00FD224A">
        <w:rPr>
          <w:rFonts w:ascii="Tahoma" w:eastAsia="Times New Roman" w:hAnsi="Tahoma" w:cs="Calibri"/>
          <w:sz w:val="24"/>
          <w:szCs w:val="20"/>
          <w:lang w:val="tr-TR" w:eastAsia="tr-TR"/>
        </w:rPr>
        <w:t xml:space="preserve"> tarafından 121 milyon </w:t>
      </w:r>
      <w:r w:rsidR="000576A3">
        <w:rPr>
          <w:rFonts w:ascii="Tahoma" w:eastAsia="Times New Roman" w:hAnsi="Tahoma" w:cs="Calibri"/>
          <w:sz w:val="24"/>
          <w:szCs w:val="20"/>
          <w:lang w:val="tr-TR" w:eastAsia="tr-TR"/>
        </w:rPr>
        <w:t>d</w:t>
      </w:r>
      <w:r w:rsidRPr="00FD224A">
        <w:rPr>
          <w:rFonts w:ascii="Tahoma" w:eastAsia="Times New Roman" w:hAnsi="Tahoma" w:cs="Calibri"/>
          <w:sz w:val="24"/>
          <w:szCs w:val="20"/>
          <w:lang w:val="tr-TR" w:eastAsia="tr-TR"/>
        </w:rPr>
        <w:t>olar yatırımla satın alınması öne çıkan finansal yatırımcı işlemleri arasında yer aldı.</w:t>
      </w:r>
    </w:p>
    <w:p w14:paraId="2E7702C8" w14:textId="77777777" w:rsidR="00027B4A" w:rsidRPr="00FD224A" w:rsidRDefault="00027B4A" w:rsidP="00027B4A">
      <w:pPr>
        <w:spacing w:after="0" w:line="240" w:lineRule="auto"/>
        <w:jc w:val="both"/>
        <w:rPr>
          <w:rFonts w:ascii="Tahoma" w:eastAsia="Times New Roman" w:hAnsi="Tahoma" w:cs="Calibri"/>
          <w:sz w:val="24"/>
          <w:szCs w:val="20"/>
          <w:lang w:val="tr-TR" w:eastAsia="tr-TR"/>
        </w:rPr>
      </w:pPr>
    </w:p>
    <w:p w14:paraId="26B289CD" w14:textId="77777777" w:rsidR="00027B4A" w:rsidRPr="00FD224A" w:rsidRDefault="00027B4A" w:rsidP="00027B4A">
      <w:pPr>
        <w:spacing w:after="0" w:line="240" w:lineRule="auto"/>
        <w:jc w:val="both"/>
        <w:rPr>
          <w:rFonts w:ascii="Tahoma" w:eastAsia="Times New Roman" w:hAnsi="Tahoma" w:cs="Times New Roman"/>
          <w:sz w:val="32"/>
          <w:szCs w:val="24"/>
          <w:lang w:val="tr-TR" w:eastAsia="tr-TR"/>
        </w:rPr>
      </w:pPr>
      <w:r w:rsidRPr="00FD224A">
        <w:rPr>
          <w:rFonts w:ascii="Tahoma" w:eastAsia="Times New Roman" w:hAnsi="Tahoma" w:cs="Calibri"/>
          <w:b/>
          <w:sz w:val="24"/>
          <w:szCs w:val="20"/>
          <w:lang w:val="tr-TR" w:eastAsia="tr-TR"/>
        </w:rPr>
        <w:t>Yabancı yatırımcıların yarattığı işlem hacmi yerli yatırımcıları aştı</w:t>
      </w:r>
    </w:p>
    <w:p w14:paraId="2A5D3A77" w14:textId="77777777" w:rsidR="00027B4A" w:rsidRPr="00FD224A" w:rsidRDefault="00027B4A" w:rsidP="00027B4A">
      <w:pPr>
        <w:spacing w:after="0" w:line="240" w:lineRule="auto"/>
        <w:jc w:val="both"/>
        <w:rPr>
          <w:rFonts w:ascii="Tahoma" w:eastAsia="Times New Roman" w:hAnsi="Tahoma" w:cs="Calibri"/>
          <w:b/>
          <w:sz w:val="24"/>
          <w:szCs w:val="20"/>
          <w:lang w:val="tr-TR" w:eastAsia="tr-TR"/>
        </w:rPr>
      </w:pPr>
    </w:p>
    <w:p w14:paraId="5598BB86" w14:textId="411315B8" w:rsidR="00027B4A" w:rsidRPr="00FD224A" w:rsidRDefault="00027B4A" w:rsidP="00027B4A">
      <w:pPr>
        <w:spacing w:after="0" w:line="240" w:lineRule="auto"/>
        <w:jc w:val="both"/>
        <w:rPr>
          <w:rFonts w:ascii="Tahoma" w:eastAsia="Times New Roman" w:hAnsi="Tahoma" w:cs="Calibri"/>
          <w:sz w:val="24"/>
          <w:szCs w:val="20"/>
          <w:lang w:val="tr-TR" w:eastAsia="tr-TR"/>
        </w:rPr>
      </w:pPr>
      <w:r w:rsidRPr="00FD224A">
        <w:rPr>
          <w:rFonts w:ascii="Tahoma" w:eastAsia="Times New Roman" w:hAnsi="Tahoma" w:cs="Calibri"/>
          <w:sz w:val="24"/>
          <w:szCs w:val="20"/>
          <w:lang w:val="tr-TR" w:eastAsia="tr-TR"/>
        </w:rPr>
        <w:t>Yabancı yatırımcılar 2022 yılında toplam 67 birleşme ve satın alma işlemi gerçekleştirdi. Yabancı yatırımcıların gerçekleştirdiği birleşme ve satın alma işlem sayısı, 2022 yılında geçmiş yıllara paralellik göstererek toplam işlem sayısının yüzde 32’si</w:t>
      </w:r>
      <w:r w:rsidR="000576A3">
        <w:rPr>
          <w:rFonts w:ascii="Tahoma" w:eastAsia="Times New Roman" w:hAnsi="Tahoma" w:cs="Calibri"/>
          <w:sz w:val="24"/>
          <w:szCs w:val="20"/>
          <w:lang w:val="tr-TR" w:eastAsia="tr-TR"/>
        </w:rPr>
        <w:t xml:space="preserve">ni oluşturdu. </w:t>
      </w:r>
      <w:r w:rsidRPr="00FD224A">
        <w:rPr>
          <w:rFonts w:ascii="Tahoma" w:eastAsia="Times New Roman" w:hAnsi="Tahoma" w:cs="Calibri"/>
          <w:sz w:val="24"/>
          <w:szCs w:val="20"/>
          <w:lang w:val="tr-TR" w:eastAsia="tr-TR"/>
        </w:rPr>
        <w:t xml:space="preserve">Buna karşın, 2022 yılında yabancı yatırımcıların işlem hacmi 3 milyar </w:t>
      </w:r>
      <w:r w:rsidR="000576A3">
        <w:rPr>
          <w:rFonts w:ascii="Tahoma" w:eastAsia="Times New Roman" w:hAnsi="Tahoma" w:cs="Calibri"/>
          <w:sz w:val="24"/>
          <w:szCs w:val="20"/>
          <w:lang w:val="tr-TR" w:eastAsia="tr-TR"/>
        </w:rPr>
        <w:t>d</w:t>
      </w:r>
      <w:r w:rsidRPr="00FD224A">
        <w:rPr>
          <w:rFonts w:ascii="Tahoma" w:eastAsia="Times New Roman" w:hAnsi="Tahoma" w:cs="Calibri"/>
          <w:sz w:val="24"/>
          <w:szCs w:val="20"/>
          <w:lang w:val="tr-TR" w:eastAsia="tr-TR"/>
        </w:rPr>
        <w:t>olar olarak gerçekleş</w:t>
      </w:r>
      <w:r w:rsidR="005F443C" w:rsidRPr="00FD224A">
        <w:rPr>
          <w:rFonts w:ascii="Tahoma" w:eastAsia="Times New Roman" w:hAnsi="Tahoma" w:cs="Calibri"/>
          <w:sz w:val="24"/>
          <w:szCs w:val="20"/>
          <w:lang w:val="tr-TR" w:eastAsia="tr-TR"/>
        </w:rPr>
        <w:t>ti</w:t>
      </w:r>
      <w:r w:rsidRPr="00FD224A">
        <w:rPr>
          <w:rFonts w:ascii="Tahoma" w:eastAsia="Times New Roman" w:hAnsi="Tahoma" w:cs="Calibri"/>
          <w:sz w:val="24"/>
          <w:szCs w:val="20"/>
          <w:lang w:val="tr-TR" w:eastAsia="tr-TR"/>
        </w:rPr>
        <w:t xml:space="preserve"> ve toplam işlem hacminden aldıkları pay yüzde 5</w:t>
      </w:r>
      <w:r w:rsidR="000162CD" w:rsidRPr="00FD224A">
        <w:rPr>
          <w:rFonts w:ascii="Tahoma" w:eastAsia="Times New Roman" w:hAnsi="Tahoma" w:cs="Calibri"/>
          <w:sz w:val="24"/>
          <w:szCs w:val="20"/>
          <w:lang w:val="tr-TR" w:eastAsia="tr-TR"/>
        </w:rPr>
        <w:t>8</w:t>
      </w:r>
      <w:r w:rsidRPr="00FD224A">
        <w:rPr>
          <w:rFonts w:ascii="Tahoma" w:eastAsia="Times New Roman" w:hAnsi="Tahoma" w:cs="Calibri"/>
          <w:sz w:val="24"/>
          <w:szCs w:val="20"/>
          <w:lang w:val="tr-TR" w:eastAsia="tr-TR"/>
        </w:rPr>
        <w:t xml:space="preserve"> ile yerli yatırımcıların üzerinde kaldı. </w:t>
      </w:r>
      <w:r w:rsidRPr="00FD224A">
        <w:rPr>
          <w:rFonts w:ascii="Tahoma" w:eastAsia="Times New Roman" w:hAnsi="Tahoma" w:cs="Calibri"/>
          <w:sz w:val="24"/>
          <w:szCs w:val="20"/>
          <w:lang w:val="tr-TR" w:eastAsia="tr-TR"/>
        </w:rPr>
        <w:lastRenderedPageBreak/>
        <w:t>Ayrıca, 2022 yılında en büyük ilk 10 işlemin yedisinin yabancı yatırımcılar tarafından gerçekleştirilmesi de dikkat çeken bir diğer nokta oldu.</w:t>
      </w:r>
    </w:p>
    <w:p w14:paraId="5F5EEAC8" w14:textId="77777777" w:rsidR="00027B4A" w:rsidRPr="00FD224A" w:rsidRDefault="00027B4A" w:rsidP="00027B4A">
      <w:pPr>
        <w:spacing w:after="0" w:line="240" w:lineRule="auto"/>
        <w:jc w:val="both"/>
        <w:rPr>
          <w:rFonts w:ascii="Tahoma" w:eastAsia="Times New Roman" w:hAnsi="Tahoma" w:cs="Calibri"/>
          <w:b/>
          <w:sz w:val="24"/>
          <w:szCs w:val="20"/>
          <w:lang w:val="tr-TR" w:eastAsia="tr-TR"/>
        </w:rPr>
      </w:pPr>
    </w:p>
    <w:p w14:paraId="5761D219" w14:textId="77777777" w:rsidR="00027B4A" w:rsidRPr="00FD224A" w:rsidRDefault="00027B4A" w:rsidP="00027B4A">
      <w:pPr>
        <w:spacing w:after="0" w:line="240" w:lineRule="auto"/>
        <w:jc w:val="both"/>
        <w:rPr>
          <w:rFonts w:ascii="Tahoma" w:eastAsia="Times New Roman" w:hAnsi="Tahoma" w:cs="Times New Roman"/>
          <w:sz w:val="32"/>
          <w:szCs w:val="24"/>
          <w:lang w:val="tr-TR" w:eastAsia="tr-TR"/>
        </w:rPr>
      </w:pPr>
      <w:r w:rsidRPr="00FD224A">
        <w:rPr>
          <w:rFonts w:ascii="Tahoma" w:eastAsia="Times New Roman" w:hAnsi="Tahoma" w:cs="Calibri"/>
          <w:b/>
          <w:sz w:val="24"/>
          <w:szCs w:val="20"/>
          <w:lang w:val="tr-TR" w:eastAsia="tr-TR"/>
        </w:rPr>
        <w:t xml:space="preserve">Kamu işlemleriyle değer yaratımı bu yıl da devam etti </w:t>
      </w:r>
    </w:p>
    <w:p w14:paraId="5EC5E1F2" w14:textId="77777777" w:rsidR="00027B4A" w:rsidRPr="00FD224A" w:rsidRDefault="00027B4A" w:rsidP="00027B4A">
      <w:pPr>
        <w:spacing w:after="0" w:line="240" w:lineRule="auto"/>
        <w:jc w:val="both"/>
        <w:rPr>
          <w:rFonts w:ascii="Tahoma" w:eastAsia="Times New Roman" w:hAnsi="Tahoma" w:cs="Calibri"/>
          <w:sz w:val="24"/>
          <w:szCs w:val="20"/>
          <w:lang w:val="tr-TR" w:eastAsia="tr-TR"/>
        </w:rPr>
      </w:pPr>
    </w:p>
    <w:p w14:paraId="36F6F793" w14:textId="38FB517D" w:rsidR="00027B4A" w:rsidRPr="00FD224A" w:rsidRDefault="00027B4A" w:rsidP="00027B4A">
      <w:pPr>
        <w:spacing w:after="0" w:line="240" w:lineRule="auto"/>
        <w:jc w:val="both"/>
        <w:rPr>
          <w:rFonts w:ascii="Tahoma" w:eastAsia="Times New Roman" w:hAnsi="Tahoma" w:cs="Calibri"/>
          <w:sz w:val="24"/>
          <w:szCs w:val="20"/>
          <w:lang w:val="tr-TR" w:eastAsia="tr-TR"/>
        </w:rPr>
      </w:pPr>
      <w:r w:rsidRPr="00FD224A">
        <w:rPr>
          <w:rFonts w:ascii="Tahoma" w:eastAsia="Times New Roman" w:hAnsi="Tahoma" w:cs="Calibri"/>
          <w:sz w:val="24"/>
          <w:szCs w:val="20"/>
          <w:lang w:val="tr-TR" w:eastAsia="tr-TR"/>
        </w:rPr>
        <w:t>2021 yılında Devlet Hava Meydanları İşletmesi (DHMİ) ve Özelleştirme İdaresi Başkanlığı (ÖİB) kaynaklı işlemler ile kamu kaynaklı işlemlerde hareketlilik yaşanmıştı. 2022 yılında ise Türk Telekom’un yüzde 55 oranındaki hissesinin Türkiye Varlık Fonu tarafından 1</w:t>
      </w:r>
      <w:r w:rsidR="000576A3">
        <w:rPr>
          <w:rFonts w:ascii="Tahoma" w:eastAsia="Times New Roman" w:hAnsi="Tahoma" w:cs="Calibri"/>
          <w:sz w:val="24"/>
          <w:szCs w:val="20"/>
          <w:lang w:val="tr-TR" w:eastAsia="tr-TR"/>
        </w:rPr>
        <w:t xml:space="preserve"> milyar </w:t>
      </w:r>
      <w:r w:rsidRPr="00FD224A">
        <w:rPr>
          <w:rFonts w:ascii="Tahoma" w:eastAsia="Times New Roman" w:hAnsi="Tahoma" w:cs="Calibri"/>
          <w:sz w:val="24"/>
          <w:szCs w:val="20"/>
          <w:lang w:val="tr-TR" w:eastAsia="tr-TR"/>
        </w:rPr>
        <w:t>650</w:t>
      </w:r>
      <w:r w:rsidR="000576A3">
        <w:rPr>
          <w:rFonts w:ascii="Tahoma" w:eastAsia="Times New Roman" w:hAnsi="Tahoma" w:cs="Calibri"/>
          <w:sz w:val="24"/>
          <w:szCs w:val="20"/>
          <w:lang w:val="tr-TR" w:eastAsia="tr-TR"/>
        </w:rPr>
        <w:t xml:space="preserve"> </w:t>
      </w:r>
      <w:r w:rsidRPr="00FD224A">
        <w:rPr>
          <w:rFonts w:ascii="Tahoma" w:eastAsia="Times New Roman" w:hAnsi="Tahoma" w:cs="Calibri"/>
          <w:sz w:val="24"/>
          <w:szCs w:val="20"/>
          <w:lang w:val="tr-TR" w:eastAsia="tr-TR"/>
        </w:rPr>
        <w:t xml:space="preserve">milyon </w:t>
      </w:r>
      <w:r w:rsidR="000576A3">
        <w:rPr>
          <w:rFonts w:ascii="Tahoma" w:eastAsia="Times New Roman" w:hAnsi="Tahoma" w:cs="Calibri"/>
          <w:sz w:val="24"/>
          <w:szCs w:val="20"/>
          <w:lang w:val="tr-TR" w:eastAsia="tr-TR"/>
        </w:rPr>
        <w:t>d</w:t>
      </w:r>
      <w:r w:rsidRPr="00FD224A">
        <w:rPr>
          <w:rFonts w:ascii="Tahoma" w:eastAsia="Times New Roman" w:hAnsi="Tahoma" w:cs="Calibri"/>
          <w:sz w:val="24"/>
          <w:szCs w:val="20"/>
          <w:lang w:val="tr-TR" w:eastAsia="tr-TR"/>
        </w:rPr>
        <w:t>olar</w:t>
      </w:r>
      <w:r w:rsidR="000576A3">
        <w:rPr>
          <w:rFonts w:ascii="Tahoma" w:eastAsia="Times New Roman" w:hAnsi="Tahoma" w:cs="Calibri"/>
          <w:sz w:val="24"/>
          <w:szCs w:val="20"/>
          <w:lang w:val="tr-TR" w:eastAsia="tr-TR"/>
        </w:rPr>
        <w:t xml:space="preserve"> </w:t>
      </w:r>
      <w:r w:rsidRPr="00FD224A">
        <w:rPr>
          <w:rFonts w:ascii="Tahoma" w:eastAsia="Times New Roman" w:hAnsi="Tahoma" w:cs="Calibri"/>
          <w:sz w:val="24"/>
          <w:szCs w:val="20"/>
          <w:lang w:val="tr-TR" w:eastAsia="tr-TR"/>
        </w:rPr>
        <w:t xml:space="preserve">bedelle satın alınmasına ek olarak TMSF’nin </w:t>
      </w:r>
      <w:proofErr w:type="spellStart"/>
      <w:r w:rsidRPr="00FD224A">
        <w:rPr>
          <w:rFonts w:ascii="Tahoma" w:eastAsia="Times New Roman" w:hAnsi="Tahoma" w:cs="Calibri"/>
          <w:sz w:val="24"/>
          <w:szCs w:val="20"/>
          <w:lang w:val="tr-TR" w:eastAsia="tr-TR"/>
        </w:rPr>
        <w:t>Aynes</w:t>
      </w:r>
      <w:proofErr w:type="spellEnd"/>
      <w:r w:rsidRPr="00FD224A">
        <w:rPr>
          <w:rFonts w:ascii="Tahoma" w:eastAsia="Times New Roman" w:hAnsi="Tahoma" w:cs="Calibri"/>
          <w:sz w:val="24"/>
          <w:szCs w:val="20"/>
          <w:lang w:val="tr-TR" w:eastAsia="tr-TR"/>
        </w:rPr>
        <w:t xml:space="preserve"> Gıda’yı 43 milyon </w:t>
      </w:r>
      <w:r w:rsidR="000576A3">
        <w:rPr>
          <w:rFonts w:ascii="Tahoma" w:eastAsia="Times New Roman" w:hAnsi="Tahoma" w:cs="Calibri"/>
          <w:sz w:val="24"/>
          <w:szCs w:val="20"/>
          <w:lang w:val="tr-TR" w:eastAsia="tr-TR"/>
        </w:rPr>
        <w:t>d</w:t>
      </w:r>
      <w:r w:rsidRPr="00FD224A">
        <w:rPr>
          <w:rFonts w:ascii="Tahoma" w:eastAsia="Times New Roman" w:hAnsi="Tahoma" w:cs="Calibri"/>
          <w:sz w:val="24"/>
          <w:szCs w:val="20"/>
          <w:lang w:val="tr-TR" w:eastAsia="tr-TR"/>
        </w:rPr>
        <w:t xml:space="preserve">olar bedelle Türkiye Tarım Kredi </w:t>
      </w:r>
      <w:proofErr w:type="spellStart"/>
      <w:r w:rsidRPr="00FD224A">
        <w:rPr>
          <w:rFonts w:ascii="Tahoma" w:eastAsia="Times New Roman" w:hAnsi="Tahoma" w:cs="Calibri"/>
          <w:sz w:val="24"/>
          <w:szCs w:val="20"/>
          <w:lang w:val="tr-TR" w:eastAsia="tr-TR"/>
        </w:rPr>
        <w:t>Kooperatifleri’ne</w:t>
      </w:r>
      <w:proofErr w:type="spellEnd"/>
      <w:r w:rsidRPr="00FD224A">
        <w:rPr>
          <w:rFonts w:ascii="Tahoma" w:eastAsia="Times New Roman" w:hAnsi="Tahoma" w:cs="Calibri"/>
          <w:sz w:val="24"/>
          <w:szCs w:val="20"/>
          <w:lang w:val="tr-TR" w:eastAsia="tr-TR"/>
        </w:rPr>
        <w:t xml:space="preserve"> devri 2022 yılına damga vuran diğer kamu kaynaklı işlem</w:t>
      </w:r>
      <w:r w:rsidR="000576A3">
        <w:rPr>
          <w:rFonts w:ascii="Tahoma" w:eastAsia="Times New Roman" w:hAnsi="Tahoma" w:cs="Calibri"/>
          <w:sz w:val="24"/>
          <w:szCs w:val="20"/>
          <w:lang w:val="tr-TR" w:eastAsia="tr-TR"/>
        </w:rPr>
        <w:t>ler</w:t>
      </w:r>
      <w:r w:rsidRPr="00FD224A">
        <w:rPr>
          <w:rFonts w:ascii="Tahoma" w:eastAsia="Times New Roman" w:hAnsi="Tahoma" w:cs="Calibri"/>
          <w:sz w:val="24"/>
          <w:szCs w:val="20"/>
          <w:lang w:val="tr-TR" w:eastAsia="tr-TR"/>
        </w:rPr>
        <w:t xml:space="preserve"> oldu.   </w:t>
      </w:r>
    </w:p>
    <w:p w14:paraId="3B849593" w14:textId="77777777" w:rsidR="00027B4A" w:rsidRPr="00FD224A" w:rsidRDefault="00027B4A" w:rsidP="00027B4A">
      <w:pPr>
        <w:spacing w:after="0" w:line="240" w:lineRule="auto"/>
        <w:jc w:val="both"/>
        <w:rPr>
          <w:rFonts w:ascii="Tahoma" w:eastAsia="Times New Roman" w:hAnsi="Tahoma" w:cs="Calibri"/>
          <w:sz w:val="24"/>
          <w:szCs w:val="20"/>
          <w:lang w:val="tr-TR" w:eastAsia="tr-TR"/>
        </w:rPr>
      </w:pPr>
    </w:p>
    <w:p w14:paraId="686AF3B4" w14:textId="77777777" w:rsidR="00027B4A" w:rsidRPr="00FD224A" w:rsidRDefault="00027B4A" w:rsidP="00027B4A">
      <w:pPr>
        <w:spacing w:after="0" w:line="240" w:lineRule="auto"/>
        <w:jc w:val="both"/>
        <w:rPr>
          <w:rFonts w:ascii="Tahoma" w:eastAsia="Times New Roman" w:hAnsi="Tahoma" w:cs="Times New Roman"/>
          <w:sz w:val="32"/>
          <w:szCs w:val="24"/>
          <w:lang w:val="tr-TR" w:eastAsia="tr-TR"/>
        </w:rPr>
      </w:pPr>
      <w:r w:rsidRPr="00FD224A">
        <w:rPr>
          <w:rFonts w:ascii="Tahoma" w:eastAsia="Times New Roman" w:hAnsi="Tahoma" w:cs="Calibri"/>
          <w:b/>
          <w:sz w:val="24"/>
          <w:szCs w:val="20"/>
          <w:lang w:val="tr-TR" w:eastAsia="tr-TR"/>
        </w:rPr>
        <w:t xml:space="preserve">2023 yılı için iyimser beklentiler korunuyor </w:t>
      </w:r>
    </w:p>
    <w:p w14:paraId="6A142F48" w14:textId="77777777" w:rsidR="00027B4A" w:rsidRPr="00FD224A" w:rsidRDefault="00027B4A" w:rsidP="00027B4A">
      <w:pPr>
        <w:spacing w:after="0" w:line="240" w:lineRule="auto"/>
        <w:jc w:val="both"/>
        <w:rPr>
          <w:rFonts w:ascii="Tahoma" w:eastAsia="Times New Roman" w:hAnsi="Tahoma" w:cs="Calibri"/>
          <w:b/>
          <w:sz w:val="24"/>
          <w:szCs w:val="20"/>
          <w:lang w:val="tr-TR" w:eastAsia="tr-TR"/>
        </w:rPr>
      </w:pPr>
    </w:p>
    <w:p w14:paraId="2366D6C4" w14:textId="1C720925" w:rsidR="00027B4A" w:rsidRDefault="00027B4A" w:rsidP="00027B4A">
      <w:pPr>
        <w:spacing w:after="0" w:line="240" w:lineRule="auto"/>
        <w:jc w:val="both"/>
        <w:rPr>
          <w:rFonts w:ascii="Tahoma" w:eastAsia="Times New Roman" w:hAnsi="Tahoma" w:cs="Calibri"/>
          <w:sz w:val="24"/>
          <w:szCs w:val="20"/>
          <w:lang w:val="tr-TR" w:eastAsia="tr-TR"/>
        </w:rPr>
      </w:pPr>
      <w:bookmarkStart w:id="9" w:name="_Hlk91082957"/>
      <w:r w:rsidRPr="00FD224A">
        <w:rPr>
          <w:rFonts w:ascii="Tahoma" w:eastAsia="Times New Roman" w:hAnsi="Tahoma" w:cs="Calibri"/>
          <w:sz w:val="24"/>
          <w:szCs w:val="20"/>
          <w:lang w:val="tr-TR" w:eastAsia="tr-TR"/>
        </w:rPr>
        <w:t>KPMG Türkiye Kurumsal Finansman Bölüm Başkanı Müşfik Cantekinler</w:t>
      </w:r>
      <w:r w:rsidR="000576A3">
        <w:rPr>
          <w:rFonts w:ascii="Tahoma" w:eastAsia="Times New Roman" w:hAnsi="Tahoma" w:cs="Calibri"/>
          <w:sz w:val="24"/>
          <w:szCs w:val="20"/>
          <w:lang w:val="tr-TR" w:eastAsia="tr-TR"/>
        </w:rPr>
        <w:t>,</w:t>
      </w:r>
      <w:r w:rsidRPr="00FD224A">
        <w:rPr>
          <w:rFonts w:ascii="Tahoma" w:eastAsia="Times New Roman" w:hAnsi="Tahoma" w:cs="Calibri"/>
          <w:sz w:val="24"/>
          <w:szCs w:val="20"/>
          <w:lang w:val="tr-TR" w:eastAsia="tr-TR"/>
        </w:rPr>
        <w:t xml:space="preserve"> 2023 yılına ilişkin beklentiler hakkında şunları söyledi: “</w:t>
      </w:r>
      <w:r w:rsidR="005F443C" w:rsidRPr="00FD224A">
        <w:rPr>
          <w:rFonts w:ascii="Tahoma" w:eastAsia="Times New Roman" w:hAnsi="Tahoma" w:cs="Calibri"/>
          <w:sz w:val="24"/>
          <w:szCs w:val="20"/>
          <w:lang w:val="tr-TR" w:eastAsia="tr-TR"/>
        </w:rPr>
        <w:t>Tüm dünyada y</w:t>
      </w:r>
      <w:r w:rsidRPr="00FD224A">
        <w:rPr>
          <w:rFonts w:ascii="Tahoma" w:eastAsia="Times New Roman" w:hAnsi="Tahoma" w:cs="Calibri"/>
          <w:sz w:val="24"/>
          <w:szCs w:val="20"/>
          <w:lang w:val="tr-TR" w:eastAsia="tr-TR"/>
        </w:rPr>
        <w:t>üksek enflasyon,</w:t>
      </w:r>
      <w:r w:rsidR="005F443C" w:rsidRPr="00FD224A">
        <w:rPr>
          <w:rFonts w:ascii="Tahoma" w:eastAsia="Times New Roman" w:hAnsi="Tahoma" w:cs="Calibri"/>
          <w:sz w:val="24"/>
          <w:szCs w:val="20"/>
          <w:lang w:val="tr-TR" w:eastAsia="tr-TR"/>
        </w:rPr>
        <w:t xml:space="preserve"> birçok ülkede</w:t>
      </w:r>
      <w:r w:rsidRPr="00FD224A">
        <w:rPr>
          <w:rFonts w:ascii="Tahoma" w:eastAsia="Times New Roman" w:hAnsi="Tahoma" w:cs="Calibri"/>
          <w:sz w:val="24"/>
          <w:szCs w:val="20"/>
          <w:lang w:val="tr-TR" w:eastAsia="tr-TR"/>
        </w:rPr>
        <w:t xml:space="preserve"> artan politika faizleri ve resesyon endişeleri </w:t>
      </w:r>
      <w:r w:rsidR="005F443C" w:rsidRPr="00FD224A">
        <w:rPr>
          <w:rFonts w:ascii="Tahoma" w:eastAsia="Times New Roman" w:hAnsi="Tahoma" w:cs="Calibri"/>
          <w:sz w:val="24"/>
          <w:szCs w:val="20"/>
          <w:lang w:val="tr-TR" w:eastAsia="tr-TR"/>
        </w:rPr>
        <w:t xml:space="preserve">ile birlikte halen devam eden </w:t>
      </w:r>
      <w:r w:rsidRPr="00FD224A">
        <w:rPr>
          <w:rFonts w:ascii="Tahoma" w:eastAsia="Times New Roman" w:hAnsi="Tahoma" w:cs="Calibri"/>
          <w:sz w:val="24"/>
          <w:szCs w:val="20"/>
          <w:lang w:val="tr-TR" w:eastAsia="tr-TR"/>
        </w:rPr>
        <w:t>Rusya</w:t>
      </w:r>
      <w:r w:rsidR="000576A3">
        <w:rPr>
          <w:rFonts w:ascii="Tahoma" w:eastAsia="Times New Roman" w:hAnsi="Tahoma" w:cs="Calibri"/>
          <w:sz w:val="24"/>
          <w:szCs w:val="20"/>
          <w:lang w:val="tr-TR" w:eastAsia="tr-TR"/>
        </w:rPr>
        <w:t xml:space="preserve"> </w:t>
      </w:r>
      <w:r w:rsidRPr="00FD224A">
        <w:rPr>
          <w:rFonts w:ascii="Tahoma" w:eastAsia="Times New Roman" w:hAnsi="Tahoma" w:cs="Calibri"/>
          <w:sz w:val="24"/>
          <w:szCs w:val="20"/>
          <w:lang w:val="tr-TR" w:eastAsia="tr-TR"/>
        </w:rPr>
        <w:t>-</w:t>
      </w:r>
      <w:r w:rsidR="000576A3">
        <w:rPr>
          <w:rFonts w:ascii="Tahoma" w:eastAsia="Times New Roman" w:hAnsi="Tahoma" w:cs="Calibri"/>
          <w:sz w:val="24"/>
          <w:szCs w:val="20"/>
          <w:lang w:val="tr-TR" w:eastAsia="tr-TR"/>
        </w:rPr>
        <w:t xml:space="preserve"> </w:t>
      </w:r>
      <w:r w:rsidRPr="00FD224A">
        <w:rPr>
          <w:rFonts w:ascii="Tahoma" w:eastAsia="Times New Roman" w:hAnsi="Tahoma" w:cs="Calibri"/>
          <w:sz w:val="24"/>
          <w:szCs w:val="20"/>
          <w:lang w:val="tr-TR" w:eastAsia="tr-TR"/>
        </w:rPr>
        <w:t>Ukrayna savaşının</w:t>
      </w:r>
      <w:r w:rsidR="005F443C" w:rsidRPr="00FD224A">
        <w:rPr>
          <w:rFonts w:ascii="Tahoma" w:eastAsia="Times New Roman" w:hAnsi="Tahoma" w:cs="Calibri"/>
          <w:sz w:val="24"/>
          <w:szCs w:val="20"/>
          <w:lang w:val="tr-TR" w:eastAsia="tr-TR"/>
        </w:rPr>
        <w:t>,</w:t>
      </w:r>
      <w:r w:rsidRPr="00FD224A">
        <w:rPr>
          <w:rFonts w:ascii="Tahoma" w:eastAsia="Times New Roman" w:hAnsi="Tahoma" w:cs="Calibri"/>
          <w:sz w:val="24"/>
          <w:szCs w:val="20"/>
          <w:lang w:val="tr-TR" w:eastAsia="tr-TR"/>
        </w:rPr>
        <w:t xml:space="preserve"> global olarak yatırımcı iştahını şekillendireceğini söylemek mümkün. </w:t>
      </w:r>
      <w:r w:rsidR="00A939D8" w:rsidRPr="00FD224A">
        <w:rPr>
          <w:rFonts w:ascii="Tahoma" w:eastAsia="Times New Roman" w:hAnsi="Tahoma" w:cs="Calibri"/>
          <w:sz w:val="24"/>
          <w:szCs w:val="20"/>
          <w:lang w:val="tr-TR" w:eastAsia="tr-TR"/>
        </w:rPr>
        <w:t>Ayrıca</w:t>
      </w:r>
      <w:r w:rsidRPr="00FD224A">
        <w:rPr>
          <w:rFonts w:ascii="Tahoma" w:eastAsia="Times New Roman" w:hAnsi="Tahoma" w:cs="Calibri"/>
          <w:sz w:val="24"/>
          <w:szCs w:val="20"/>
          <w:lang w:val="tr-TR" w:eastAsia="tr-TR"/>
        </w:rPr>
        <w:t xml:space="preserve"> teknoloji sektöründe düşen değerlemeler </w:t>
      </w:r>
      <w:r w:rsidR="00A939D8" w:rsidRPr="00FD224A">
        <w:rPr>
          <w:rFonts w:ascii="Tahoma" w:eastAsia="Times New Roman" w:hAnsi="Tahoma" w:cs="Calibri"/>
          <w:sz w:val="24"/>
          <w:szCs w:val="20"/>
          <w:lang w:val="tr-TR" w:eastAsia="tr-TR"/>
        </w:rPr>
        <w:t>ve birçok farklı</w:t>
      </w:r>
      <w:r w:rsidRPr="00FD224A">
        <w:rPr>
          <w:rFonts w:ascii="Tahoma" w:eastAsia="Times New Roman" w:hAnsi="Tahoma" w:cs="Calibri"/>
          <w:sz w:val="24"/>
          <w:szCs w:val="20"/>
          <w:lang w:val="tr-TR" w:eastAsia="tr-TR"/>
        </w:rPr>
        <w:t xml:space="preserve"> sektörde </w:t>
      </w:r>
      <w:r w:rsidR="00A939D8" w:rsidRPr="00FD224A">
        <w:rPr>
          <w:rFonts w:ascii="Tahoma" w:eastAsia="Times New Roman" w:hAnsi="Tahoma" w:cs="Calibri"/>
          <w:sz w:val="24"/>
          <w:szCs w:val="20"/>
          <w:lang w:val="tr-TR" w:eastAsia="tr-TR"/>
        </w:rPr>
        <w:t xml:space="preserve">ortaya çıkabilecek </w:t>
      </w:r>
      <w:r w:rsidRPr="00FD224A">
        <w:rPr>
          <w:rFonts w:ascii="Tahoma" w:eastAsia="Times New Roman" w:hAnsi="Tahoma" w:cs="Calibri"/>
          <w:sz w:val="24"/>
          <w:szCs w:val="20"/>
          <w:lang w:val="tr-TR" w:eastAsia="tr-TR"/>
        </w:rPr>
        <w:t xml:space="preserve">konsolidasyon fırsatları 2023 yılı beklentilerinde temel </w:t>
      </w:r>
      <w:r w:rsidR="00A939D8" w:rsidRPr="00FD224A">
        <w:rPr>
          <w:rFonts w:ascii="Tahoma" w:eastAsia="Times New Roman" w:hAnsi="Tahoma" w:cs="Calibri"/>
          <w:sz w:val="24"/>
          <w:szCs w:val="20"/>
          <w:lang w:val="tr-TR" w:eastAsia="tr-TR"/>
        </w:rPr>
        <w:t>unsur</w:t>
      </w:r>
      <w:r w:rsidRPr="00FD224A">
        <w:rPr>
          <w:rFonts w:ascii="Tahoma" w:eastAsia="Times New Roman" w:hAnsi="Tahoma" w:cs="Calibri"/>
          <w:sz w:val="24"/>
          <w:szCs w:val="20"/>
          <w:lang w:val="tr-TR" w:eastAsia="tr-TR"/>
        </w:rPr>
        <w:t xml:space="preserve"> olarak ön plana çıkıyor. Ülkemizde ise yukarıdaki gelişmelere ek olarak büyüme, istihdam ve fiyat istikrarı hedeflerine ulaşmak için öngörülebilir para ve kur politikasının ekonomik göstergelerdeki etkisinin yatırımcı iştahı üzerinde etkisi olacağı düşünülüyor. Bununla birlikte 2023 yılında ülkemizin yakın coğrafyasında gerçekleşebilecek siyasi belirsizlik ve güvenlik sorunları da aşağı yönlü diğer riskler olarak değerlendiriliyor.”</w:t>
      </w:r>
    </w:p>
    <w:p w14:paraId="72E4759E" w14:textId="4D10906C" w:rsidR="002E6A14" w:rsidRDefault="002E6A14" w:rsidP="00027B4A">
      <w:pPr>
        <w:spacing w:after="0" w:line="240" w:lineRule="auto"/>
        <w:jc w:val="both"/>
        <w:rPr>
          <w:rFonts w:ascii="Tahoma" w:eastAsia="Times New Roman" w:hAnsi="Tahoma" w:cs="Calibri"/>
          <w:sz w:val="24"/>
          <w:szCs w:val="20"/>
          <w:lang w:val="tr-TR" w:eastAsia="tr-TR"/>
        </w:rPr>
      </w:pPr>
    </w:p>
    <w:p w14:paraId="098C86C0" w14:textId="77777777" w:rsidR="002E6A14" w:rsidRPr="00FD224A" w:rsidRDefault="002E6A14" w:rsidP="002E6A14">
      <w:pPr>
        <w:spacing w:after="0" w:line="240" w:lineRule="auto"/>
        <w:jc w:val="both"/>
        <w:rPr>
          <w:rFonts w:ascii="Tahoma" w:eastAsia="Times New Roman" w:hAnsi="Tahoma" w:cs="Calibri"/>
          <w:sz w:val="24"/>
          <w:szCs w:val="20"/>
          <w:lang w:val="tr-TR" w:eastAsia="tr-TR"/>
        </w:rPr>
      </w:pPr>
      <w:r w:rsidRPr="00FD224A">
        <w:rPr>
          <w:rFonts w:ascii="Tahoma" w:eastAsia="Times New Roman" w:hAnsi="Tahoma" w:cs="Calibri"/>
          <w:sz w:val="24"/>
          <w:szCs w:val="20"/>
          <w:lang w:val="tr-TR" w:eastAsia="tr-TR"/>
        </w:rPr>
        <w:t>KPMG Türkiye Birleşme ve Satın Alma Hizmetleri Lideri Gökhan Kaçmaz</w:t>
      </w:r>
      <w:r>
        <w:rPr>
          <w:rFonts w:ascii="Tahoma" w:eastAsia="Times New Roman" w:hAnsi="Tahoma" w:cs="Calibri"/>
          <w:sz w:val="24"/>
          <w:szCs w:val="20"/>
          <w:lang w:val="tr-TR" w:eastAsia="tr-TR"/>
        </w:rPr>
        <w:t xml:space="preserve"> ise,</w:t>
      </w:r>
      <w:r w:rsidRPr="00FD224A">
        <w:rPr>
          <w:rFonts w:ascii="Tahoma" w:eastAsia="Times New Roman" w:hAnsi="Tahoma" w:cs="Calibri"/>
          <w:sz w:val="24"/>
          <w:szCs w:val="20"/>
          <w:lang w:val="tr-TR" w:eastAsia="tr-TR"/>
        </w:rPr>
        <w:t xml:space="preserve"> “Tedarik zincirlerinin yeniden şekillenmesi ve resesyon beklentilerine paralel olarak birçok sektörde konsolidasyon sürecine girilmesi ile birlikte 2023 yılı için iyimser beklentilerimizi koruyoruz ve bu iyileşme ile işlem hacim ve adedinin artacağını öngör</w:t>
      </w:r>
      <w:r>
        <w:rPr>
          <w:rFonts w:ascii="Tahoma" w:eastAsia="Times New Roman" w:hAnsi="Tahoma" w:cs="Calibri"/>
          <w:sz w:val="24"/>
          <w:szCs w:val="20"/>
          <w:lang w:val="tr-TR" w:eastAsia="tr-TR"/>
        </w:rPr>
        <w:t>üyoruz.</w:t>
      </w:r>
      <w:r w:rsidRPr="00FD224A">
        <w:rPr>
          <w:rFonts w:ascii="Tahoma" w:eastAsia="Times New Roman" w:hAnsi="Tahoma" w:cs="Calibri"/>
          <w:sz w:val="24"/>
          <w:szCs w:val="20"/>
          <w:lang w:val="tr-TR" w:eastAsia="tr-TR"/>
        </w:rPr>
        <w:t>” değerlendirmesinde bulundu.</w:t>
      </w:r>
    </w:p>
    <w:p w14:paraId="3B49EF7A" w14:textId="77777777" w:rsidR="00027B4A" w:rsidRPr="00FD224A" w:rsidRDefault="00027B4A" w:rsidP="00027B4A">
      <w:pPr>
        <w:spacing w:after="0" w:line="240" w:lineRule="auto"/>
        <w:jc w:val="both"/>
        <w:rPr>
          <w:rFonts w:ascii="Tahoma" w:eastAsia="Times New Roman" w:hAnsi="Tahoma" w:cs="Calibri"/>
          <w:sz w:val="24"/>
          <w:szCs w:val="20"/>
          <w:lang w:val="tr-TR" w:eastAsia="tr-TR"/>
        </w:rPr>
      </w:pPr>
    </w:p>
    <w:p w14:paraId="1E74DFBB" w14:textId="65B95277" w:rsidR="00027B4A" w:rsidRPr="00FD224A" w:rsidRDefault="000576A3" w:rsidP="00027B4A">
      <w:pPr>
        <w:spacing w:after="0" w:line="240" w:lineRule="auto"/>
        <w:jc w:val="both"/>
        <w:rPr>
          <w:rFonts w:ascii="Tahoma" w:eastAsia="Times New Roman" w:hAnsi="Tahoma" w:cs="Calibri"/>
          <w:sz w:val="24"/>
          <w:szCs w:val="20"/>
          <w:lang w:val="tr-TR" w:eastAsia="tr-TR"/>
        </w:rPr>
      </w:pPr>
      <w:r>
        <w:rPr>
          <w:rFonts w:ascii="Tahoma" w:eastAsia="Times New Roman" w:hAnsi="Tahoma" w:cs="Calibri"/>
          <w:sz w:val="24"/>
          <w:szCs w:val="20"/>
          <w:lang w:val="tr-TR" w:eastAsia="tr-TR"/>
        </w:rPr>
        <w:t>KPMG Türkiye’nin r</w:t>
      </w:r>
      <w:r w:rsidR="00027B4A" w:rsidRPr="00FD224A">
        <w:rPr>
          <w:rFonts w:ascii="Tahoma" w:eastAsia="Times New Roman" w:hAnsi="Tahoma" w:cs="Calibri"/>
          <w:sz w:val="24"/>
          <w:szCs w:val="20"/>
          <w:lang w:val="tr-TR" w:eastAsia="tr-TR"/>
        </w:rPr>
        <w:t>apor</w:t>
      </w:r>
      <w:r>
        <w:rPr>
          <w:rFonts w:ascii="Tahoma" w:eastAsia="Times New Roman" w:hAnsi="Tahoma" w:cs="Calibri"/>
          <w:sz w:val="24"/>
          <w:szCs w:val="20"/>
          <w:lang w:val="tr-TR" w:eastAsia="tr-TR"/>
        </w:rPr>
        <w:t>unda</w:t>
      </w:r>
      <w:r w:rsidR="00027B4A" w:rsidRPr="00FD224A">
        <w:rPr>
          <w:rFonts w:ascii="Tahoma" w:eastAsia="Times New Roman" w:hAnsi="Tahoma" w:cs="Calibri"/>
          <w:sz w:val="24"/>
          <w:szCs w:val="20"/>
          <w:lang w:val="tr-TR" w:eastAsia="tr-TR"/>
        </w:rPr>
        <w:t xml:space="preserve"> 2023</w:t>
      </w:r>
      <w:r>
        <w:rPr>
          <w:rFonts w:ascii="Tahoma" w:eastAsia="Times New Roman" w:hAnsi="Tahoma" w:cs="Calibri"/>
          <w:sz w:val="24"/>
          <w:szCs w:val="20"/>
          <w:lang w:val="tr-TR" w:eastAsia="tr-TR"/>
        </w:rPr>
        <w:t xml:space="preserve"> yılına </w:t>
      </w:r>
      <w:r w:rsidR="00027B4A" w:rsidRPr="00FD224A">
        <w:rPr>
          <w:rFonts w:ascii="Tahoma" w:eastAsia="Times New Roman" w:hAnsi="Tahoma" w:cs="Calibri"/>
          <w:sz w:val="24"/>
          <w:szCs w:val="20"/>
          <w:lang w:val="tr-TR" w:eastAsia="tr-TR"/>
        </w:rPr>
        <w:t>yönelik diğer beklentiler şöyle sıralanıyor:</w:t>
      </w:r>
    </w:p>
    <w:p w14:paraId="04B7DC8F" w14:textId="77777777" w:rsidR="00027B4A" w:rsidRPr="00FD224A" w:rsidRDefault="00027B4A" w:rsidP="00027B4A">
      <w:pPr>
        <w:spacing w:after="0" w:line="240" w:lineRule="auto"/>
        <w:jc w:val="both"/>
        <w:rPr>
          <w:rFonts w:ascii="Tahoma" w:eastAsia="Times New Roman" w:hAnsi="Tahoma" w:cs="Calibri"/>
          <w:sz w:val="24"/>
          <w:szCs w:val="20"/>
          <w:lang w:val="tr-TR" w:eastAsia="tr-TR"/>
        </w:rPr>
      </w:pPr>
    </w:p>
    <w:p w14:paraId="1C950257" w14:textId="77777777" w:rsidR="00027B4A" w:rsidRPr="00FD224A" w:rsidRDefault="00027B4A" w:rsidP="00027B4A">
      <w:pPr>
        <w:numPr>
          <w:ilvl w:val="0"/>
          <w:numId w:val="1"/>
        </w:numPr>
        <w:spacing w:after="0" w:line="240" w:lineRule="auto"/>
        <w:contextualSpacing/>
        <w:jc w:val="both"/>
        <w:rPr>
          <w:rFonts w:ascii="Tahoma" w:eastAsia="Times New Roman" w:hAnsi="Tahoma" w:cs="Calibri"/>
          <w:sz w:val="24"/>
          <w:szCs w:val="20"/>
          <w:lang w:val="tr-TR" w:eastAsia="tr-TR"/>
        </w:rPr>
      </w:pPr>
      <w:bookmarkStart w:id="10" w:name="_Hlk91082983"/>
      <w:bookmarkEnd w:id="9"/>
      <w:r w:rsidRPr="00FD224A">
        <w:rPr>
          <w:rFonts w:ascii="Tahoma" w:eastAsia="Times New Roman" w:hAnsi="Tahoma" w:cs="Calibri"/>
          <w:sz w:val="24"/>
          <w:szCs w:val="20"/>
          <w:lang w:val="tr-TR" w:eastAsia="tr-TR"/>
        </w:rPr>
        <w:t>2023 yılında birleşme ve satın almalar açısından teknoloji, medya ve telekomünikasyon, endüstriyel üretim ve otomotiv, taşımacılık, ilaç ve sağlık sektörlerinin öne çıkan sektörler arasında yer alması bekleniyor.</w:t>
      </w:r>
    </w:p>
    <w:p w14:paraId="1B87736A" w14:textId="77777777" w:rsidR="00027B4A" w:rsidRPr="00FD224A" w:rsidRDefault="00027B4A" w:rsidP="00027B4A">
      <w:pPr>
        <w:spacing w:after="0" w:line="240" w:lineRule="auto"/>
        <w:jc w:val="both"/>
        <w:rPr>
          <w:rFonts w:ascii="Tahoma" w:eastAsia="Times New Roman" w:hAnsi="Tahoma" w:cs="Calibri"/>
          <w:sz w:val="24"/>
          <w:szCs w:val="20"/>
          <w:lang w:val="tr-TR" w:eastAsia="tr-TR"/>
        </w:rPr>
      </w:pPr>
    </w:p>
    <w:p w14:paraId="366358A3" w14:textId="77777777" w:rsidR="00027B4A" w:rsidRPr="00FD224A" w:rsidRDefault="00027B4A" w:rsidP="00027B4A">
      <w:pPr>
        <w:numPr>
          <w:ilvl w:val="0"/>
          <w:numId w:val="1"/>
        </w:numPr>
        <w:spacing w:after="0" w:line="240" w:lineRule="auto"/>
        <w:contextualSpacing/>
        <w:jc w:val="both"/>
        <w:rPr>
          <w:rFonts w:ascii="Tahoma" w:eastAsia="Times New Roman" w:hAnsi="Tahoma" w:cs="Calibri"/>
          <w:sz w:val="24"/>
          <w:szCs w:val="20"/>
          <w:lang w:val="tr-TR" w:eastAsia="tr-TR"/>
        </w:rPr>
      </w:pPr>
      <w:r w:rsidRPr="00FD224A">
        <w:rPr>
          <w:rFonts w:ascii="Tahoma" w:eastAsia="Times New Roman" w:hAnsi="Tahoma" w:cs="Calibri"/>
          <w:sz w:val="24"/>
          <w:szCs w:val="20"/>
          <w:lang w:val="tr-TR" w:eastAsia="tr-TR"/>
        </w:rPr>
        <w:t xml:space="preserve">Türkiye Varlık Fonu (TVF) tarafından hedeflenen stratejik yatırımların hayata geçirilmesi, Tasarruf Mevduatı Sigorta Fonu’na (TMSF) devredilen şirketlerin ihale süreçleri ve Özelleştirme İdaresi Başkanlığı’nın (ÖİB) portföyünde yer alan varlıklar için ihale süreçlerini başlatması işlem hacmini artırabilecek etkenler arasında yer alıyor. </w:t>
      </w:r>
    </w:p>
    <w:p w14:paraId="1C4C48B9" w14:textId="77777777" w:rsidR="00027B4A" w:rsidRPr="00FD224A" w:rsidRDefault="00027B4A" w:rsidP="00027B4A">
      <w:pPr>
        <w:spacing w:after="0" w:line="240" w:lineRule="auto"/>
        <w:jc w:val="both"/>
        <w:rPr>
          <w:rFonts w:ascii="Tahoma" w:eastAsia="Times New Roman" w:hAnsi="Tahoma" w:cs="Calibri"/>
          <w:sz w:val="24"/>
          <w:szCs w:val="20"/>
          <w:lang w:val="tr-TR" w:eastAsia="tr-TR"/>
        </w:rPr>
      </w:pPr>
    </w:p>
    <w:p w14:paraId="358E9D13" w14:textId="05B98B09" w:rsidR="00027B4A" w:rsidRPr="00FD224A" w:rsidRDefault="00027B4A" w:rsidP="00027B4A">
      <w:pPr>
        <w:numPr>
          <w:ilvl w:val="0"/>
          <w:numId w:val="1"/>
        </w:numPr>
        <w:spacing w:after="0" w:line="240" w:lineRule="auto"/>
        <w:contextualSpacing/>
        <w:jc w:val="both"/>
        <w:rPr>
          <w:rFonts w:ascii="Tahoma" w:eastAsia="Times New Roman" w:hAnsi="Tahoma" w:cs="Calibri"/>
          <w:sz w:val="24"/>
          <w:szCs w:val="20"/>
          <w:lang w:val="tr-TR" w:eastAsia="tr-TR"/>
        </w:rPr>
      </w:pPr>
      <w:r w:rsidRPr="00FD224A">
        <w:rPr>
          <w:rFonts w:ascii="Tahoma" w:eastAsia="Times New Roman" w:hAnsi="Tahoma" w:cs="Calibri"/>
          <w:sz w:val="24"/>
          <w:szCs w:val="20"/>
          <w:lang w:val="tr-TR" w:eastAsia="tr-TR"/>
        </w:rPr>
        <w:t xml:space="preserve">Birleşme ve satın alma aktivitelerinde temel belirleyici hususun yatırımcı iştahı ve risk algısı </w:t>
      </w:r>
      <w:r w:rsidR="002E6A14">
        <w:rPr>
          <w:rFonts w:ascii="Tahoma" w:eastAsia="Times New Roman" w:hAnsi="Tahoma" w:cs="Calibri"/>
          <w:sz w:val="24"/>
          <w:szCs w:val="20"/>
          <w:lang w:val="tr-TR" w:eastAsia="tr-TR"/>
        </w:rPr>
        <w:t xml:space="preserve">olmakla </w:t>
      </w:r>
      <w:r w:rsidRPr="00FD224A">
        <w:rPr>
          <w:rFonts w:ascii="Tahoma" w:eastAsia="Times New Roman" w:hAnsi="Tahoma" w:cs="Calibri"/>
          <w:sz w:val="24"/>
          <w:szCs w:val="20"/>
          <w:lang w:val="tr-TR" w:eastAsia="tr-TR"/>
        </w:rPr>
        <w:t xml:space="preserve">birlikte yabancı yatırımcı ilgisinin özellikle stratejik sektörler için Türkiye’ye yöneldiği gözlemleniyor. Bununla birlikte birleşme ve satın alma </w:t>
      </w:r>
      <w:r w:rsidR="00A939D8" w:rsidRPr="00FD224A">
        <w:rPr>
          <w:rFonts w:ascii="Tahoma" w:eastAsia="Times New Roman" w:hAnsi="Tahoma" w:cs="Calibri"/>
          <w:sz w:val="24"/>
          <w:szCs w:val="20"/>
          <w:lang w:val="tr-TR" w:eastAsia="tr-TR"/>
        </w:rPr>
        <w:t xml:space="preserve">fırsatlarını </w:t>
      </w:r>
      <w:r w:rsidRPr="00FD224A">
        <w:rPr>
          <w:rFonts w:ascii="Tahoma" w:eastAsia="Times New Roman" w:hAnsi="Tahoma" w:cs="Calibri"/>
          <w:sz w:val="24"/>
          <w:szCs w:val="20"/>
          <w:lang w:val="tr-TR" w:eastAsia="tr-TR"/>
        </w:rPr>
        <w:t>değerlendirmek isteyen</w:t>
      </w:r>
      <w:r w:rsidR="00A939D8" w:rsidRPr="00FD224A">
        <w:rPr>
          <w:rFonts w:ascii="Tahoma" w:eastAsia="Times New Roman" w:hAnsi="Tahoma" w:cs="Calibri"/>
          <w:sz w:val="24"/>
          <w:szCs w:val="20"/>
          <w:lang w:val="tr-TR" w:eastAsia="tr-TR"/>
        </w:rPr>
        <w:t xml:space="preserve"> yerli</w:t>
      </w:r>
      <w:r w:rsidRPr="00FD224A">
        <w:rPr>
          <w:rFonts w:ascii="Tahoma" w:eastAsia="Times New Roman" w:hAnsi="Tahoma" w:cs="Calibri"/>
          <w:sz w:val="24"/>
          <w:szCs w:val="20"/>
          <w:lang w:val="tr-TR" w:eastAsia="tr-TR"/>
        </w:rPr>
        <w:t xml:space="preserve"> şirketlerin de işlem sürecine girmesi işlem hacmini artırabilecek etkenler arasında yer alıyor. </w:t>
      </w:r>
    </w:p>
    <w:p w14:paraId="3B2CC0C3" w14:textId="77777777" w:rsidR="00027B4A" w:rsidRPr="00FD224A" w:rsidRDefault="00027B4A" w:rsidP="00027B4A">
      <w:pPr>
        <w:spacing w:after="0" w:line="240" w:lineRule="auto"/>
        <w:jc w:val="both"/>
        <w:rPr>
          <w:rFonts w:ascii="Tahoma" w:eastAsia="Times New Roman" w:hAnsi="Tahoma" w:cs="Calibri"/>
          <w:sz w:val="24"/>
          <w:szCs w:val="20"/>
          <w:lang w:val="tr-TR" w:eastAsia="tr-TR"/>
        </w:rPr>
      </w:pPr>
    </w:p>
    <w:p w14:paraId="3EEBD108" w14:textId="77777777" w:rsidR="00027B4A" w:rsidRPr="00FD224A" w:rsidRDefault="00027B4A" w:rsidP="00027B4A">
      <w:pPr>
        <w:numPr>
          <w:ilvl w:val="0"/>
          <w:numId w:val="1"/>
        </w:numPr>
        <w:spacing w:after="0" w:line="240" w:lineRule="auto"/>
        <w:contextualSpacing/>
        <w:jc w:val="both"/>
        <w:rPr>
          <w:rFonts w:ascii="Tahoma" w:eastAsia="Times New Roman" w:hAnsi="Tahoma" w:cs="Calibri"/>
          <w:sz w:val="24"/>
          <w:szCs w:val="20"/>
          <w:lang w:val="tr-TR" w:eastAsia="tr-TR"/>
        </w:rPr>
      </w:pPr>
      <w:r w:rsidRPr="00FD224A">
        <w:rPr>
          <w:rFonts w:ascii="Tahoma" w:eastAsia="Times New Roman" w:hAnsi="Tahoma" w:cs="Calibri"/>
          <w:sz w:val="24"/>
          <w:szCs w:val="20"/>
          <w:lang w:val="tr-TR" w:eastAsia="tr-TR"/>
        </w:rPr>
        <w:lastRenderedPageBreak/>
        <w:t>2023 yılında global ve bölgesel belirsizliklerin ortadan kalkmasıyla beraber Türkiye’de işlem hacminin ve sayısının artması bekleniyor.</w:t>
      </w:r>
    </w:p>
    <w:p w14:paraId="77BEF1BA" w14:textId="77777777" w:rsidR="00027B4A" w:rsidRPr="00FD224A" w:rsidRDefault="00027B4A" w:rsidP="00027B4A">
      <w:pPr>
        <w:spacing w:after="0" w:line="240" w:lineRule="auto"/>
        <w:jc w:val="both"/>
        <w:rPr>
          <w:rFonts w:ascii="Tahoma" w:eastAsia="Times New Roman" w:hAnsi="Tahoma" w:cs="Calibri"/>
          <w:sz w:val="24"/>
          <w:szCs w:val="20"/>
          <w:lang w:val="tr-TR" w:eastAsia="tr-TR"/>
        </w:rPr>
      </w:pPr>
    </w:p>
    <w:bookmarkEnd w:id="10"/>
    <w:p w14:paraId="622951E9" w14:textId="77777777" w:rsidR="00027B4A" w:rsidRPr="00CA5709" w:rsidRDefault="00027B4A" w:rsidP="00027B4A">
      <w:pPr>
        <w:spacing w:after="0" w:line="240" w:lineRule="auto"/>
        <w:jc w:val="both"/>
        <w:rPr>
          <w:rFonts w:ascii="Tahoma" w:eastAsia="Tahoma" w:hAnsi="Tahoma" w:cs="Tahoma"/>
          <w:b/>
          <w:sz w:val="18"/>
          <w:szCs w:val="18"/>
          <w:u w:val="single"/>
          <w:lang w:val="tr-TR" w:eastAsia="tr-TR"/>
        </w:rPr>
      </w:pPr>
      <w:r w:rsidRPr="00CA5709">
        <w:rPr>
          <w:rFonts w:ascii="Tahoma" w:eastAsia="Tahoma" w:hAnsi="Tahoma" w:cs="Tahoma"/>
          <w:b/>
          <w:sz w:val="18"/>
          <w:szCs w:val="18"/>
          <w:u w:val="single"/>
          <w:lang w:val="tr-TR" w:eastAsia="tr-TR"/>
        </w:rPr>
        <w:t>KPMG Hakkında</w:t>
      </w:r>
    </w:p>
    <w:p w14:paraId="3414E374" w14:textId="77777777" w:rsidR="00CA5709" w:rsidRPr="00CA5709" w:rsidRDefault="00CA5709" w:rsidP="00CA5709">
      <w:pPr>
        <w:pStyle w:val="paragraph"/>
        <w:spacing w:before="0" w:beforeAutospacing="0" w:after="0" w:afterAutospacing="0"/>
        <w:jc w:val="both"/>
        <w:textAlignment w:val="baseline"/>
        <w:rPr>
          <w:rFonts w:ascii="Tahoma" w:hAnsi="Tahoma" w:cs="Tahoma"/>
          <w:sz w:val="18"/>
          <w:szCs w:val="18"/>
        </w:rPr>
      </w:pPr>
      <w:r w:rsidRPr="00CA5709">
        <w:rPr>
          <w:rStyle w:val="normaltextrun"/>
          <w:rFonts w:ascii="Tahoma" w:hAnsi="Tahoma" w:cs="Tahoma"/>
          <w:color w:val="000000"/>
          <w:sz w:val="18"/>
          <w:szCs w:val="18"/>
        </w:rPr>
        <w:t xml:space="preserve">KPMG, geçmişi 1867 yılına dayanan, üye firmalar ağı sistemiyle 143 ülkede 265 binin üzerinde çalışanıyla faaliyet gösteriyor. Finansal hizmetler, tüketici ürünleri, otomotiv; endüstriyel sektörlerden gıda, perakende, enerji, telekomünikasyon, kimya gibi pek çok sektöre danışmanlık hizmeti sağlıyor. KPMG Türkiye ise İstanbul merkez ofisinin yanı sıra Ankara, İzmir ve Bursa ofisleriyle, 1982 yılından beri yaklaşık 1.800 çalışanıyla her sektörden 4 binin üzerinde firmaya sektörler özelinde hizmet veriyor. 2020 yılında küresel ağın </w:t>
      </w:r>
      <w:proofErr w:type="spellStart"/>
      <w:r w:rsidRPr="00CA5709">
        <w:rPr>
          <w:rStyle w:val="spellingerror"/>
          <w:rFonts w:ascii="Tahoma" w:hAnsi="Tahoma" w:cs="Tahoma"/>
          <w:color w:val="000000"/>
          <w:sz w:val="18"/>
          <w:szCs w:val="18"/>
        </w:rPr>
        <w:t>Lighthouse</w:t>
      </w:r>
      <w:proofErr w:type="spellEnd"/>
      <w:r w:rsidRPr="00CA5709">
        <w:rPr>
          <w:rStyle w:val="normaltextrun"/>
          <w:rFonts w:ascii="Tahoma" w:hAnsi="Tahoma" w:cs="Tahoma"/>
          <w:color w:val="000000"/>
          <w:sz w:val="18"/>
          <w:szCs w:val="18"/>
        </w:rPr>
        <w:t xml:space="preserve"> lisansını alarak yeni teknolojilerde dünyadaki mükemmeliyet merkezleri arasına giren KPMG Türkiye, müşterilerine değer yaratan çözümler sunuyor. Detaylı bilgi için </w:t>
      </w:r>
      <w:hyperlink r:id="rId12" w:tgtFrame="_blank" w:history="1">
        <w:r w:rsidRPr="00CA5709">
          <w:rPr>
            <w:rStyle w:val="normaltextrun"/>
            <w:rFonts w:ascii="Tahoma" w:hAnsi="Tahoma" w:cs="Tahoma"/>
            <w:color w:val="0563C1"/>
            <w:sz w:val="18"/>
            <w:szCs w:val="18"/>
          </w:rPr>
          <w:t>www.kpmg.com.tr</w:t>
        </w:r>
      </w:hyperlink>
      <w:r w:rsidRPr="00CA5709">
        <w:rPr>
          <w:rStyle w:val="normaltextrun"/>
          <w:rFonts w:ascii="Tahoma" w:hAnsi="Tahoma" w:cs="Tahoma"/>
          <w:color w:val="000000"/>
          <w:sz w:val="18"/>
          <w:szCs w:val="18"/>
        </w:rPr>
        <w:t> adresine başvurabilirsiniz.</w:t>
      </w:r>
    </w:p>
    <w:p w14:paraId="191212CD" w14:textId="77777777" w:rsidR="00B01F67" w:rsidRPr="00EA5AE1" w:rsidRDefault="00B01F67" w:rsidP="00B01F67">
      <w:pPr>
        <w:pBdr>
          <w:top w:val="nil"/>
          <w:left w:val="nil"/>
          <w:bottom w:val="nil"/>
          <w:right w:val="nil"/>
          <w:between w:val="nil"/>
        </w:pBdr>
        <w:spacing w:after="0" w:line="240" w:lineRule="auto"/>
        <w:contextualSpacing/>
        <w:jc w:val="both"/>
        <w:rPr>
          <w:sz w:val="18"/>
          <w:szCs w:val="18"/>
        </w:rPr>
      </w:pPr>
    </w:p>
    <w:p w14:paraId="65680875" w14:textId="77777777" w:rsidR="00B01F67" w:rsidRPr="00EA5AE1" w:rsidRDefault="00B01F67" w:rsidP="00B01F67">
      <w:pPr>
        <w:pBdr>
          <w:top w:val="nil"/>
          <w:left w:val="nil"/>
          <w:bottom w:val="nil"/>
          <w:right w:val="nil"/>
          <w:between w:val="nil"/>
        </w:pBdr>
        <w:spacing w:after="0" w:line="240" w:lineRule="auto"/>
        <w:contextualSpacing/>
        <w:jc w:val="both"/>
        <w:rPr>
          <w:rFonts w:ascii="Tahoma" w:eastAsia="Tahoma" w:hAnsi="Tahoma" w:cs="Tahoma"/>
          <w:b/>
          <w:sz w:val="18"/>
          <w:szCs w:val="18"/>
        </w:rPr>
      </w:pPr>
      <w:r w:rsidRPr="00EA5AE1">
        <w:rPr>
          <w:rFonts w:ascii="Tahoma" w:eastAsia="Tahoma" w:hAnsi="Tahoma" w:cs="Tahoma"/>
          <w:b/>
          <w:sz w:val="18"/>
          <w:szCs w:val="18"/>
        </w:rPr>
        <w:t xml:space="preserve">Bilgi </w:t>
      </w:r>
      <w:proofErr w:type="spellStart"/>
      <w:r w:rsidRPr="00EA5AE1">
        <w:rPr>
          <w:rFonts w:ascii="Tahoma" w:eastAsia="Tahoma" w:hAnsi="Tahoma" w:cs="Tahoma"/>
          <w:b/>
          <w:sz w:val="18"/>
          <w:szCs w:val="18"/>
        </w:rPr>
        <w:t>için</w:t>
      </w:r>
      <w:proofErr w:type="spellEnd"/>
      <w:r w:rsidRPr="00EA5AE1">
        <w:rPr>
          <w:rFonts w:ascii="Tahoma" w:eastAsia="Tahoma" w:hAnsi="Tahoma" w:cs="Tahoma"/>
          <w:b/>
          <w:sz w:val="18"/>
          <w:szCs w:val="18"/>
        </w:rPr>
        <w:t xml:space="preserve">: </w:t>
      </w:r>
      <w:r w:rsidRPr="00EA5AE1">
        <w:rPr>
          <w:rFonts w:ascii="Tahoma" w:eastAsia="Tahoma" w:hAnsi="Tahoma" w:cs="Tahoma"/>
          <w:b/>
          <w:sz w:val="18"/>
          <w:szCs w:val="18"/>
        </w:rPr>
        <w:tab/>
      </w:r>
    </w:p>
    <w:p w14:paraId="63195402" w14:textId="77777777" w:rsidR="00B01F67" w:rsidRPr="00EA5AE1" w:rsidRDefault="00B01F67" w:rsidP="00B01F67">
      <w:pPr>
        <w:pBdr>
          <w:top w:val="nil"/>
          <w:left w:val="nil"/>
          <w:bottom w:val="nil"/>
          <w:right w:val="nil"/>
          <w:between w:val="nil"/>
        </w:pBdr>
        <w:spacing w:after="0" w:line="240" w:lineRule="auto"/>
        <w:contextualSpacing/>
        <w:jc w:val="both"/>
        <w:rPr>
          <w:rFonts w:ascii="Tahoma" w:eastAsia="Tahoma" w:hAnsi="Tahoma" w:cs="Tahoma"/>
          <w:bCs/>
          <w:color w:val="000000" w:themeColor="text1"/>
          <w:sz w:val="18"/>
          <w:szCs w:val="18"/>
        </w:rPr>
      </w:pPr>
      <w:r w:rsidRPr="00EA5AE1">
        <w:rPr>
          <w:rFonts w:ascii="Tahoma" w:eastAsia="Tahoma" w:hAnsi="Tahoma" w:cs="Tahoma"/>
          <w:color w:val="000000" w:themeColor="text1"/>
          <w:sz w:val="18"/>
          <w:szCs w:val="18"/>
        </w:rPr>
        <w:t>Ceren Moral Aru</w:t>
      </w:r>
    </w:p>
    <w:p w14:paraId="5DB8B2F5" w14:textId="77777777" w:rsidR="00B01F67" w:rsidRPr="00EA5AE1" w:rsidRDefault="00B01F67" w:rsidP="00B01F67">
      <w:pPr>
        <w:pBdr>
          <w:top w:val="nil"/>
          <w:left w:val="nil"/>
          <w:bottom w:val="nil"/>
          <w:right w:val="nil"/>
          <w:between w:val="nil"/>
        </w:pBdr>
        <w:spacing w:after="0" w:line="240" w:lineRule="auto"/>
        <w:contextualSpacing/>
        <w:jc w:val="both"/>
        <w:rPr>
          <w:rFonts w:ascii="Tahoma" w:eastAsia="Tahoma" w:hAnsi="Tahoma" w:cs="Tahoma"/>
          <w:bCs/>
          <w:color w:val="000000" w:themeColor="text1"/>
          <w:sz w:val="18"/>
          <w:szCs w:val="18"/>
        </w:rPr>
      </w:pPr>
      <w:r w:rsidRPr="00EA5AE1">
        <w:rPr>
          <w:rFonts w:ascii="Tahoma" w:eastAsia="Tahoma" w:hAnsi="Tahoma" w:cs="Tahoma"/>
          <w:color w:val="000000" w:themeColor="text1"/>
          <w:sz w:val="18"/>
          <w:szCs w:val="18"/>
        </w:rPr>
        <w:t>0533 921 43 53</w:t>
      </w:r>
    </w:p>
    <w:p w14:paraId="11B63FDE" w14:textId="77777777" w:rsidR="00B01F67" w:rsidRPr="00EA5AE1" w:rsidRDefault="00B01F67" w:rsidP="00B01F67">
      <w:pPr>
        <w:pBdr>
          <w:top w:val="nil"/>
          <w:left w:val="nil"/>
          <w:bottom w:val="nil"/>
          <w:right w:val="nil"/>
          <w:between w:val="nil"/>
        </w:pBdr>
        <w:spacing w:after="0" w:line="240" w:lineRule="auto"/>
        <w:contextualSpacing/>
        <w:jc w:val="both"/>
        <w:rPr>
          <w:rFonts w:ascii="Tahoma" w:eastAsia="Tahoma" w:hAnsi="Tahoma" w:cs="Tahoma"/>
          <w:bCs/>
          <w:color w:val="000000" w:themeColor="text1"/>
          <w:sz w:val="18"/>
          <w:szCs w:val="18"/>
        </w:rPr>
      </w:pPr>
      <w:r w:rsidRPr="00EA5AE1">
        <w:rPr>
          <w:rFonts w:ascii="Tahoma" w:eastAsia="Tahoma" w:hAnsi="Tahoma" w:cs="Tahoma"/>
          <w:color w:val="000000" w:themeColor="text1"/>
          <w:sz w:val="18"/>
          <w:szCs w:val="18"/>
        </w:rPr>
        <w:t>cerenm@marjinal.com.tr</w:t>
      </w:r>
    </w:p>
    <w:p w14:paraId="17BCD97B" w14:textId="77777777" w:rsidR="00B01F67" w:rsidRPr="00EA5AE1" w:rsidRDefault="00B01F67" w:rsidP="00B01F67">
      <w:pPr>
        <w:rPr>
          <w:rFonts w:ascii="Arial" w:hAnsi="Arial" w:cs="Arial"/>
        </w:rPr>
      </w:pPr>
    </w:p>
    <w:p w14:paraId="426B94B6" w14:textId="006B61EE" w:rsidR="00B01F67" w:rsidRDefault="00B01F67" w:rsidP="00CA5709">
      <w:pPr>
        <w:rPr>
          <w:rFonts w:ascii="Calibri" w:hAnsi="Calibri" w:cs="Calibri"/>
        </w:rPr>
      </w:pPr>
    </w:p>
    <w:p w14:paraId="721B6278" w14:textId="77777777" w:rsidR="00CA5709" w:rsidRPr="00FD224A" w:rsidRDefault="00CA5709" w:rsidP="00027B4A">
      <w:pPr>
        <w:pBdr>
          <w:top w:val="nil"/>
          <w:left w:val="nil"/>
          <w:bottom w:val="nil"/>
          <w:right w:val="nil"/>
          <w:between w:val="nil"/>
        </w:pBdr>
        <w:spacing w:after="0" w:line="240" w:lineRule="auto"/>
        <w:jc w:val="both"/>
        <w:rPr>
          <w:rFonts w:ascii="Tahoma" w:eastAsia="Tahoma" w:hAnsi="Tahoma" w:cs="Tahoma"/>
          <w:color w:val="000000"/>
          <w:sz w:val="24"/>
          <w:szCs w:val="24"/>
          <w:lang w:val="tr-TR" w:eastAsia="tr-TR"/>
        </w:rPr>
      </w:pPr>
    </w:p>
    <w:p w14:paraId="68ECF43D" w14:textId="77777777" w:rsidR="00027B4A" w:rsidRPr="00FD224A" w:rsidRDefault="00027B4A" w:rsidP="00027B4A">
      <w:pPr>
        <w:pBdr>
          <w:top w:val="nil"/>
          <w:left w:val="nil"/>
          <w:bottom w:val="nil"/>
          <w:right w:val="nil"/>
          <w:between w:val="nil"/>
        </w:pBdr>
        <w:spacing w:after="0" w:line="240" w:lineRule="auto"/>
        <w:jc w:val="both"/>
        <w:rPr>
          <w:rFonts w:ascii="Tahoma" w:eastAsia="Tahoma" w:hAnsi="Tahoma" w:cs="Tahoma"/>
          <w:color w:val="000000"/>
          <w:sz w:val="24"/>
          <w:szCs w:val="24"/>
          <w:lang w:val="tr-TR" w:eastAsia="tr-TR"/>
        </w:rPr>
      </w:pPr>
    </w:p>
    <w:p w14:paraId="6562A525" w14:textId="77777777" w:rsidR="00027B4A" w:rsidRPr="00FD224A" w:rsidRDefault="00027B4A" w:rsidP="00027B4A">
      <w:pPr>
        <w:spacing w:after="0" w:line="240" w:lineRule="auto"/>
        <w:rPr>
          <w:rFonts w:ascii="Times New Roman" w:eastAsia="Times New Roman" w:hAnsi="Times New Roman" w:cs="Times New Roman"/>
          <w:sz w:val="24"/>
          <w:szCs w:val="24"/>
          <w:lang w:val="tr-TR" w:eastAsia="tr-TR"/>
        </w:rPr>
      </w:pPr>
    </w:p>
    <w:p w14:paraId="146671B5" w14:textId="77777777" w:rsidR="00027B4A" w:rsidRPr="00FD224A" w:rsidRDefault="00027B4A" w:rsidP="00027B4A">
      <w:pPr>
        <w:spacing w:after="0" w:line="276" w:lineRule="auto"/>
        <w:jc w:val="both"/>
        <w:rPr>
          <w:rFonts w:ascii="Tahoma" w:eastAsia="Times New Roman" w:hAnsi="Tahoma" w:cs="Times New Roman"/>
          <w:sz w:val="32"/>
          <w:szCs w:val="24"/>
          <w:lang w:val="tr-TR" w:eastAsia="tr-TR"/>
        </w:rPr>
      </w:pPr>
    </w:p>
    <w:p w14:paraId="2A6FE180" w14:textId="77777777" w:rsidR="003A6F07" w:rsidRPr="00FD224A" w:rsidRDefault="00000000">
      <w:pPr>
        <w:rPr>
          <w:lang w:val="tr-TR"/>
        </w:rPr>
      </w:pPr>
    </w:p>
    <w:sectPr w:rsidR="003A6F07" w:rsidRPr="00FD224A" w:rsidSect="0086574F">
      <w:headerReference w:type="default" r:id="rId13"/>
      <w:pgSz w:w="11906" w:h="16838"/>
      <w:pgMar w:top="1258" w:right="1417" w:bottom="993" w:left="1417" w:header="70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06663" w14:textId="77777777" w:rsidR="001F38E5" w:rsidRDefault="001F38E5">
      <w:pPr>
        <w:spacing w:after="0" w:line="240" w:lineRule="auto"/>
      </w:pPr>
      <w:r>
        <w:separator/>
      </w:r>
    </w:p>
  </w:endnote>
  <w:endnote w:type="continuationSeparator" w:id="0">
    <w:p w14:paraId="3A6C84F6" w14:textId="77777777" w:rsidR="001F38E5" w:rsidRDefault="001F3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23C95" w14:textId="77777777" w:rsidR="001F38E5" w:rsidRDefault="001F38E5">
      <w:pPr>
        <w:spacing w:after="0" w:line="240" w:lineRule="auto"/>
      </w:pPr>
      <w:r>
        <w:separator/>
      </w:r>
    </w:p>
  </w:footnote>
  <w:footnote w:type="continuationSeparator" w:id="0">
    <w:p w14:paraId="2B2600DC" w14:textId="77777777" w:rsidR="001F38E5" w:rsidRDefault="001F3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D538" w14:textId="77777777" w:rsidR="00852C2B" w:rsidRDefault="00000000">
    <w:pPr>
      <w:pStyle w:val="stBilgi"/>
    </w:pPr>
  </w:p>
  <w:p w14:paraId="1B8BA089" w14:textId="77777777" w:rsidR="00852C2B" w:rsidRPr="00027B4A" w:rsidRDefault="00027B4A">
    <w:pPr>
      <w:pStyle w:val="KonuBal"/>
      <w:ind w:left="5664" w:firstLine="708"/>
      <w:rPr>
        <w:rFonts w:ascii="Calibri" w:hAnsi="Calibri" w:cs="Calibri"/>
        <w:bCs/>
        <w:sz w:val="22"/>
        <w:szCs w:val="22"/>
      </w:rPr>
    </w:pPr>
    <w:r>
      <w:rPr>
        <w:b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D5EF9"/>
    <w:multiLevelType w:val="hybridMultilevel"/>
    <w:tmpl w:val="9B30F8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8673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B4A"/>
    <w:rsid w:val="0000204D"/>
    <w:rsid w:val="000162CD"/>
    <w:rsid w:val="00027B4A"/>
    <w:rsid w:val="000576A3"/>
    <w:rsid w:val="001F38E5"/>
    <w:rsid w:val="002E6A14"/>
    <w:rsid w:val="003079FF"/>
    <w:rsid w:val="0043694C"/>
    <w:rsid w:val="005C603C"/>
    <w:rsid w:val="005F443C"/>
    <w:rsid w:val="00643547"/>
    <w:rsid w:val="00665636"/>
    <w:rsid w:val="00723CE2"/>
    <w:rsid w:val="0075165E"/>
    <w:rsid w:val="00777D62"/>
    <w:rsid w:val="007C5428"/>
    <w:rsid w:val="009B2AC7"/>
    <w:rsid w:val="00A83445"/>
    <w:rsid w:val="00A939D8"/>
    <w:rsid w:val="00B01F67"/>
    <w:rsid w:val="00B83D95"/>
    <w:rsid w:val="00BA14A5"/>
    <w:rsid w:val="00C601E3"/>
    <w:rsid w:val="00C724C4"/>
    <w:rsid w:val="00CA5709"/>
    <w:rsid w:val="00CE347C"/>
    <w:rsid w:val="00CE4907"/>
    <w:rsid w:val="00D56A81"/>
    <w:rsid w:val="00D875ED"/>
    <w:rsid w:val="00E24D21"/>
    <w:rsid w:val="00F70B15"/>
    <w:rsid w:val="00FD224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C37B"/>
  <w15:chartTrackingRefBased/>
  <w15:docId w15:val="{30FB92D5-F80A-4300-A4F0-67D380479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027B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27B4A"/>
    <w:rPr>
      <w:rFonts w:asciiTheme="majorHAnsi" w:eastAsiaTheme="majorEastAsia" w:hAnsiTheme="majorHAnsi" w:cstheme="majorBidi"/>
      <w:spacing w:val="-10"/>
      <w:kern w:val="28"/>
      <w:sz w:val="56"/>
      <w:szCs w:val="56"/>
    </w:rPr>
  </w:style>
  <w:style w:type="character" w:customStyle="1" w:styleId="stBilgiChar">
    <w:name w:val="Üst Bilgi Char"/>
    <w:basedOn w:val="VarsaylanParagrafYazTipi"/>
    <w:link w:val="stBilgi"/>
    <w:qFormat/>
    <w:rsid w:val="00027B4A"/>
    <w:rPr>
      <w:sz w:val="24"/>
      <w:szCs w:val="24"/>
    </w:rPr>
  </w:style>
  <w:style w:type="character" w:customStyle="1" w:styleId="AltBilgiChar">
    <w:name w:val="Alt Bilgi Char"/>
    <w:basedOn w:val="VarsaylanParagrafYazTipi"/>
    <w:link w:val="AltBilgi"/>
    <w:uiPriority w:val="99"/>
    <w:qFormat/>
    <w:rsid w:val="00027B4A"/>
    <w:rPr>
      <w:sz w:val="24"/>
      <w:szCs w:val="24"/>
    </w:rPr>
  </w:style>
  <w:style w:type="paragraph" w:styleId="stBilgi">
    <w:name w:val="header"/>
    <w:basedOn w:val="Normal"/>
    <w:link w:val="stBilgiChar"/>
    <w:rsid w:val="00027B4A"/>
    <w:pPr>
      <w:tabs>
        <w:tab w:val="center" w:pos="4703"/>
        <w:tab w:val="right" w:pos="9406"/>
      </w:tabs>
      <w:spacing w:after="0" w:line="240" w:lineRule="auto"/>
    </w:pPr>
    <w:rPr>
      <w:sz w:val="24"/>
      <w:szCs w:val="24"/>
    </w:rPr>
  </w:style>
  <w:style w:type="character" w:customStyle="1" w:styleId="HeaderChar1">
    <w:name w:val="Header Char1"/>
    <w:basedOn w:val="VarsaylanParagrafYazTipi"/>
    <w:uiPriority w:val="99"/>
    <w:semiHidden/>
    <w:rsid w:val="00027B4A"/>
  </w:style>
  <w:style w:type="paragraph" w:styleId="AltBilgi">
    <w:name w:val="footer"/>
    <w:basedOn w:val="Normal"/>
    <w:link w:val="AltBilgiChar"/>
    <w:uiPriority w:val="99"/>
    <w:rsid w:val="00027B4A"/>
    <w:pPr>
      <w:tabs>
        <w:tab w:val="center" w:pos="4703"/>
        <w:tab w:val="right" w:pos="9406"/>
      </w:tabs>
      <w:spacing w:after="0" w:line="240" w:lineRule="auto"/>
    </w:pPr>
    <w:rPr>
      <w:sz w:val="24"/>
      <w:szCs w:val="24"/>
    </w:rPr>
  </w:style>
  <w:style w:type="character" w:customStyle="1" w:styleId="FooterChar1">
    <w:name w:val="Footer Char1"/>
    <w:basedOn w:val="VarsaylanParagrafYazTipi"/>
    <w:uiPriority w:val="99"/>
    <w:semiHidden/>
    <w:rsid w:val="00027B4A"/>
  </w:style>
  <w:style w:type="character" w:styleId="AklamaBavurusu">
    <w:name w:val="annotation reference"/>
    <w:basedOn w:val="VarsaylanParagrafYazTipi"/>
    <w:uiPriority w:val="99"/>
    <w:semiHidden/>
    <w:unhideWhenUsed/>
    <w:rsid w:val="00777D62"/>
    <w:rPr>
      <w:sz w:val="16"/>
      <w:szCs w:val="16"/>
    </w:rPr>
  </w:style>
  <w:style w:type="paragraph" w:styleId="AklamaMetni">
    <w:name w:val="annotation text"/>
    <w:basedOn w:val="Normal"/>
    <w:link w:val="AklamaMetniChar"/>
    <w:uiPriority w:val="99"/>
    <w:semiHidden/>
    <w:unhideWhenUsed/>
    <w:rsid w:val="00777D6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77D62"/>
    <w:rPr>
      <w:sz w:val="20"/>
      <w:szCs w:val="20"/>
    </w:rPr>
  </w:style>
  <w:style w:type="paragraph" w:styleId="AklamaKonusu">
    <w:name w:val="annotation subject"/>
    <w:basedOn w:val="AklamaMetni"/>
    <w:next w:val="AklamaMetni"/>
    <w:link w:val="AklamaKonusuChar"/>
    <w:uiPriority w:val="99"/>
    <w:semiHidden/>
    <w:unhideWhenUsed/>
    <w:rsid w:val="00777D62"/>
    <w:rPr>
      <w:b/>
      <w:bCs/>
    </w:rPr>
  </w:style>
  <w:style w:type="character" w:customStyle="1" w:styleId="AklamaKonusuChar">
    <w:name w:val="Açıklama Konusu Char"/>
    <w:basedOn w:val="AklamaMetniChar"/>
    <w:link w:val="AklamaKonusu"/>
    <w:uiPriority w:val="99"/>
    <w:semiHidden/>
    <w:rsid w:val="00777D62"/>
    <w:rPr>
      <w:b/>
      <w:bCs/>
      <w:sz w:val="20"/>
      <w:szCs w:val="20"/>
    </w:rPr>
  </w:style>
  <w:style w:type="paragraph" w:styleId="Dzeltme">
    <w:name w:val="Revision"/>
    <w:hidden/>
    <w:uiPriority w:val="99"/>
    <w:semiHidden/>
    <w:rsid w:val="00FD224A"/>
    <w:pPr>
      <w:spacing w:after="0" w:line="240" w:lineRule="auto"/>
    </w:pPr>
  </w:style>
  <w:style w:type="paragraph" w:styleId="DipnotMetni">
    <w:name w:val="footnote text"/>
    <w:basedOn w:val="Normal"/>
    <w:link w:val="DipnotMetniChar"/>
    <w:uiPriority w:val="99"/>
    <w:semiHidden/>
    <w:unhideWhenUsed/>
    <w:rsid w:val="00CE490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E4907"/>
    <w:rPr>
      <w:sz w:val="20"/>
      <w:szCs w:val="20"/>
    </w:rPr>
  </w:style>
  <w:style w:type="character" w:styleId="DipnotBavurusu">
    <w:name w:val="footnote reference"/>
    <w:basedOn w:val="VarsaylanParagrafYazTipi"/>
    <w:uiPriority w:val="99"/>
    <w:semiHidden/>
    <w:unhideWhenUsed/>
    <w:rsid w:val="00CE4907"/>
    <w:rPr>
      <w:vertAlign w:val="superscript"/>
    </w:rPr>
  </w:style>
  <w:style w:type="character" w:styleId="Kpr">
    <w:name w:val="Hyperlink"/>
    <w:basedOn w:val="VarsaylanParagrafYazTipi"/>
    <w:uiPriority w:val="99"/>
    <w:unhideWhenUsed/>
    <w:rsid w:val="002E6A14"/>
    <w:rPr>
      <w:color w:val="0563C1" w:themeColor="hyperlink"/>
      <w:u w:val="single"/>
    </w:rPr>
  </w:style>
  <w:style w:type="character" w:styleId="zmlenmeyenBahsetme">
    <w:name w:val="Unresolved Mention"/>
    <w:basedOn w:val="VarsaylanParagrafYazTipi"/>
    <w:uiPriority w:val="99"/>
    <w:semiHidden/>
    <w:unhideWhenUsed/>
    <w:rsid w:val="002E6A14"/>
    <w:rPr>
      <w:color w:val="605E5C"/>
      <w:shd w:val="clear" w:color="auto" w:fill="E1DFDD"/>
    </w:rPr>
  </w:style>
  <w:style w:type="paragraph" w:customStyle="1" w:styleId="paragraph">
    <w:name w:val="paragraph"/>
    <w:basedOn w:val="Normal"/>
    <w:rsid w:val="00CA5709"/>
    <w:pPr>
      <w:spacing w:before="100" w:beforeAutospacing="1" w:after="100" w:afterAutospacing="1" w:line="240" w:lineRule="auto"/>
    </w:pPr>
    <w:rPr>
      <w:rFonts w:ascii="Times New Roman" w:hAnsi="Times New Roman" w:cs="Times New Roman"/>
      <w:sz w:val="24"/>
      <w:szCs w:val="24"/>
      <w:lang w:val="tr-TR" w:eastAsia="tr-TR"/>
    </w:rPr>
  </w:style>
  <w:style w:type="character" w:customStyle="1" w:styleId="normaltextrun">
    <w:name w:val="normaltextrun"/>
    <w:basedOn w:val="VarsaylanParagrafYazTipi"/>
    <w:rsid w:val="00CA5709"/>
  </w:style>
  <w:style w:type="character" w:customStyle="1" w:styleId="eop">
    <w:name w:val="eop"/>
    <w:basedOn w:val="VarsaylanParagrafYazTipi"/>
    <w:rsid w:val="00CA5709"/>
  </w:style>
  <w:style w:type="character" w:customStyle="1" w:styleId="spellingerror">
    <w:name w:val="spellingerror"/>
    <w:basedOn w:val="VarsaylanParagrafYazTipi"/>
    <w:rsid w:val="00CA5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50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pmg.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0" ma:contentTypeDescription="Yeni belge oluşturun." ma:contentTypeScope="" ma:versionID="9124f16977993da65387cec3c2cfb933">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b01959ae984e048d403221e584eed54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XSL" StyleName="ISO 690 - İlk Öğe ve Tarih" Version="1987"/>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Props1.xml><?xml version="1.0" encoding="utf-8"?>
<ds:datastoreItem xmlns:ds="http://schemas.openxmlformats.org/officeDocument/2006/customXml" ds:itemID="{7196F1E2-3780-42F5-A0F6-92E286BDD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51463C-4EE2-4FAE-B6B2-936439E09DBE}">
  <ds:schemaRefs>
    <ds:schemaRef ds:uri="http://schemas.microsoft.com/sharepoint/v3/contenttype/forms"/>
  </ds:schemaRefs>
</ds:datastoreItem>
</file>

<file path=customXml/itemProps3.xml><?xml version="1.0" encoding="utf-8"?>
<ds:datastoreItem xmlns:ds="http://schemas.openxmlformats.org/officeDocument/2006/customXml" ds:itemID="{DE57C60F-B193-4DAD-BA55-C834DE20640B}">
  <ds:schemaRefs>
    <ds:schemaRef ds:uri="http://schemas.openxmlformats.org/officeDocument/2006/bibliography"/>
  </ds:schemaRefs>
</ds:datastoreItem>
</file>

<file path=customXml/itemProps4.xml><?xml version="1.0" encoding="utf-8"?>
<ds:datastoreItem xmlns:ds="http://schemas.openxmlformats.org/officeDocument/2006/customXml" ds:itemID="{F9BE2E9D-4178-42EC-B3A2-4FAE88CCBC70}">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1454</Words>
  <Characters>8289</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Cevahir, Serra</dc:creator>
  <cp:keywords/>
  <dc:description/>
  <cp:lastModifiedBy>Ceren Moral</cp:lastModifiedBy>
  <cp:revision>4</cp:revision>
  <dcterms:created xsi:type="dcterms:W3CDTF">2022-12-20T09:58:00Z</dcterms:created>
  <dcterms:modified xsi:type="dcterms:W3CDTF">2022-12-20T13:45:00Z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