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C19E" w14:textId="77777777" w:rsidR="0068212F" w:rsidRDefault="00BC1EFD">
      <w:pPr>
        <w:spacing w:line="360" w:lineRule="auto"/>
        <w:jc w:val="center"/>
        <w:rPr>
          <w:rFonts w:ascii="Arial" w:eastAsia="Arial" w:hAnsi="Arial" w:cs="Arial"/>
          <w:sz w:val="18"/>
          <w:szCs w:val="18"/>
        </w:rPr>
      </w:pPr>
      <w:r>
        <w:rPr>
          <w:noProof/>
        </w:rPr>
        <w:drawing>
          <wp:inline distT="0" distB="0" distL="0" distR="0" wp14:anchorId="6C610DE7" wp14:editId="625F3853">
            <wp:extent cx="3699146" cy="12054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4575" b="15172"/>
                    <a:stretch>
                      <a:fillRect/>
                    </a:stretch>
                  </pic:blipFill>
                  <pic:spPr>
                    <a:xfrm>
                      <a:off x="0" y="0"/>
                      <a:ext cx="3699146" cy="1205496"/>
                    </a:xfrm>
                    <a:prstGeom prst="rect">
                      <a:avLst/>
                    </a:prstGeom>
                    <a:ln/>
                  </pic:spPr>
                </pic:pic>
              </a:graphicData>
            </a:graphic>
          </wp:inline>
        </w:drawing>
      </w:r>
    </w:p>
    <w:p w14:paraId="439FEB8B" w14:textId="77777777" w:rsidR="00C76D7A" w:rsidRPr="005968FF" w:rsidRDefault="00C76D7A" w:rsidP="00C76D7A">
      <w:pPr>
        <w:spacing w:after="0" w:line="240" w:lineRule="auto"/>
        <w:rPr>
          <w:rFonts w:ascii="Verdana" w:eastAsia="Arial" w:hAnsi="Verdana" w:cs="Arial"/>
          <w:b/>
          <w:iCs/>
          <w:sz w:val="32"/>
          <w:szCs w:val="32"/>
          <w:u w:val="single"/>
        </w:rPr>
      </w:pPr>
      <w:r w:rsidRPr="005968FF">
        <w:rPr>
          <w:rFonts w:ascii="Verdana" w:eastAsia="Arial" w:hAnsi="Verdana" w:cs="Arial"/>
          <w:b/>
          <w:iCs/>
          <w:sz w:val="32"/>
          <w:szCs w:val="32"/>
          <w:u w:val="single"/>
        </w:rPr>
        <w:t>BASIN BÜLTENİ</w:t>
      </w:r>
    </w:p>
    <w:p w14:paraId="691C1739" w14:textId="77777777" w:rsidR="00C76D7A" w:rsidRDefault="00C76D7A" w:rsidP="00C76D7A">
      <w:pPr>
        <w:spacing w:after="0" w:line="240" w:lineRule="auto"/>
        <w:jc w:val="center"/>
        <w:rPr>
          <w:rFonts w:ascii="Arial" w:eastAsia="Arial" w:hAnsi="Arial" w:cs="Arial"/>
          <w:b/>
          <w:iCs/>
          <w:sz w:val="28"/>
          <w:szCs w:val="28"/>
        </w:rPr>
      </w:pPr>
    </w:p>
    <w:p w14:paraId="75B3DCD7" w14:textId="77777777" w:rsidR="00C76D7A" w:rsidRPr="00C76D7A" w:rsidRDefault="00C76D7A" w:rsidP="00C76D7A">
      <w:pPr>
        <w:spacing w:after="0" w:line="240" w:lineRule="auto"/>
        <w:jc w:val="center"/>
        <w:rPr>
          <w:rFonts w:ascii="Arial" w:eastAsia="Arial" w:hAnsi="Arial" w:cs="Arial"/>
          <w:b/>
          <w:sz w:val="40"/>
          <w:szCs w:val="40"/>
        </w:rPr>
      </w:pPr>
      <w:r w:rsidRPr="00C76D7A">
        <w:rPr>
          <w:rFonts w:ascii="Arial" w:eastAsia="Arial" w:hAnsi="Arial" w:cs="Arial"/>
          <w:b/>
          <w:sz w:val="40"/>
          <w:szCs w:val="40"/>
        </w:rPr>
        <w:t xml:space="preserve">Tech Data, </w:t>
      </w:r>
      <w:proofErr w:type="spellStart"/>
      <w:r w:rsidRPr="00C76D7A">
        <w:rPr>
          <w:rFonts w:ascii="Arial" w:eastAsia="Arial" w:hAnsi="Arial" w:cs="Arial"/>
          <w:b/>
          <w:sz w:val="40"/>
          <w:szCs w:val="40"/>
        </w:rPr>
        <w:t>Donanım</w:t>
      </w:r>
      <w:proofErr w:type="spellEnd"/>
      <w:r w:rsidRPr="00C76D7A">
        <w:rPr>
          <w:rFonts w:ascii="Arial" w:eastAsia="Arial" w:hAnsi="Arial" w:cs="Arial"/>
          <w:b/>
          <w:sz w:val="40"/>
          <w:szCs w:val="40"/>
        </w:rPr>
        <w:t xml:space="preserve">, </w:t>
      </w:r>
      <w:proofErr w:type="spellStart"/>
      <w:r w:rsidRPr="00C76D7A">
        <w:rPr>
          <w:rFonts w:ascii="Arial" w:eastAsia="Arial" w:hAnsi="Arial" w:cs="Arial"/>
          <w:b/>
          <w:sz w:val="40"/>
          <w:szCs w:val="40"/>
        </w:rPr>
        <w:t>Yazılım</w:t>
      </w:r>
      <w:proofErr w:type="spellEnd"/>
      <w:r w:rsidRPr="00C76D7A">
        <w:rPr>
          <w:rFonts w:ascii="Arial" w:eastAsia="Arial" w:hAnsi="Arial" w:cs="Arial"/>
          <w:b/>
          <w:sz w:val="40"/>
          <w:szCs w:val="40"/>
        </w:rPr>
        <w:t xml:space="preserve"> ve </w:t>
      </w:r>
      <w:proofErr w:type="spellStart"/>
      <w:r w:rsidRPr="00C76D7A">
        <w:rPr>
          <w:rFonts w:ascii="Arial" w:eastAsia="Arial" w:hAnsi="Arial" w:cs="Arial"/>
          <w:b/>
          <w:sz w:val="40"/>
          <w:szCs w:val="40"/>
        </w:rPr>
        <w:t>Hizmetler</w:t>
      </w:r>
      <w:proofErr w:type="spellEnd"/>
      <w:r w:rsidRPr="00C76D7A">
        <w:rPr>
          <w:rFonts w:ascii="Arial" w:eastAsia="Arial" w:hAnsi="Arial" w:cs="Arial"/>
          <w:b/>
          <w:sz w:val="40"/>
          <w:szCs w:val="40"/>
        </w:rPr>
        <w:t xml:space="preserve"> </w:t>
      </w:r>
      <w:proofErr w:type="spellStart"/>
      <w:r w:rsidRPr="00C76D7A">
        <w:rPr>
          <w:rFonts w:ascii="Arial" w:eastAsia="Arial" w:hAnsi="Arial" w:cs="Arial"/>
          <w:b/>
          <w:sz w:val="40"/>
          <w:szCs w:val="40"/>
        </w:rPr>
        <w:t>için</w:t>
      </w:r>
      <w:proofErr w:type="spellEnd"/>
      <w:r w:rsidRPr="00C76D7A">
        <w:rPr>
          <w:rFonts w:ascii="Arial" w:eastAsia="Arial" w:hAnsi="Arial" w:cs="Arial"/>
          <w:b/>
          <w:sz w:val="40"/>
          <w:szCs w:val="40"/>
        </w:rPr>
        <w:t xml:space="preserve"> NVIDIA </w:t>
      </w:r>
      <w:proofErr w:type="spellStart"/>
      <w:r w:rsidRPr="00C76D7A">
        <w:rPr>
          <w:rFonts w:ascii="Arial" w:eastAsia="Arial" w:hAnsi="Arial" w:cs="Arial"/>
          <w:b/>
          <w:sz w:val="40"/>
          <w:szCs w:val="40"/>
        </w:rPr>
        <w:t>ile</w:t>
      </w:r>
      <w:proofErr w:type="spellEnd"/>
      <w:r w:rsidRPr="00C76D7A">
        <w:rPr>
          <w:rFonts w:ascii="Arial" w:eastAsia="Arial" w:hAnsi="Arial" w:cs="Arial"/>
          <w:b/>
          <w:sz w:val="40"/>
          <w:szCs w:val="40"/>
        </w:rPr>
        <w:t xml:space="preserve"> </w:t>
      </w:r>
      <w:proofErr w:type="spellStart"/>
      <w:r w:rsidRPr="00C76D7A">
        <w:rPr>
          <w:rFonts w:ascii="Arial" w:eastAsia="Arial" w:hAnsi="Arial" w:cs="Arial"/>
          <w:b/>
          <w:sz w:val="40"/>
          <w:szCs w:val="40"/>
        </w:rPr>
        <w:t>Avrupa</w:t>
      </w:r>
      <w:proofErr w:type="spellEnd"/>
      <w:r w:rsidRPr="00C76D7A">
        <w:rPr>
          <w:rFonts w:ascii="Arial" w:eastAsia="Arial" w:hAnsi="Arial" w:cs="Arial"/>
          <w:b/>
          <w:sz w:val="40"/>
          <w:szCs w:val="40"/>
        </w:rPr>
        <w:t xml:space="preserve"> </w:t>
      </w:r>
      <w:proofErr w:type="spellStart"/>
      <w:r w:rsidRPr="00C76D7A">
        <w:rPr>
          <w:rFonts w:ascii="Arial" w:eastAsia="Arial" w:hAnsi="Arial" w:cs="Arial"/>
          <w:b/>
          <w:sz w:val="40"/>
          <w:szCs w:val="40"/>
        </w:rPr>
        <w:t>Anlaşmasını</w:t>
      </w:r>
      <w:proofErr w:type="spellEnd"/>
      <w:r w:rsidRPr="00C76D7A">
        <w:rPr>
          <w:rFonts w:ascii="Arial" w:eastAsia="Arial" w:hAnsi="Arial" w:cs="Arial"/>
          <w:b/>
          <w:sz w:val="40"/>
          <w:szCs w:val="40"/>
        </w:rPr>
        <w:t xml:space="preserve"> </w:t>
      </w:r>
      <w:proofErr w:type="spellStart"/>
      <w:r w:rsidRPr="00C76D7A">
        <w:rPr>
          <w:rFonts w:ascii="Arial" w:eastAsia="Arial" w:hAnsi="Arial" w:cs="Arial"/>
          <w:b/>
          <w:sz w:val="40"/>
          <w:szCs w:val="40"/>
        </w:rPr>
        <w:t>imzaladı</w:t>
      </w:r>
      <w:proofErr w:type="spellEnd"/>
    </w:p>
    <w:p w14:paraId="102C1CF8" w14:textId="77777777" w:rsidR="00C76D7A" w:rsidRPr="005968FF" w:rsidRDefault="00C76D7A" w:rsidP="00C76D7A">
      <w:pPr>
        <w:spacing w:after="0" w:line="240" w:lineRule="auto"/>
        <w:jc w:val="center"/>
        <w:rPr>
          <w:rFonts w:ascii="Verdana" w:eastAsia="Arial" w:hAnsi="Verdana" w:cs="Arial"/>
          <w:b/>
          <w:iCs/>
          <w:sz w:val="28"/>
          <w:szCs w:val="28"/>
        </w:rPr>
      </w:pPr>
    </w:p>
    <w:p w14:paraId="07600920" w14:textId="77777777" w:rsidR="00C76D7A" w:rsidRPr="005968FF" w:rsidRDefault="00C76D7A" w:rsidP="00C76D7A">
      <w:pPr>
        <w:spacing w:after="0" w:line="240" w:lineRule="auto"/>
        <w:jc w:val="center"/>
        <w:rPr>
          <w:rFonts w:ascii="Verdana" w:eastAsia="Arial" w:hAnsi="Verdana" w:cs="Arial"/>
          <w:b/>
          <w:iCs/>
          <w:sz w:val="24"/>
          <w:szCs w:val="24"/>
        </w:rPr>
      </w:pPr>
      <w:proofErr w:type="spellStart"/>
      <w:r w:rsidRPr="005968FF">
        <w:rPr>
          <w:rFonts w:ascii="Verdana" w:eastAsia="Arial" w:hAnsi="Verdana" w:cs="Arial"/>
          <w:b/>
          <w:iCs/>
          <w:sz w:val="24"/>
          <w:szCs w:val="24"/>
        </w:rPr>
        <w:t>Genişletilmiş</w:t>
      </w:r>
      <w:proofErr w:type="spellEnd"/>
      <w:r w:rsidRPr="005968FF">
        <w:rPr>
          <w:rFonts w:ascii="Verdana" w:eastAsia="Arial" w:hAnsi="Verdana" w:cs="Arial"/>
          <w:b/>
          <w:iCs/>
          <w:sz w:val="24"/>
          <w:szCs w:val="24"/>
        </w:rPr>
        <w:t xml:space="preserve"> </w:t>
      </w:r>
      <w:proofErr w:type="spellStart"/>
      <w:r w:rsidRPr="005968FF">
        <w:rPr>
          <w:rFonts w:ascii="Verdana" w:eastAsia="Arial" w:hAnsi="Verdana" w:cs="Arial"/>
          <w:b/>
          <w:iCs/>
          <w:sz w:val="24"/>
          <w:szCs w:val="24"/>
        </w:rPr>
        <w:t>anlaşma</w:t>
      </w:r>
      <w:proofErr w:type="spellEnd"/>
      <w:r w:rsidRPr="005968FF">
        <w:rPr>
          <w:rFonts w:ascii="Verdana" w:eastAsia="Arial" w:hAnsi="Verdana" w:cs="Arial"/>
          <w:b/>
          <w:iCs/>
          <w:sz w:val="24"/>
          <w:szCs w:val="24"/>
        </w:rPr>
        <w:t xml:space="preserve">, NVIDIA DGX </w:t>
      </w:r>
      <w:proofErr w:type="spellStart"/>
      <w:r w:rsidRPr="005968FF">
        <w:rPr>
          <w:rFonts w:ascii="Verdana" w:eastAsia="Arial" w:hAnsi="Verdana" w:cs="Arial"/>
          <w:b/>
          <w:iCs/>
          <w:sz w:val="24"/>
          <w:szCs w:val="24"/>
        </w:rPr>
        <w:t>sistemlerini</w:t>
      </w:r>
      <w:proofErr w:type="spellEnd"/>
      <w:r w:rsidRPr="005968FF">
        <w:rPr>
          <w:rFonts w:ascii="Verdana" w:eastAsia="Arial" w:hAnsi="Verdana" w:cs="Arial"/>
          <w:b/>
          <w:iCs/>
          <w:sz w:val="24"/>
          <w:szCs w:val="24"/>
        </w:rPr>
        <w:t xml:space="preserve">, NVIDIA AI Enterprise ve NVIDIA Omniverse </w:t>
      </w:r>
      <w:proofErr w:type="spellStart"/>
      <w:r w:rsidRPr="005968FF">
        <w:rPr>
          <w:rFonts w:ascii="Verdana" w:eastAsia="Arial" w:hAnsi="Verdana" w:cs="Arial"/>
          <w:b/>
          <w:iCs/>
          <w:sz w:val="24"/>
          <w:szCs w:val="24"/>
        </w:rPr>
        <w:t>Enterprise'ın</w:t>
      </w:r>
      <w:proofErr w:type="spellEnd"/>
      <w:r w:rsidRPr="005968FF">
        <w:rPr>
          <w:rFonts w:ascii="Verdana" w:eastAsia="Arial" w:hAnsi="Verdana" w:cs="Arial"/>
          <w:b/>
          <w:iCs/>
          <w:sz w:val="24"/>
          <w:szCs w:val="24"/>
        </w:rPr>
        <w:t xml:space="preserve"> </w:t>
      </w:r>
      <w:proofErr w:type="spellStart"/>
      <w:r w:rsidRPr="005968FF">
        <w:rPr>
          <w:rFonts w:ascii="Verdana" w:eastAsia="Arial" w:hAnsi="Verdana" w:cs="Arial"/>
          <w:b/>
          <w:iCs/>
          <w:sz w:val="24"/>
          <w:szCs w:val="24"/>
        </w:rPr>
        <w:t>tüm</w:t>
      </w:r>
      <w:proofErr w:type="spellEnd"/>
      <w:r w:rsidRPr="005968FF">
        <w:rPr>
          <w:rFonts w:ascii="Verdana" w:eastAsia="Arial" w:hAnsi="Verdana" w:cs="Arial"/>
          <w:b/>
          <w:iCs/>
          <w:sz w:val="24"/>
          <w:szCs w:val="24"/>
        </w:rPr>
        <w:t xml:space="preserve"> </w:t>
      </w:r>
      <w:proofErr w:type="spellStart"/>
      <w:r w:rsidRPr="005968FF">
        <w:rPr>
          <w:rFonts w:ascii="Verdana" w:eastAsia="Arial" w:hAnsi="Verdana" w:cs="Arial"/>
          <w:b/>
          <w:iCs/>
          <w:sz w:val="24"/>
          <w:szCs w:val="24"/>
        </w:rPr>
        <w:t>yazılım</w:t>
      </w:r>
      <w:proofErr w:type="spellEnd"/>
      <w:r w:rsidRPr="005968FF">
        <w:rPr>
          <w:rFonts w:ascii="Verdana" w:eastAsia="Arial" w:hAnsi="Verdana" w:cs="Arial"/>
          <w:b/>
          <w:iCs/>
          <w:sz w:val="24"/>
          <w:szCs w:val="24"/>
        </w:rPr>
        <w:t xml:space="preserve"> </w:t>
      </w:r>
      <w:proofErr w:type="spellStart"/>
      <w:r w:rsidRPr="005968FF">
        <w:rPr>
          <w:rFonts w:ascii="Verdana" w:eastAsia="Arial" w:hAnsi="Verdana" w:cs="Arial"/>
          <w:b/>
          <w:iCs/>
          <w:sz w:val="24"/>
          <w:szCs w:val="24"/>
        </w:rPr>
        <w:t>paketini</w:t>
      </w:r>
      <w:proofErr w:type="spellEnd"/>
      <w:r w:rsidRPr="005968FF">
        <w:rPr>
          <w:rFonts w:ascii="Verdana" w:eastAsia="Arial" w:hAnsi="Verdana" w:cs="Arial"/>
          <w:b/>
          <w:iCs/>
          <w:sz w:val="24"/>
          <w:szCs w:val="24"/>
        </w:rPr>
        <w:t xml:space="preserve"> </w:t>
      </w:r>
      <w:proofErr w:type="spellStart"/>
      <w:r w:rsidRPr="005968FF">
        <w:rPr>
          <w:rFonts w:ascii="Verdana" w:eastAsia="Arial" w:hAnsi="Verdana" w:cs="Arial"/>
          <w:b/>
          <w:iCs/>
          <w:sz w:val="24"/>
          <w:szCs w:val="24"/>
        </w:rPr>
        <w:t>içeriyor</w:t>
      </w:r>
      <w:proofErr w:type="spellEnd"/>
    </w:p>
    <w:p w14:paraId="0A4AB87E" w14:textId="77777777" w:rsidR="00C76D7A" w:rsidRPr="004B58BF" w:rsidRDefault="00C76D7A" w:rsidP="00C76D7A">
      <w:pPr>
        <w:spacing w:after="0" w:line="240" w:lineRule="auto"/>
        <w:jc w:val="both"/>
        <w:rPr>
          <w:rFonts w:ascii="Arial" w:eastAsia="Arial" w:hAnsi="Arial" w:cs="Arial"/>
          <w:b/>
          <w:i/>
          <w:sz w:val="24"/>
          <w:szCs w:val="24"/>
          <w:lang w:val="tr-TR"/>
        </w:rPr>
      </w:pPr>
    </w:p>
    <w:p w14:paraId="6F945F29" w14:textId="77777777" w:rsidR="00C76D7A" w:rsidRPr="004B58BF" w:rsidRDefault="00C76D7A" w:rsidP="00C76D7A">
      <w:pPr>
        <w:spacing w:after="0" w:line="240" w:lineRule="auto"/>
        <w:jc w:val="both"/>
        <w:rPr>
          <w:rFonts w:ascii="Arial" w:eastAsia="Arial" w:hAnsi="Arial" w:cs="Arial"/>
          <w:lang w:val="tr-TR"/>
        </w:rPr>
      </w:pPr>
      <w:r w:rsidRPr="004B58BF">
        <w:rPr>
          <w:rFonts w:ascii="Arial" w:eastAsia="Arial" w:hAnsi="Arial" w:cs="Arial"/>
          <w:lang w:val="tr-TR"/>
        </w:rPr>
        <w:t xml:space="preserve">Bir TD SYNNEX (NYSE: SNX) şirketi olan </w:t>
      </w: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Data, bugün, hızlandırılmış bilgi işlemde dünya lideri NVIDIA ile bir Avrupa dağıtım anlaşması yaptığını duyurdu. Bu gelişme, </w:t>
      </w: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w:t>
      </w:r>
      <w:proofErr w:type="spellStart"/>
      <w:r w:rsidRPr="004B58BF">
        <w:rPr>
          <w:rFonts w:ascii="Arial" w:eastAsia="Arial" w:hAnsi="Arial" w:cs="Arial"/>
          <w:lang w:val="tr-TR"/>
        </w:rPr>
        <w:t>Data'nın</w:t>
      </w:r>
      <w:proofErr w:type="spellEnd"/>
      <w:r w:rsidRPr="004B58BF">
        <w:rPr>
          <w:rFonts w:ascii="Arial" w:eastAsia="Arial" w:hAnsi="Arial" w:cs="Arial"/>
          <w:lang w:val="tr-TR"/>
        </w:rPr>
        <w:t xml:space="preserve"> bölge genelinde NVIDIA Ağ Çözümleri sunduğu mevcut anlaşmayı genişletmesi anlamına geliyor. Ayrıca artık NVIDIA donanımını, NVIDIA AI Enterprise (Kurumsal Yapay </w:t>
      </w:r>
      <w:proofErr w:type="gramStart"/>
      <w:r w:rsidRPr="004B58BF">
        <w:rPr>
          <w:rFonts w:ascii="Arial" w:eastAsia="Arial" w:hAnsi="Arial" w:cs="Arial"/>
          <w:lang w:val="tr-TR"/>
        </w:rPr>
        <w:t>Zeka</w:t>
      </w:r>
      <w:proofErr w:type="gramEnd"/>
      <w:r w:rsidRPr="004B58BF">
        <w:rPr>
          <w:rFonts w:ascii="Arial" w:eastAsia="Arial" w:hAnsi="Arial" w:cs="Arial"/>
          <w:lang w:val="tr-TR"/>
        </w:rPr>
        <w:t xml:space="preserve">) yazılım paketini ve NVIDIA DGX™ sistemlerini ve NVIDIA </w:t>
      </w:r>
      <w:proofErr w:type="spellStart"/>
      <w:r w:rsidRPr="004B58BF">
        <w:rPr>
          <w:rFonts w:ascii="Arial" w:eastAsia="Arial" w:hAnsi="Arial" w:cs="Arial"/>
          <w:lang w:val="tr-TR"/>
        </w:rPr>
        <w:t>Omniverse</w:t>
      </w:r>
      <w:proofErr w:type="spellEnd"/>
      <w:r w:rsidRPr="004B58BF">
        <w:rPr>
          <w:rFonts w:ascii="Arial" w:eastAsia="Arial" w:hAnsi="Arial" w:cs="Arial"/>
          <w:lang w:val="tr-TR"/>
        </w:rPr>
        <w:t>™ Enterprise platformunu da içeriyor.</w:t>
      </w:r>
    </w:p>
    <w:p w14:paraId="2A139A3D" w14:textId="77777777" w:rsidR="00C76D7A" w:rsidRPr="004B58BF" w:rsidRDefault="00C76D7A" w:rsidP="00C76D7A">
      <w:pPr>
        <w:spacing w:after="0" w:line="240" w:lineRule="auto"/>
        <w:jc w:val="both"/>
        <w:rPr>
          <w:rFonts w:ascii="Arial" w:eastAsia="Arial" w:hAnsi="Arial" w:cs="Arial"/>
          <w:lang w:val="tr-TR"/>
        </w:rPr>
      </w:pPr>
    </w:p>
    <w:p w14:paraId="4D10D0D4" w14:textId="77777777" w:rsidR="00C76D7A" w:rsidRPr="004B58BF" w:rsidRDefault="00C76D7A" w:rsidP="00C76D7A">
      <w:pPr>
        <w:spacing w:after="0" w:line="240" w:lineRule="auto"/>
        <w:jc w:val="both"/>
        <w:rPr>
          <w:rFonts w:ascii="Arial" w:eastAsia="Arial" w:hAnsi="Arial" w:cs="Arial"/>
          <w:lang w:val="tr-TR"/>
        </w:rPr>
      </w:pPr>
      <w:r w:rsidRPr="004B58BF">
        <w:rPr>
          <w:rFonts w:ascii="Arial" w:eastAsia="Arial" w:hAnsi="Arial" w:cs="Arial"/>
          <w:lang w:val="tr-TR"/>
        </w:rPr>
        <w:t>NVIDIA AI Enterprise, NVIDIA-</w:t>
      </w:r>
      <w:proofErr w:type="spellStart"/>
      <w:r w:rsidRPr="004B58BF">
        <w:rPr>
          <w:rFonts w:ascii="Arial" w:eastAsia="Arial" w:hAnsi="Arial" w:cs="Arial"/>
          <w:lang w:val="tr-TR"/>
        </w:rPr>
        <w:t>Certified</w:t>
      </w:r>
      <w:proofErr w:type="spellEnd"/>
      <w:r w:rsidRPr="004B58BF">
        <w:rPr>
          <w:rFonts w:ascii="Arial" w:eastAsia="Arial" w:hAnsi="Arial" w:cs="Arial"/>
          <w:lang w:val="tr-TR"/>
        </w:rPr>
        <w:t xml:space="preserve"> </w:t>
      </w:r>
      <w:proofErr w:type="spellStart"/>
      <w:r w:rsidRPr="004B58BF">
        <w:rPr>
          <w:rFonts w:ascii="Arial" w:eastAsia="Arial" w:hAnsi="Arial" w:cs="Arial"/>
          <w:lang w:val="tr-TR"/>
        </w:rPr>
        <w:t>Systems</w:t>
      </w:r>
      <w:proofErr w:type="spellEnd"/>
      <w:r w:rsidRPr="004B58BF">
        <w:rPr>
          <w:rFonts w:ascii="Arial" w:eastAsia="Arial" w:hAnsi="Arial" w:cs="Arial"/>
          <w:lang w:val="tr-TR"/>
        </w:rPr>
        <w:t xml:space="preserve">™ ile </w:t>
      </w:r>
      <w:proofErr w:type="spellStart"/>
      <w:r w:rsidRPr="004B58BF">
        <w:rPr>
          <w:rFonts w:ascii="Arial" w:eastAsia="Arial" w:hAnsi="Arial" w:cs="Arial"/>
          <w:lang w:val="tr-TR"/>
        </w:rPr>
        <w:t>VMware</w:t>
      </w:r>
      <w:proofErr w:type="spellEnd"/>
      <w:r w:rsidRPr="004B58BF">
        <w:rPr>
          <w:rFonts w:ascii="Arial" w:eastAsia="Arial" w:hAnsi="Arial" w:cs="Arial"/>
          <w:lang w:val="tr-TR"/>
        </w:rPr>
        <w:t xml:space="preserve"> </w:t>
      </w:r>
      <w:proofErr w:type="spellStart"/>
      <w:r w:rsidRPr="004B58BF">
        <w:rPr>
          <w:rFonts w:ascii="Arial" w:eastAsia="Arial" w:hAnsi="Arial" w:cs="Arial"/>
          <w:lang w:val="tr-TR"/>
        </w:rPr>
        <w:t>vSphere</w:t>
      </w:r>
      <w:proofErr w:type="spellEnd"/>
      <w:r w:rsidRPr="004B58BF">
        <w:rPr>
          <w:rFonts w:ascii="Arial" w:eastAsia="Arial" w:hAnsi="Arial" w:cs="Arial"/>
          <w:lang w:val="tr-TR"/>
        </w:rPr>
        <w:t xml:space="preserve"> üzerinde çalışmak üzere optimize edilen, onaylanan</w:t>
      </w:r>
      <w:r>
        <w:rPr>
          <w:rFonts w:ascii="Arial" w:eastAsia="Arial" w:hAnsi="Arial" w:cs="Arial"/>
          <w:lang w:val="tr-TR"/>
        </w:rPr>
        <w:t xml:space="preserve"> </w:t>
      </w:r>
      <w:r w:rsidRPr="004B58BF">
        <w:rPr>
          <w:rFonts w:ascii="Arial" w:eastAsia="Arial" w:hAnsi="Arial" w:cs="Arial"/>
          <w:lang w:val="tr-TR"/>
        </w:rPr>
        <w:t>ve desteklenen, uçtan uca, bulutta yerel bir AI ve veri analizi yazılımı paketi. 3</w:t>
      </w:r>
      <w:r>
        <w:rPr>
          <w:rFonts w:ascii="Arial" w:eastAsia="Arial" w:hAnsi="Arial" w:cs="Arial"/>
          <w:lang w:val="tr-TR"/>
        </w:rPr>
        <w:t xml:space="preserve">D </w:t>
      </w:r>
      <w:r w:rsidRPr="004B58BF">
        <w:rPr>
          <w:rFonts w:ascii="Arial" w:eastAsia="Arial" w:hAnsi="Arial" w:cs="Arial"/>
          <w:lang w:val="tr-TR"/>
        </w:rPr>
        <w:t xml:space="preserve">tasarım </w:t>
      </w:r>
      <w:proofErr w:type="gramStart"/>
      <w:r w:rsidRPr="004B58BF">
        <w:rPr>
          <w:rFonts w:ascii="Arial" w:eastAsia="Arial" w:hAnsi="Arial" w:cs="Arial"/>
          <w:lang w:val="tr-TR"/>
        </w:rPr>
        <w:t>işbirliğinin</w:t>
      </w:r>
      <w:proofErr w:type="gramEnd"/>
      <w:r w:rsidRPr="004B58BF">
        <w:rPr>
          <w:rFonts w:ascii="Arial" w:eastAsia="Arial" w:hAnsi="Arial" w:cs="Arial"/>
          <w:lang w:val="tr-TR"/>
        </w:rPr>
        <w:t xml:space="preserve"> yanı sıra gerçek zamanlı ve fiziksel olarak doğru simülasyon için oluşturulmuş, genişletilebilir, açık bir platform bir platform olan NVIDIA </w:t>
      </w:r>
      <w:proofErr w:type="spellStart"/>
      <w:r w:rsidRPr="004B58BF">
        <w:rPr>
          <w:rFonts w:ascii="Arial" w:eastAsia="Arial" w:hAnsi="Arial" w:cs="Arial"/>
          <w:lang w:val="tr-TR"/>
        </w:rPr>
        <w:t>Omniverse</w:t>
      </w:r>
      <w:proofErr w:type="spellEnd"/>
      <w:r w:rsidRPr="004B58BF">
        <w:rPr>
          <w:rFonts w:ascii="Arial" w:eastAsia="Arial" w:hAnsi="Arial" w:cs="Arial"/>
          <w:lang w:val="tr-TR"/>
        </w:rPr>
        <w:t xml:space="preserve"> Enterprise, kullanıcıların büyük 3</w:t>
      </w:r>
      <w:r>
        <w:rPr>
          <w:rFonts w:ascii="Arial" w:eastAsia="Arial" w:hAnsi="Arial" w:cs="Arial"/>
          <w:lang w:val="tr-TR"/>
        </w:rPr>
        <w:t>D</w:t>
      </w:r>
      <w:r w:rsidRPr="004B58BF">
        <w:rPr>
          <w:rFonts w:ascii="Arial" w:eastAsia="Arial" w:hAnsi="Arial" w:cs="Arial"/>
          <w:lang w:val="tr-TR"/>
        </w:rPr>
        <w:t xml:space="preserve"> tasarım araçlarını, varlıklarını ve insanları paylaşılan bir sanal alanda birbirine bağlamasını sağlıyor. Anlaşmaya ayrıca NVIDIA DGX sistemleri eklenerek, kurumların yapay </w:t>
      </w:r>
      <w:proofErr w:type="gramStart"/>
      <w:r w:rsidRPr="004B58BF">
        <w:rPr>
          <w:rFonts w:ascii="Arial" w:eastAsia="Arial" w:hAnsi="Arial" w:cs="Arial"/>
          <w:lang w:val="tr-TR"/>
        </w:rPr>
        <w:t>zeka</w:t>
      </w:r>
      <w:proofErr w:type="gramEnd"/>
      <w:r w:rsidRPr="004B58BF">
        <w:rPr>
          <w:rFonts w:ascii="Arial" w:eastAsia="Arial" w:hAnsi="Arial" w:cs="Arial"/>
          <w:lang w:val="tr-TR"/>
        </w:rPr>
        <w:t xml:space="preserve"> geliştirmeyi kurumsal amaca yönelik çözümlerle ölçeklendirmesine olanak tanıyor.</w:t>
      </w:r>
    </w:p>
    <w:p w14:paraId="19283779" w14:textId="77777777" w:rsidR="00C76D7A" w:rsidRPr="004B58BF" w:rsidRDefault="00C76D7A" w:rsidP="00C76D7A">
      <w:pPr>
        <w:spacing w:line="240" w:lineRule="auto"/>
        <w:jc w:val="both"/>
        <w:rPr>
          <w:rFonts w:ascii="Arial" w:eastAsia="Arial" w:hAnsi="Arial" w:cs="Arial"/>
          <w:lang w:val="tr-TR"/>
        </w:rPr>
      </w:pPr>
    </w:p>
    <w:p w14:paraId="36E4EA5C" w14:textId="77777777" w:rsidR="00C76D7A" w:rsidRPr="004B58BF" w:rsidRDefault="00C76D7A" w:rsidP="00C76D7A">
      <w:pPr>
        <w:spacing w:line="240" w:lineRule="auto"/>
        <w:jc w:val="both"/>
        <w:rPr>
          <w:rFonts w:ascii="Arial" w:eastAsia="Arial" w:hAnsi="Arial" w:cs="Arial"/>
          <w:lang w:val="tr-TR"/>
        </w:rPr>
      </w:pP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Data, NVIDIA hizmetlerini kapsamlı bir profesyonel ve yönetilen hizmet yelpazesiyle güçlendirecek ve çeşitli dikey kullanım durumları için temelde NVIDIA ürünleriyle özelleştirilmiş çözümler geliştirmek için kendi Çözüm Fabrikası metodolojisinden yararlanacak. Ayrıca </w:t>
      </w: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Data, </w:t>
      </w:r>
      <w:proofErr w:type="spellStart"/>
      <w:r w:rsidRPr="004B58BF">
        <w:rPr>
          <w:rFonts w:ascii="Arial" w:eastAsia="Arial" w:hAnsi="Arial" w:cs="Arial"/>
          <w:lang w:val="tr-TR"/>
        </w:rPr>
        <w:t>Practice</w:t>
      </w:r>
      <w:proofErr w:type="spellEnd"/>
      <w:r w:rsidRPr="004B58BF">
        <w:rPr>
          <w:rFonts w:ascii="Arial" w:eastAsia="Arial" w:hAnsi="Arial" w:cs="Arial"/>
          <w:lang w:val="tr-TR"/>
        </w:rPr>
        <w:t xml:space="preserve"> Builder (Uygulama Oluşturucu) programları aracılığıyla ortaklarına uzmanlıklarını ve iş hazırlıklarını hızlandırma fırsatı sunacak. </w:t>
      </w:r>
      <w:proofErr w:type="spellStart"/>
      <w:r w:rsidRPr="004B58BF">
        <w:rPr>
          <w:rFonts w:ascii="Arial" w:eastAsia="Arial" w:hAnsi="Arial" w:cs="Arial"/>
          <w:lang w:val="tr-TR"/>
        </w:rPr>
        <w:t>Practice</w:t>
      </w:r>
      <w:proofErr w:type="spellEnd"/>
      <w:r w:rsidRPr="004B58BF">
        <w:rPr>
          <w:rFonts w:ascii="Arial" w:eastAsia="Arial" w:hAnsi="Arial" w:cs="Arial"/>
          <w:lang w:val="tr-TR"/>
        </w:rPr>
        <w:t xml:space="preserve"> Builder, iş olgunluk değerlendirmesi, eğitim ve çözüm geliştirme dahil olmak üzere, iş ortaklarının kendi yeni nesil çözüm uygulamalarını geliştirmelerini sağlamak için yapılandırılmış bir yol oluşturuyor ve bilgi ve beceri geliştirme kaynaklarına erişim sunuyor. Bu programlar çevrimiçi etkinleştirme yolları olarak sunuluyor ve çözüm uygulama danışmanları tarafından desteklenen sanal strateji geliştirme atölyeleri gibi çeşitli unsurları içeriyor.</w:t>
      </w:r>
    </w:p>
    <w:p w14:paraId="06FF9741" w14:textId="77777777" w:rsidR="00C76D7A" w:rsidRPr="004B58BF" w:rsidRDefault="00C76D7A" w:rsidP="00C76D7A">
      <w:pPr>
        <w:spacing w:after="0" w:line="240" w:lineRule="auto"/>
        <w:jc w:val="both"/>
        <w:rPr>
          <w:rFonts w:ascii="Arial" w:eastAsia="Arial" w:hAnsi="Arial" w:cs="Arial"/>
          <w:lang w:val="tr-TR"/>
        </w:rPr>
      </w:pP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Data Avrupa Gelişmiş ve Özel Çözümler kıdemli başkan yardımcısı Miriam Murphy şunları söyledi: “NVIDIA anlaşmamızı tüm çözümleri kapsayacak şekilde genişletmek ve </w:t>
      </w:r>
      <w:proofErr w:type="spellStart"/>
      <w:r w:rsidRPr="004B58BF">
        <w:rPr>
          <w:rFonts w:ascii="Arial" w:eastAsia="Arial" w:hAnsi="Arial" w:cs="Arial"/>
          <w:lang w:val="tr-TR"/>
        </w:rPr>
        <w:t>NVIDIA'nın</w:t>
      </w:r>
      <w:proofErr w:type="spellEnd"/>
      <w:r w:rsidRPr="004B58BF">
        <w:rPr>
          <w:rFonts w:ascii="Arial" w:eastAsia="Arial" w:hAnsi="Arial" w:cs="Arial"/>
          <w:lang w:val="tr-TR"/>
        </w:rPr>
        <w:t xml:space="preserve"> en son Yapay </w:t>
      </w:r>
      <w:proofErr w:type="gramStart"/>
      <w:r w:rsidRPr="004B58BF">
        <w:rPr>
          <w:rFonts w:ascii="Arial" w:eastAsia="Arial" w:hAnsi="Arial" w:cs="Arial"/>
          <w:lang w:val="tr-TR"/>
        </w:rPr>
        <w:t>Zeka</w:t>
      </w:r>
      <w:proofErr w:type="gramEnd"/>
      <w:r w:rsidRPr="004B58BF">
        <w:rPr>
          <w:rFonts w:ascii="Arial" w:eastAsia="Arial" w:hAnsi="Arial" w:cs="Arial"/>
          <w:lang w:val="tr-TR"/>
        </w:rPr>
        <w:t xml:space="preserve"> ve </w:t>
      </w:r>
      <w:proofErr w:type="spellStart"/>
      <w:r w:rsidRPr="004B58BF">
        <w:rPr>
          <w:rFonts w:ascii="Arial" w:eastAsia="Arial" w:hAnsi="Arial" w:cs="Arial"/>
          <w:lang w:val="tr-TR"/>
        </w:rPr>
        <w:t>Omniverse</w:t>
      </w:r>
      <w:proofErr w:type="spellEnd"/>
      <w:r w:rsidRPr="004B58BF">
        <w:rPr>
          <w:rFonts w:ascii="Arial" w:eastAsia="Arial" w:hAnsi="Arial" w:cs="Arial"/>
          <w:lang w:val="tr-TR"/>
        </w:rPr>
        <w:t xml:space="preserve"> simülasyon teknolojisini ekosistem ortaklarımız için geliştirdiğimiz çözümlerle bir araya getirebilecek olmak son derece heyecan verici. Yapay </w:t>
      </w:r>
      <w:proofErr w:type="gramStart"/>
      <w:r w:rsidRPr="004B58BF">
        <w:rPr>
          <w:rFonts w:ascii="Arial" w:eastAsia="Arial" w:hAnsi="Arial" w:cs="Arial"/>
          <w:lang w:val="tr-TR"/>
        </w:rPr>
        <w:t>Zeka</w:t>
      </w:r>
      <w:proofErr w:type="gramEnd"/>
      <w:r w:rsidRPr="004B58BF">
        <w:rPr>
          <w:rFonts w:ascii="Arial" w:eastAsia="Arial" w:hAnsi="Arial" w:cs="Arial"/>
          <w:lang w:val="tr-TR"/>
        </w:rPr>
        <w:t xml:space="preserve">, verimliliği artırmak, daha iyi kararlar almak ve dünyayı daha güvenli hale getirmek için verilerden yararlanma yarışında işletmeler, hükümetler ve diğer kamu kurumları için hızla hayati bir bileşen haline </w:t>
      </w:r>
      <w:r w:rsidRPr="004B58BF">
        <w:rPr>
          <w:rFonts w:ascii="Arial" w:eastAsia="Arial" w:hAnsi="Arial" w:cs="Arial"/>
          <w:lang w:val="tr-TR"/>
        </w:rPr>
        <w:lastRenderedPageBreak/>
        <w:t xml:space="preserve">geliyor. Bu arada, dijital ikizleri ve </w:t>
      </w:r>
      <w:proofErr w:type="spellStart"/>
      <w:r w:rsidRPr="004B58BF">
        <w:rPr>
          <w:rFonts w:ascii="Arial" w:eastAsia="Arial" w:hAnsi="Arial" w:cs="Arial"/>
          <w:lang w:val="tr-TR"/>
        </w:rPr>
        <w:t>Omniverse</w:t>
      </w:r>
      <w:proofErr w:type="spellEnd"/>
      <w:r w:rsidRPr="004B58BF">
        <w:rPr>
          <w:rFonts w:ascii="Arial" w:eastAsia="Arial" w:hAnsi="Arial" w:cs="Arial"/>
          <w:lang w:val="tr-TR"/>
        </w:rPr>
        <w:t xml:space="preserve"> Enterprise gibi sanal dünyaları mümkün kılan platformlar, toplumların etkileşim kurma, </w:t>
      </w:r>
      <w:proofErr w:type="gramStart"/>
      <w:r w:rsidRPr="004B58BF">
        <w:rPr>
          <w:rFonts w:ascii="Arial" w:eastAsia="Arial" w:hAnsi="Arial" w:cs="Arial"/>
          <w:lang w:val="tr-TR"/>
        </w:rPr>
        <w:t>işbirliği</w:t>
      </w:r>
      <w:proofErr w:type="gramEnd"/>
      <w:r w:rsidRPr="004B58BF">
        <w:rPr>
          <w:rFonts w:ascii="Arial" w:eastAsia="Arial" w:hAnsi="Arial" w:cs="Arial"/>
          <w:lang w:val="tr-TR"/>
        </w:rPr>
        <w:t xml:space="preserve"> yapma ve yaratma şeklini temelden dönüştürmeye hazırlanıyor. Ortaklarımızın teknoloji için bu büyüme alanına girmeleri için daha doğru bir zaman olamaz.”</w:t>
      </w:r>
    </w:p>
    <w:p w14:paraId="165A4533" w14:textId="77777777" w:rsidR="00C76D7A" w:rsidRPr="004B58BF" w:rsidRDefault="00C76D7A" w:rsidP="00C76D7A">
      <w:pPr>
        <w:spacing w:after="0" w:line="240" w:lineRule="auto"/>
        <w:jc w:val="both"/>
        <w:rPr>
          <w:rFonts w:ascii="Arial" w:eastAsia="Arial" w:hAnsi="Arial" w:cs="Arial"/>
          <w:lang w:val="tr-TR"/>
        </w:rPr>
      </w:pPr>
    </w:p>
    <w:p w14:paraId="201D6BED" w14:textId="77777777" w:rsidR="00C76D7A" w:rsidRPr="004B58BF" w:rsidRDefault="00C76D7A" w:rsidP="00C76D7A">
      <w:pPr>
        <w:spacing w:after="0" w:line="240" w:lineRule="auto"/>
        <w:jc w:val="both"/>
        <w:rPr>
          <w:rFonts w:ascii="Arial" w:eastAsia="Arial" w:hAnsi="Arial" w:cs="Arial"/>
          <w:lang w:val="tr-TR"/>
        </w:rPr>
      </w:pP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Data Avrupa Küresel Bilgi İşlem Bileşenleri başkan yardımcısı Hugo </w:t>
      </w:r>
      <w:proofErr w:type="spellStart"/>
      <w:r w:rsidRPr="004B58BF">
        <w:rPr>
          <w:rFonts w:ascii="Arial" w:eastAsia="Arial" w:hAnsi="Arial" w:cs="Arial"/>
          <w:lang w:val="tr-TR"/>
        </w:rPr>
        <w:t>Graça</w:t>
      </w:r>
      <w:proofErr w:type="spellEnd"/>
      <w:r w:rsidRPr="004B58BF">
        <w:rPr>
          <w:rFonts w:ascii="Arial" w:eastAsia="Arial" w:hAnsi="Arial" w:cs="Arial"/>
          <w:lang w:val="tr-TR"/>
        </w:rPr>
        <w:t xml:space="preserve"> ise görüşlerini şöyle belirtti: “</w:t>
      </w:r>
      <w:proofErr w:type="spellStart"/>
      <w:r w:rsidRPr="004B58BF">
        <w:rPr>
          <w:rFonts w:ascii="Arial" w:eastAsia="Arial" w:hAnsi="Arial" w:cs="Arial"/>
          <w:lang w:val="tr-TR"/>
        </w:rPr>
        <w:t>NVIDIA'nın</w:t>
      </w:r>
      <w:proofErr w:type="spellEnd"/>
      <w:r w:rsidRPr="004B58BF">
        <w:rPr>
          <w:rFonts w:ascii="Arial" w:eastAsia="Arial" w:hAnsi="Arial" w:cs="Arial"/>
          <w:lang w:val="tr-TR"/>
        </w:rPr>
        <w:t xml:space="preserve"> NVIDIA DGX sistemleri gibi öncü ürünleri, masadan veri merkezine ve buluta giden araçlarla desteklenen kurumsal sistemler içeren uçtan uca bir portföy ile çığır açıyor, Yapay </w:t>
      </w:r>
      <w:proofErr w:type="gramStart"/>
      <w:r w:rsidRPr="004B58BF">
        <w:rPr>
          <w:rFonts w:ascii="Arial" w:eastAsia="Arial" w:hAnsi="Arial" w:cs="Arial"/>
          <w:lang w:val="tr-TR"/>
        </w:rPr>
        <w:t>Zeka</w:t>
      </w:r>
      <w:proofErr w:type="gramEnd"/>
      <w:r w:rsidRPr="004B58BF">
        <w:rPr>
          <w:rFonts w:ascii="Arial" w:eastAsia="Arial" w:hAnsi="Arial" w:cs="Arial"/>
          <w:lang w:val="tr-TR"/>
        </w:rPr>
        <w:t xml:space="preserve"> ile süper bilgi işlem performansı ve daha hızlı </w:t>
      </w:r>
      <w:proofErr w:type="spellStart"/>
      <w:r w:rsidRPr="004B58BF">
        <w:rPr>
          <w:rFonts w:ascii="Arial" w:eastAsia="Arial" w:hAnsi="Arial" w:cs="Arial"/>
          <w:lang w:val="tr-TR"/>
        </w:rPr>
        <w:t>içgörüler</w:t>
      </w:r>
      <w:proofErr w:type="spellEnd"/>
      <w:r w:rsidRPr="004B58BF">
        <w:rPr>
          <w:rFonts w:ascii="Arial" w:eastAsia="Arial" w:hAnsi="Arial" w:cs="Arial"/>
          <w:lang w:val="tr-TR"/>
        </w:rPr>
        <w:t xml:space="preserve"> sunuyor. Böylece derin öğrenme ve analitik talebini karşılıyor. </w:t>
      </w: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w:t>
      </w:r>
      <w:proofErr w:type="spellStart"/>
      <w:r w:rsidRPr="004B58BF">
        <w:rPr>
          <w:rFonts w:ascii="Arial" w:eastAsia="Arial" w:hAnsi="Arial" w:cs="Arial"/>
          <w:lang w:val="tr-TR"/>
        </w:rPr>
        <w:t>Data'nın</w:t>
      </w:r>
      <w:proofErr w:type="spellEnd"/>
      <w:r w:rsidRPr="004B58BF">
        <w:rPr>
          <w:rFonts w:ascii="Arial" w:eastAsia="Arial" w:hAnsi="Arial" w:cs="Arial"/>
          <w:lang w:val="tr-TR"/>
        </w:rPr>
        <w:t xml:space="preserve"> kapsamlı tamamlayıcı hazır bileşenler portföyü, satış öncesi mühendislik ekipleri, çözüm fabrikası ve entegrasyon hizmetleri ile </w:t>
      </w:r>
      <w:proofErr w:type="spellStart"/>
      <w:r w:rsidRPr="004B58BF">
        <w:rPr>
          <w:rFonts w:ascii="Arial" w:eastAsia="Arial" w:hAnsi="Arial" w:cs="Arial"/>
          <w:lang w:val="tr-TR"/>
        </w:rPr>
        <w:t>NVIDIA'nın</w:t>
      </w:r>
      <w:proofErr w:type="spellEnd"/>
      <w:r w:rsidRPr="004B58BF">
        <w:rPr>
          <w:rFonts w:ascii="Arial" w:eastAsia="Arial" w:hAnsi="Arial" w:cs="Arial"/>
          <w:lang w:val="tr-TR"/>
        </w:rPr>
        <w:t xml:space="preserve"> erişimini kanal ekosistemimiz genelinde genişletmeyi ve ortakların pazara sunma sürelerini iyileştirmelerine yardımcı olmayı dört gözle bekliyoruz."</w:t>
      </w:r>
    </w:p>
    <w:p w14:paraId="23C237FE" w14:textId="77777777" w:rsidR="00C76D7A" w:rsidRPr="004B58BF" w:rsidRDefault="00C76D7A" w:rsidP="00C76D7A">
      <w:pPr>
        <w:spacing w:after="0" w:line="240" w:lineRule="auto"/>
        <w:jc w:val="both"/>
        <w:rPr>
          <w:rFonts w:ascii="Arial" w:eastAsia="Arial" w:hAnsi="Arial" w:cs="Arial"/>
          <w:lang w:val="tr-TR"/>
        </w:rPr>
      </w:pPr>
    </w:p>
    <w:p w14:paraId="6CEADD64" w14:textId="77777777" w:rsidR="00C76D7A" w:rsidRPr="004B58BF" w:rsidRDefault="00C76D7A" w:rsidP="00C76D7A">
      <w:pPr>
        <w:spacing w:after="0" w:line="240" w:lineRule="auto"/>
        <w:jc w:val="both"/>
        <w:rPr>
          <w:rFonts w:ascii="Arial" w:eastAsia="Arial" w:hAnsi="Arial" w:cs="Arial"/>
          <w:lang w:val="tr-TR"/>
        </w:rPr>
      </w:pPr>
      <w:r w:rsidRPr="004B58BF">
        <w:rPr>
          <w:rFonts w:ascii="Arial" w:eastAsia="Arial" w:hAnsi="Arial" w:cs="Arial"/>
          <w:lang w:val="tr-TR"/>
        </w:rPr>
        <w:t xml:space="preserve">NVIDIA Channel Business EMEA başkan yardımcısı </w:t>
      </w:r>
      <w:proofErr w:type="spellStart"/>
      <w:r w:rsidRPr="004B58BF">
        <w:rPr>
          <w:rFonts w:ascii="Arial" w:eastAsia="Arial" w:hAnsi="Arial" w:cs="Arial"/>
          <w:lang w:val="tr-TR"/>
        </w:rPr>
        <w:t>Alfred</w:t>
      </w:r>
      <w:proofErr w:type="spellEnd"/>
      <w:r w:rsidRPr="004B58BF">
        <w:rPr>
          <w:rFonts w:ascii="Arial" w:eastAsia="Arial" w:hAnsi="Arial" w:cs="Arial"/>
          <w:lang w:val="tr-TR"/>
        </w:rPr>
        <w:t xml:space="preserve"> </w:t>
      </w:r>
      <w:proofErr w:type="spellStart"/>
      <w:r w:rsidRPr="004B58BF">
        <w:rPr>
          <w:rFonts w:ascii="Arial" w:eastAsia="Arial" w:hAnsi="Arial" w:cs="Arial"/>
          <w:lang w:val="tr-TR"/>
        </w:rPr>
        <w:t>Manhart</w:t>
      </w:r>
      <w:proofErr w:type="spellEnd"/>
      <w:r w:rsidRPr="004B58BF">
        <w:rPr>
          <w:rFonts w:ascii="Arial" w:eastAsia="Arial" w:hAnsi="Arial" w:cs="Arial"/>
          <w:lang w:val="tr-TR"/>
        </w:rPr>
        <w:t>, “</w:t>
      </w: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Data, NVIDIA ürün yelpazesinin EMEA bölgesi genelinde kapsamlı dağıtımını etkin bir şekilde destekleyecektir” dedi ve şöyle ekledi: "Güçlü satış öncesi becerilere, teknik desteğe ve kavram kanıtlama olanaklarına sahip olan </w:t>
      </w: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Data, kapsamlı ekosistem ortağı ağıyla NVIDIA AI Enterprise ve </w:t>
      </w:r>
      <w:proofErr w:type="spellStart"/>
      <w:r w:rsidRPr="004B58BF">
        <w:rPr>
          <w:rFonts w:ascii="Arial" w:eastAsia="Arial" w:hAnsi="Arial" w:cs="Arial"/>
          <w:lang w:val="tr-TR"/>
        </w:rPr>
        <w:t>Omniverse</w:t>
      </w:r>
      <w:proofErr w:type="spellEnd"/>
      <w:r w:rsidRPr="004B58BF">
        <w:rPr>
          <w:rFonts w:ascii="Arial" w:eastAsia="Arial" w:hAnsi="Arial" w:cs="Arial"/>
          <w:lang w:val="tr-TR"/>
        </w:rPr>
        <w:t xml:space="preserve"> Enterprise çözümlerini yürütmek için ideal bir konumdadır."</w:t>
      </w:r>
    </w:p>
    <w:p w14:paraId="093C4888" w14:textId="77777777" w:rsidR="00C76D7A" w:rsidRPr="004B58BF" w:rsidRDefault="00C76D7A" w:rsidP="00C76D7A">
      <w:pPr>
        <w:spacing w:after="0" w:line="240" w:lineRule="auto"/>
        <w:jc w:val="both"/>
        <w:rPr>
          <w:rFonts w:ascii="Arial" w:eastAsia="Arial" w:hAnsi="Arial" w:cs="Arial"/>
          <w:lang w:val="tr-TR"/>
        </w:rPr>
      </w:pPr>
    </w:p>
    <w:p w14:paraId="68B73EFA" w14:textId="77777777" w:rsidR="00C76D7A" w:rsidRPr="004B58BF" w:rsidRDefault="00C76D7A" w:rsidP="00C76D7A">
      <w:pPr>
        <w:spacing w:after="0" w:line="240" w:lineRule="auto"/>
        <w:jc w:val="both"/>
        <w:rPr>
          <w:rFonts w:ascii="Arial" w:eastAsia="Arial" w:hAnsi="Arial" w:cs="Arial"/>
          <w:lang w:val="tr-TR"/>
        </w:rPr>
      </w:pPr>
      <w:r w:rsidRPr="004B58BF">
        <w:rPr>
          <w:rFonts w:ascii="Arial" w:eastAsia="Arial" w:hAnsi="Arial" w:cs="Arial"/>
          <w:lang w:val="tr-TR"/>
        </w:rPr>
        <w:t xml:space="preserve">NVIDIA ürünleri ve hizmetleri artık Birleşik Krallık, İrlanda, Fransa, Hollanda, Belçika, Almanya, Avusturya, İsviçre, İtalya, İspanya, Portekiz, Polonya, </w:t>
      </w:r>
      <w:proofErr w:type="spellStart"/>
      <w:r w:rsidRPr="004B58BF">
        <w:rPr>
          <w:rFonts w:ascii="Arial" w:eastAsia="Arial" w:hAnsi="Arial" w:cs="Arial"/>
          <w:lang w:val="tr-TR"/>
        </w:rPr>
        <w:t>Çekya</w:t>
      </w:r>
      <w:proofErr w:type="spellEnd"/>
      <w:r w:rsidRPr="004B58BF">
        <w:rPr>
          <w:rFonts w:ascii="Arial" w:eastAsia="Arial" w:hAnsi="Arial" w:cs="Arial"/>
          <w:lang w:val="tr-TR"/>
        </w:rPr>
        <w:t xml:space="preserve">, İsveç, Danimarka, Finlandiya, Norveç, Baltıklar ve </w:t>
      </w:r>
      <w:proofErr w:type="spellStart"/>
      <w:r w:rsidRPr="004B58BF">
        <w:rPr>
          <w:rFonts w:ascii="Arial" w:eastAsia="Arial" w:hAnsi="Arial" w:cs="Arial"/>
          <w:lang w:val="tr-TR"/>
        </w:rPr>
        <w:t>GüneydoğuAvrupa'daki</w:t>
      </w:r>
      <w:proofErr w:type="spellEnd"/>
      <w:r w:rsidRPr="004B58BF">
        <w:rPr>
          <w:rFonts w:ascii="Arial" w:eastAsia="Arial" w:hAnsi="Arial" w:cs="Arial"/>
          <w:lang w:val="tr-TR"/>
        </w:rPr>
        <w:t xml:space="preserve"> </w:t>
      </w:r>
      <w:proofErr w:type="spellStart"/>
      <w:r w:rsidRPr="004B58BF">
        <w:rPr>
          <w:rFonts w:ascii="Arial" w:eastAsia="Arial" w:hAnsi="Arial" w:cs="Arial"/>
          <w:lang w:val="tr-TR"/>
        </w:rPr>
        <w:t>Tech</w:t>
      </w:r>
      <w:proofErr w:type="spellEnd"/>
      <w:r w:rsidRPr="004B58BF">
        <w:rPr>
          <w:rFonts w:ascii="Arial" w:eastAsia="Arial" w:hAnsi="Arial" w:cs="Arial"/>
          <w:lang w:val="tr-TR"/>
        </w:rPr>
        <w:t xml:space="preserve"> Data ortakları tarafından kullanılabiliyor.</w:t>
      </w:r>
    </w:p>
    <w:p w14:paraId="58F7F827" w14:textId="77777777" w:rsidR="00C76D7A" w:rsidRDefault="00C76D7A" w:rsidP="00C76D7A">
      <w:pPr>
        <w:spacing w:after="0" w:line="240" w:lineRule="auto"/>
        <w:rPr>
          <w:rFonts w:ascii="Arial" w:eastAsia="Arial" w:hAnsi="Arial" w:cs="Arial"/>
        </w:rPr>
      </w:pPr>
    </w:p>
    <w:p w14:paraId="3BF7C942" w14:textId="77777777" w:rsidR="00C76D7A" w:rsidRPr="00CA3001" w:rsidRDefault="00C76D7A" w:rsidP="00C76D7A">
      <w:pPr>
        <w:spacing w:after="0" w:line="240" w:lineRule="auto"/>
        <w:jc w:val="both"/>
        <w:rPr>
          <w:rFonts w:ascii="Verdana" w:eastAsia="Arial" w:hAnsi="Verdana" w:cs="Arial"/>
          <w:b/>
          <w:sz w:val="20"/>
          <w:szCs w:val="20"/>
        </w:rPr>
      </w:pPr>
      <w:r w:rsidRPr="00CA3001">
        <w:rPr>
          <w:rFonts w:ascii="Verdana" w:eastAsia="Arial" w:hAnsi="Verdana" w:cs="Arial"/>
          <w:b/>
          <w:sz w:val="20"/>
          <w:szCs w:val="20"/>
        </w:rPr>
        <w:t xml:space="preserve">Tech Data </w:t>
      </w:r>
      <w:proofErr w:type="spellStart"/>
      <w:r w:rsidRPr="00CA3001">
        <w:rPr>
          <w:rFonts w:ascii="Verdana" w:eastAsia="Arial" w:hAnsi="Verdana" w:cs="Arial"/>
          <w:b/>
          <w:sz w:val="20"/>
          <w:szCs w:val="20"/>
        </w:rPr>
        <w:t>hakkında</w:t>
      </w:r>
      <w:proofErr w:type="spellEnd"/>
    </w:p>
    <w:p w14:paraId="2BF0C1B1" w14:textId="77777777" w:rsidR="00C76D7A" w:rsidRPr="00CA3001" w:rsidRDefault="00C76D7A" w:rsidP="00C76D7A">
      <w:pPr>
        <w:spacing w:after="0" w:line="240" w:lineRule="auto"/>
        <w:jc w:val="both"/>
        <w:rPr>
          <w:rFonts w:ascii="Verdana" w:eastAsia="Times New Roman" w:hAnsi="Verdana" w:cs="Times New Roman"/>
          <w:bCs/>
          <w:sz w:val="16"/>
          <w:szCs w:val="16"/>
        </w:rPr>
      </w:pPr>
      <w:r w:rsidRPr="00CA3001">
        <w:rPr>
          <w:rFonts w:ascii="Verdana" w:eastAsia="Arial" w:hAnsi="Verdana" w:cs="Arial"/>
          <w:bCs/>
          <w:sz w:val="16"/>
          <w:szCs w:val="16"/>
        </w:rPr>
        <w:t xml:space="preserve">Bir TD SYNNEX (NYSE: SNX) </w:t>
      </w:r>
      <w:proofErr w:type="spellStart"/>
      <w:r w:rsidRPr="00CA3001">
        <w:rPr>
          <w:rFonts w:ascii="Verdana" w:eastAsia="Arial" w:hAnsi="Verdana" w:cs="Arial"/>
          <w:bCs/>
          <w:sz w:val="16"/>
          <w:szCs w:val="16"/>
        </w:rPr>
        <w:t>şirketi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olan</w:t>
      </w:r>
      <w:proofErr w:type="spellEnd"/>
      <w:r w:rsidRPr="00CA3001">
        <w:rPr>
          <w:rFonts w:ascii="Verdana" w:eastAsia="Arial" w:hAnsi="Verdana" w:cs="Arial"/>
          <w:bCs/>
          <w:sz w:val="16"/>
          <w:szCs w:val="16"/>
        </w:rPr>
        <w:t xml:space="preserve"> Tech Data, BT </w:t>
      </w:r>
      <w:proofErr w:type="spellStart"/>
      <w:r w:rsidRPr="00CA3001">
        <w:rPr>
          <w:rFonts w:ascii="Verdana" w:eastAsia="Arial" w:hAnsi="Verdana" w:cs="Arial"/>
          <w:bCs/>
          <w:sz w:val="16"/>
          <w:szCs w:val="16"/>
        </w:rPr>
        <w:t>ekosistemi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için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lider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bir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küresel</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distribütör</w:t>
      </w:r>
      <w:proofErr w:type="spellEnd"/>
      <w:r w:rsidRPr="00CA3001">
        <w:rPr>
          <w:rFonts w:ascii="Verdana" w:eastAsia="Arial" w:hAnsi="Verdana" w:cs="Arial"/>
          <w:bCs/>
          <w:sz w:val="16"/>
          <w:szCs w:val="16"/>
        </w:rPr>
        <w:t xml:space="preserve"> ve </w:t>
      </w:r>
      <w:proofErr w:type="spellStart"/>
      <w:r w:rsidRPr="00CA3001">
        <w:rPr>
          <w:rFonts w:ascii="Verdana" w:eastAsia="Arial" w:hAnsi="Verdana" w:cs="Arial"/>
          <w:bCs/>
          <w:sz w:val="16"/>
          <w:szCs w:val="16"/>
        </w:rPr>
        <w:t>çözüm</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toplayıcıdır</w:t>
      </w:r>
      <w:proofErr w:type="spellEnd"/>
      <w:r w:rsidRPr="00CA3001">
        <w:rPr>
          <w:rFonts w:ascii="Verdana" w:eastAsia="Arial" w:hAnsi="Verdana" w:cs="Arial"/>
          <w:bCs/>
          <w:sz w:val="16"/>
          <w:szCs w:val="16"/>
        </w:rPr>
        <w:t xml:space="preserve">. 100'den </w:t>
      </w:r>
      <w:proofErr w:type="spellStart"/>
      <w:r w:rsidRPr="00CA3001">
        <w:rPr>
          <w:rFonts w:ascii="Verdana" w:eastAsia="Arial" w:hAnsi="Verdana" w:cs="Arial"/>
          <w:bCs/>
          <w:sz w:val="16"/>
          <w:szCs w:val="16"/>
        </w:rPr>
        <w:t>fazla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ülkede</w:t>
      </w:r>
      <w:proofErr w:type="spellEnd"/>
      <w:r w:rsidRPr="00CA3001">
        <w:rPr>
          <w:rFonts w:ascii="Verdana" w:eastAsia="Arial" w:hAnsi="Verdana" w:cs="Arial"/>
          <w:bCs/>
          <w:sz w:val="16"/>
          <w:szCs w:val="16"/>
        </w:rPr>
        <w:t xml:space="preserve"> 150.000'den </w:t>
      </w:r>
      <w:proofErr w:type="spellStart"/>
      <w:r w:rsidRPr="00CA3001">
        <w:rPr>
          <w:rFonts w:ascii="Verdana" w:eastAsia="Arial" w:hAnsi="Verdana" w:cs="Arial"/>
          <w:bCs/>
          <w:sz w:val="16"/>
          <w:szCs w:val="16"/>
        </w:rPr>
        <w:t>fazla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müşteriye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teknoloji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yatırımlarının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değerini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en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üst</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düzeye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çıkarmak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iş</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sonuçlarını</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göstermek</w:t>
      </w:r>
      <w:proofErr w:type="spellEnd"/>
      <w:r w:rsidRPr="00CA3001">
        <w:rPr>
          <w:rFonts w:ascii="Verdana" w:eastAsia="Arial" w:hAnsi="Verdana" w:cs="Arial"/>
          <w:bCs/>
          <w:sz w:val="16"/>
          <w:szCs w:val="16"/>
        </w:rPr>
        <w:t xml:space="preserve"> ve </w:t>
      </w:r>
      <w:proofErr w:type="spellStart"/>
      <w:r w:rsidRPr="00CA3001">
        <w:rPr>
          <w:rFonts w:ascii="Verdana" w:eastAsia="Arial" w:hAnsi="Verdana" w:cs="Arial"/>
          <w:bCs/>
          <w:sz w:val="16"/>
          <w:szCs w:val="16"/>
        </w:rPr>
        <w:t>büyüme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fırsatlarını</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ortaya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çıkarmak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için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yardımcı</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olan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yenilikçi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bir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ortaktır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Genel</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merkezi</w:t>
      </w:r>
      <w:proofErr w:type="spellEnd"/>
      <w:r w:rsidRPr="00CA3001">
        <w:rPr>
          <w:rFonts w:ascii="Verdana" w:eastAsia="Arial" w:hAnsi="Verdana" w:cs="Arial"/>
          <w:bCs/>
          <w:sz w:val="16"/>
          <w:szCs w:val="16"/>
        </w:rPr>
        <w:t xml:space="preserve"> Clearwater, Florida ve Fremont, </w:t>
      </w:r>
      <w:proofErr w:type="spellStart"/>
      <w:r w:rsidRPr="00CA3001">
        <w:rPr>
          <w:rFonts w:ascii="Verdana" w:eastAsia="Arial" w:hAnsi="Verdana" w:cs="Arial"/>
          <w:bCs/>
          <w:sz w:val="16"/>
          <w:szCs w:val="16"/>
        </w:rPr>
        <w:t>California'da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bulunan</w:t>
      </w:r>
      <w:proofErr w:type="spellEnd"/>
      <w:r w:rsidRPr="00CA3001">
        <w:rPr>
          <w:rFonts w:ascii="Verdana" w:eastAsia="Arial" w:hAnsi="Verdana" w:cs="Arial"/>
          <w:bCs/>
          <w:sz w:val="16"/>
          <w:szCs w:val="16"/>
        </w:rPr>
        <w:t xml:space="preserve"> TD </w:t>
      </w:r>
      <w:proofErr w:type="spellStart"/>
      <w:r w:rsidRPr="00CA3001">
        <w:rPr>
          <w:rFonts w:ascii="Verdana" w:eastAsia="Arial" w:hAnsi="Verdana" w:cs="Arial"/>
          <w:bCs/>
          <w:sz w:val="16"/>
          <w:szCs w:val="16"/>
        </w:rPr>
        <w:t>SYNNEX'in</w:t>
      </w:r>
      <w:proofErr w:type="spellEnd"/>
      <w:r w:rsidRPr="00CA3001">
        <w:rPr>
          <w:rFonts w:ascii="Verdana" w:eastAsia="Arial" w:hAnsi="Verdana" w:cs="Arial"/>
          <w:bCs/>
          <w:sz w:val="16"/>
          <w:szCs w:val="16"/>
        </w:rPr>
        <w:t xml:space="preserve"> 22.000 </w:t>
      </w:r>
      <w:proofErr w:type="spellStart"/>
      <w:r w:rsidRPr="00CA3001">
        <w:rPr>
          <w:rFonts w:ascii="Verdana" w:eastAsia="Arial" w:hAnsi="Verdana" w:cs="Arial"/>
          <w:bCs/>
          <w:sz w:val="16"/>
          <w:szCs w:val="16"/>
        </w:rPr>
        <w:t>iş</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arkadaşı</w:t>
      </w:r>
      <w:proofErr w:type="spellEnd"/>
      <w:r w:rsidRPr="00CA3001">
        <w:rPr>
          <w:rFonts w:ascii="Verdana" w:eastAsia="Arial" w:hAnsi="Verdana" w:cs="Arial"/>
          <w:bCs/>
          <w:sz w:val="16"/>
          <w:szCs w:val="16"/>
        </w:rPr>
        <w:t xml:space="preserve">, 1.500'den </w:t>
      </w:r>
      <w:proofErr w:type="spellStart"/>
      <w:r w:rsidRPr="00CA3001">
        <w:rPr>
          <w:rFonts w:ascii="Verdana" w:eastAsia="Arial" w:hAnsi="Verdana" w:cs="Arial"/>
          <w:bCs/>
          <w:sz w:val="16"/>
          <w:szCs w:val="16"/>
        </w:rPr>
        <w:t>fazla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sınıfının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en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iyisi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teknoloji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satıcısının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ilgi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çekici</w:t>
      </w:r>
      <w:proofErr w:type="spellEnd"/>
      <w:r w:rsidRPr="00CA3001">
        <w:rPr>
          <w:rFonts w:ascii="Verdana" w:eastAsia="Arial" w:hAnsi="Verdana" w:cs="Arial"/>
          <w:bCs/>
          <w:sz w:val="16"/>
          <w:szCs w:val="16"/>
        </w:rPr>
        <w:t xml:space="preserve"> BT </w:t>
      </w:r>
      <w:proofErr w:type="spellStart"/>
      <w:r w:rsidRPr="00CA3001">
        <w:rPr>
          <w:rFonts w:ascii="Verdana" w:eastAsia="Arial" w:hAnsi="Verdana" w:cs="Arial"/>
          <w:bCs/>
          <w:sz w:val="16"/>
          <w:szCs w:val="16"/>
        </w:rPr>
        <w:t>ürünlerini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hizmetlerini</w:t>
      </w:r>
      <w:proofErr w:type="spellEnd"/>
      <w:r w:rsidRPr="00CA3001">
        <w:rPr>
          <w:rFonts w:ascii="Verdana" w:eastAsia="Arial" w:hAnsi="Verdana" w:cs="Arial"/>
          <w:bCs/>
          <w:sz w:val="16"/>
          <w:szCs w:val="16"/>
        </w:rPr>
        <w:t xml:space="preserve"> ve </w:t>
      </w:r>
      <w:proofErr w:type="spellStart"/>
      <w:r w:rsidRPr="00CA3001">
        <w:rPr>
          <w:rFonts w:ascii="Verdana" w:eastAsia="Arial" w:hAnsi="Verdana" w:cs="Arial"/>
          <w:bCs/>
          <w:sz w:val="16"/>
          <w:szCs w:val="16"/>
        </w:rPr>
        <w:t>çözümlerini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birleştirmeye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kendini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adamıştır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Uçtan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buluta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portföyümüz</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bulut</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siber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güvenlik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büyük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veri</w:t>
      </w:r>
      <w:proofErr w:type="spellEnd"/>
      <w:r w:rsidRPr="00CA3001">
        <w:rPr>
          <w:rFonts w:ascii="Verdana" w:eastAsia="Arial" w:hAnsi="Verdana" w:cs="Arial"/>
          <w:bCs/>
          <w:sz w:val="16"/>
          <w:szCs w:val="16"/>
        </w:rPr>
        <w:t>/</w:t>
      </w:r>
      <w:proofErr w:type="spellStart"/>
      <w:r w:rsidRPr="00CA3001">
        <w:rPr>
          <w:rFonts w:ascii="Verdana" w:eastAsia="Arial" w:hAnsi="Verdana" w:cs="Arial"/>
          <w:bCs/>
          <w:sz w:val="16"/>
          <w:szCs w:val="16"/>
        </w:rPr>
        <w:t>analitik</w:t>
      </w:r>
      <w:proofErr w:type="spellEnd"/>
      <w:r w:rsidRPr="00CA3001">
        <w:rPr>
          <w:rFonts w:ascii="Verdana" w:eastAsia="Arial" w:hAnsi="Verdana" w:cs="Arial"/>
          <w:bCs/>
          <w:sz w:val="16"/>
          <w:szCs w:val="16"/>
        </w:rPr>
        <w:t xml:space="preserve">, IoT, </w:t>
      </w:r>
      <w:proofErr w:type="spellStart"/>
      <w:r w:rsidRPr="00CA3001">
        <w:rPr>
          <w:rFonts w:ascii="Verdana" w:eastAsia="Arial" w:hAnsi="Verdana" w:cs="Arial"/>
          <w:bCs/>
          <w:sz w:val="16"/>
          <w:szCs w:val="16"/>
        </w:rPr>
        <w:t>mobilite</w:t>
      </w:r>
      <w:proofErr w:type="spellEnd"/>
      <w:r w:rsidRPr="00CA3001">
        <w:rPr>
          <w:rFonts w:ascii="Verdana" w:eastAsia="Arial" w:hAnsi="Verdana" w:cs="Arial"/>
          <w:bCs/>
          <w:sz w:val="16"/>
          <w:szCs w:val="16"/>
        </w:rPr>
        <w:t xml:space="preserve"> ve </w:t>
      </w:r>
      <w:proofErr w:type="spellStart"/>
      <w:r w:rsidRPr="00CA3001">
        <w:rPr>
          <w:rFonts w:ascii="Verdana" w:eastAsia="Arial" w:hAnsi="Verdana" w:cs="Arial"/>
          <w:bCs/>
          <w:sz w:val="16"/>
          <w:szCs w:val="16"/>
        </w:rPr>
        <w:t>hizmet</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olarak</w:t>
      </w:r>
      <w:proofErr w:type="spellEnd"/>
      <w:r w:rsidRPr="00CA3001">
        <w:rPr>
          <w:rFonts w:ascii="Verdana" w:eastAsia="Arial" w:hAnsi="Verdana" w:cs="Arial"/>
          <w:bCs/>
          <w:sz w:val="16"/>
          <w:szCs w:val="16"/>
        </w:rPr>
        <w:t xml:space="preserve"> her </w:t>
      </w:r>
      <w:proofErr w:type="spellStart"/>
      <w:r w:rsidRPr="00CA3001">
        <w:rPr>
          <w:rFonts w:ascii="Verdana" w:eastAsia="Arial" w:hAnsi="Verdana" w:cs="Arial"/>
          <w:bCs/>
          <w:sz w:val="16"/>
          <w:szCs w:val="16"/>
        </w:rPr>
        <w:t>şey</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dahil</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olmak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üzere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en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yüksek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büyüme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gösteren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teknoloji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segmentlerine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bağlıdır</w:t>
      </w:r>
      <w:proofErr w:type="spellEnd"/>
      <w:r w:rsidRPr="00CA3001">
        <w:rPr>
          <w:rFonts w:ascii="Verdana" w:eastAsia="Arial" w:hAnsi="Verdana" w:cs="Arial"/>
          <w:bCs/>
          <w:sz w:val="16"/>
          <w:szCs w:val="16"/>
        </w:rPr>
        <w:t xml:space="preserve">. TD SYNNEX </w:t>
      </w:r>
      <w:proofErr w:type="spellStart"/>
      <w:r w:rsidRPr="00CA3001">
        <w:rPr>
          <w:rFonts w:ascii="Verdana" w:eastAsia="Arial" w:hAnsi="Verdana" w:cs="Arial"/>
          <w:bCs/>
          <w:sz w:val="16"/>
          <w:szCs w:val="16"/>
        </w:rPr>
        <w:t>kendini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müşterilere</w:t>
      </w:r>
      <w:proofErr w:type="spellEnd"/>
      <w:r w:rsidRPr="00CA3001">
        <w:rPr>
          <w:rFonts w:ascii="Verdana" w:eastAsia="Arial" w:hAnsi="Verdana" w:cs="Arial"/>
          <w:bCs/>
          <w:sz w:val="16"/>
          <w:szCs w:val="16"/>
        </w:rPr>
        <w:t xml:space="preserve"> ve </w:t>
      </w:r>
      <w:proofErr w:type="spellStart"/>
      <w:r w:rsidRPr="00CA3001">
        <w:rPr>
          <w:rFonts w:ascii="Verdana" w:eastAsia="Arial" w:hAnsi="Verdana" w:cs="Arial"/>
          <w:bCs/>
          <w:sz w:val="16"/>
          <w:szCs w:val="16"/>
        </w:rPr>
        <w:t>topluluklara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hizmet</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etmeye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adamıştır</w:t>
      </w:r>
      <w:proofErr w:type="spellEnd"/>
      <w:r w:rsidRPr="00CA3001">
        <w:rPr>
          <w:rFonts w:ascii="Verdana" w:eastAsia="Arial" w:hAnsi="Verdana" w:cs="Arial"/>
          <w:bCs/>
          <w:sz w:val="16"/>
          <w:szCs w:val="16"/>
        </w:rPr>
        <w:t xml:space="preserve"> ve </w:t>
      </w:r>
      <w:proofErr w:type="spellStart"/>
      <w:r w:rsidRPr="00CA3001">
        <w:rPr>
          <w:rFonts w:ascii="Verdana" w:eastAsia="Arial" w:hAnsi="Verdana" w:cs="Arial"/>
          <w:bCs/>
          <w:sz w:val="16"/>
          <w:szCs w:val="16"/>
        </w:rPr>
        <w:t>bilinçli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olarak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saygın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bir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kurumsal</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vatandaş</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olarak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hareket</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ederek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insanlar</w:t>
      </w:r>
      <w:proofErr w:type="spellEnd"/>
      <w:r w:rsidRPr="00CA3001">
        <w:rPr>
          <w:rFonts w:ascii="Verdana" w:eastAsia="Arial" w:hAnsi="Verdana" w:cs="Arial"/>
          <w:bCs/>
          <w:sz w:val="16"/>
          <w:szCs w:val="16"/>
        </w:rPr>
        <w:t xml:space="preserve"> ve </w:t>
      </w:r>
      <w:proofErr w:type="spellStart"/>
      <w:r w:rsidRPr="00CA3001">
        <w:rPr>
          <w:rFonts w:ascii="Verdana" w:eastAsia="Arial" w:hAnsi="Verdana" w:cs="Arial"/>
          <w:bCs/>
          <w:sz w:val="16"/>
          <w:szCs w:val="16"/>
        </w:rPr>
        <w:t>gezegen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üzerinde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olumlu</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bir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etki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yaratabileceğine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inanmaktadır</w:t>
      </w:r>
      <w:proofErr w:type="spellEnd"/>
      <w:r w:rsidRPr="00CA3001">
        <w:rPr>
          <w:rFonts w:ascii="Verdana" w:eastAsia="Arial" w:hAnsi="Verdana" w:cs="Arial"/>
          <w:bCs/>
          <w:sz w:val="16"/>
          <w:szCs w:val="16"/>
        </w:rPr>
        <w:t xml:space="preserve">. BT </w:t>
      </w:r>
      <w:proofErr w:type="spellStart"/>
      <w:r w:rsidRPr="00CA3001">
        <w:rPr>
          <w:rFonts w:ascii="Verdana" w:eastAsia="Arial" w:hAnsi="Verdana" w:cs="Arial"/>
          <w:bCs/>
          <w:sz w:val="16"/>
          <w:szCs w:val="16"/>
        </w:rPr>
        <w:t>ekosisteminde</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yetenek</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için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çeşitli</w:t>
      </w:r>
      <w:proofErr w:type="spellEnd"/>
      <w:r w:rsidRPr="00CA3001">
        <w:rPr>
          <w:rFonts w:ascii="Verdana" w:eastAsia="Arial" w:hAnsi="Verdana" w:cs="Arial"/>
          <w:bCs/>
          <w:sz w:val="16"/>
          <w:szCs w:val="16"/>
        </w:rPr>
        <w:t xml:space="preserve"> ve </w:t>
      </w:r>
      <w:proofErr w:type="spellStart"/>
      <w:r w:rsidRPr="00CA3001">
        <w:rPr>
          <w:rFonts w:ascii="Verdana" w:eastAsia="Arial" w:hAnsi="Verdana" w:cs="Arial"/>
          <w:bCs/>
          <w:sz w:val="16"/>
          <w:szCs w:val="16"/>
        </w:rPr>
        <w:t>kapsayıcı</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bir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işveren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tercihi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olmayı</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amaçlamaktadır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Daha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fazla</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bilgi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için</w:t>
      </w:r>
      <w:proofErr w:type="spellEnd"/>
      <w:r w:rsidRPr="00CA3001">
        <w:rPr>
          <w:rFonts w:ascii="Verdana" w:eastAsia="Arial" w:hAnsi="Verdana" w:cs="Arial"/>
          <w:bCs/>
          <w:sz w:val="16"/>
          <w:szCs w:val="16"/>
        </w:rPr>
        <w:t xml:space="preserve"> www.TDSYNNEX.com </w:t>
      </w:r>
      <w:proofErr w:type="spellStart"/>
      <w:r w:rsidRPr="00CA3001">
        <w:rPr>
          <w:rFonts w:ascii="Verdana" w:eastAsia="Arial" w:hAnsi="Verdana" w:cs="Arial"/>
          <w:bCs/>
          <w:sz w:val="16"/>
          <w:szCs w:val="16"/>
        </w:rPr>
        <w:t>adresi</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ziyaret</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edilebilir</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veya</w:t>
      </w:r>
      <w:proofErr w:type="spellEnd"/>
      <w:r w:rsidRPr="00CA3001">
        <w:rPr>
          <w:rFonts w:ascii="Verdana" w:eastAsia="Arial" w:hAnsi="Verdana" w:cs="Arial"/>
          <w:bCs/>
          <w:sz w:val="16"/>
          <w:szCs w:val="16"/>
        </w:rPr>
        <w:t xml:space="preserve"> Twitter, LinkedIn, Facebook ve </w:t>
      </w:r>
      <w:proofErr w:type="spellStart"/>
      <w:r w:rsidRPr="00CA3001">
        <w:rPr>
          <w:rFonts w:ascii="Verdana" w:eastAsia="Arial" w:hAnsi="Verdana" w:cs="Arial"/>
          <w:bCs/>
          <w:sz w:val="16"/>
          <w:szCs w:val="16"/>
        </w:rPr>
        <w:t>Instagram'dan</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takip</w:t>
      </w:r>
      <w:proofErr w:type="spellEnd"/>
      <w:r w:rsidRPr="00CA3001">
        <w:rPr>
          <w:rFonts w:ascii="Verdana" w:eastAsia="Arial" w:hAnsi="Verdana" w:cs="Arial"/>
          <w:bCs/>
          <w:sz w:val="16"/>
          <w:szCs w:val="16"/>
        </w:rPr>
        <w:t xml:space="preserve"> </w:t>
      </w:r>
      <w:proofErr w:type="spellStart"/>
      <w:r w:rsidRPr="00CA3001">
        <w:rPr>
          <w:rFonts w:ascii="Verdana" w:eastAsia="Arial" w:hAnsi="Verdana" w:cs="Arial"/>
          <w:bCs/>
          <w:sz w:val="16"/>
          <w:szCs w:val="16"/>
        </w:rPr>
        <w:t>edilebilir</w:t>
      </w:r>
      <w:proofErr w:type="spellEnd"/>
      <w:r w:rsidRPr="00CA3001">
        <w:rPr>
          <w:rFonts w:ascii="Verdana" w:eastAsia="Arial" w:hAnsi="Verdana" w:cs="Arial"/>
          <w:bCs/>
          <w:sz w:val="16"/>
          <w:szCs w:val="16"/>
        </w:rPr>
        <w:t>.</w:t>
      </w:r>
    </w:p>
    <w:p w14:paraId="03F8647E" w14:textId="77777777" w:rsidR="0068212F" w:rsidRDefault="0068212F">
      <w:pPr>
        <w:spacing w:after="0" w:line="240" w:lineRule="auto"/>
        <w:rPr>
          <w:rFonts w:ascii="Arial" w:eastAsia="Arial" w:hAnsi="Arial" w:cs="Arial"/>
        </w:rPr>
      </w:pPr>
    </w:p>
    <w:p w14:paraId="422EC66C" w14:textId="77777777" w:rsidR="0068212F" w:rsidRDefault="0068212F">
      <w:pPr>
        <w:spacing w:after="0" w:line="240" w:lineRule="auto"/>
        <w:rPr>
          <w:rFonts w:ascii="Arial" w:eastAsia="Arial" w:hAnsi="Arial" w:cs="Arial"/>
        </w:rPr>
      </w:pPr>
    </w:p>
    <w:p w14:paraId="177EEDC9" w14:textId="77777777" w:rsidR="0068212F" w:rsidRDefault="0068212F">
      <w:pPr>
        <w:spacing w:after="0" w:line="240" w:lineRule="auto"/>
        <w:jc w:val="both"/>
        <w:rPr>
          <w:rFonts w:ascii="Arial" w:eastAsia="Arial" w:hAnsi="Arial" w:cs="Arial"/>
        </w:rPr>
      </w:pPr>
    </w:p>
    <w:p w14:paraId="50FF4759" w14:textId="77777777" w:rsidR="0068212F" w:rsidRDefault="0068212F">
      <w:pPr>
        <w:spacing w:after="0" w:line="240" w:lineRule="auto"/>
        <w:jc w:val="center"/>
        <w:rPr>
          <w:rFonts w:ascii="Times New Roman" w:eastAsia="Times New Roman" w:hAnsi="Times New Roman" w:cs="Times New Roman"/>
          <w:sz w:val="24"/>
          <w:szCs w:val="24"/>
        </w:rPr>
      </w:pPr>
    </w:p>
    <w:p w14:paraId="700BAA68" w14:textId="77777777" w:rsidR="00C76D7A" w:rsidRDefault="00C76D7A">
      <w:pPr>
        <w:spacing w:after="0" w:line="240" w:lineRule="auto"/>
        <w:jc w:val="center"/>
        <w:rPr>
          <w:rFonts w:ascii="Times New Roman" w:eastAsia="Times New Roman" w:hAnsi="Times New Roman" w:cs="Times New Roman"/>
          <w:sz w:val="24"/>
          <w:szCs w:val="24"/>
        </w:rPr>
      </w:pPr>
    </w:p>
    <w:sectPr w:rsidR="00C76D7A">
      <w:headerReference w:type="even" r:id="rId8"/>
      <w:headerReference w:type="default" r:id="rId9"/>
      <w:footerReference w:type="even" r:id="rId10"/>
      <w:footerReference w:type="default" r:id="rId11"/>
      <w:headerReference w:type="first" r:id="rId12"/>
      <w:footerReference w:type="first" r:id="rId13"/>
      <w:pgSz w:w="12240" w:h="15840"/>
      <w:pgMar w:top="99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3A87" w14:textId="77777777" w:rsidR="00575EB6" w:rsidRDefault="00575EB6">
      <w:pPr>
        <w:spacing w:after="0" w:line="240" w:lineRule="auto"/>
      </w:pPr>
      <w:r>
        <w:separator/>
      </w:r>
    </w:p>
  </w:endnote>
  <w:endnote w:type="continuationSeparator" w:id="0">
    <w:p w14:paraId="0A007BC4" w14:textId="77777777" w:rsidR="00575EB6" w:rsidRDefault="0057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84C8" w14:textId="77777777" w:rsidR="0068212F" w:rsidRDefault="0068212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E8F9" w14:textId="77777777" w:rsidR="0068212F" w:rsidRDefault="0068212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A26C" w14:textId="77777777" w:rsidR="0068212F" w:rsidRDefault="0068212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A7B3" w14:textId="77777777" w:rsidR="00575EB6" w:rsidRDefault="00575EB6">
      <w:pPr>
        <w:spacing w:after="0" w:line="240" w:lineRule="auto"/>
      </w:pPr>
      <w:r>
        <w:separator/>
      </w:r>
    </w:p>
  </w:footnote>
  <w:footnote w:type="continuationSeparator" w:id="0">
    <w:p w14:paraId="330BD26E" w14:textId="77777777" w:rsidR="00575EB6" w:rsidRDefault="0057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22EE" w14:textId="0A76D758" w:rsidR="0068212F" w:rsidRDefault="0068212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BA16" w14:textId="0C2FF738" w:rsidR="0068212F" w:rsidRDefault="0068212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8242" w14:textId="0FAD67E1" w:rsidR="0068212F" w:rsidRDefault="0068212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2F"/>
    <w:rsid w:val="00171444"/>
    <w:rsid w:val="00241A73"/>
    <w:rsid w:val="0030208A"/>
    <w:rsid w:val="003342ED"/>
    <w:rsid w:val="00465C64"/>
    <w:rsid w:val="00475CE0"/>
    <w:rsid w:val="00533B4E"/>
    <w:rsid w:val="00575EB6"/>
    <w:rsid w:val="00600383"/>
    <w:rsid w:val="006355A6"/>
    <w:rsid w:val="0068212F"/>
    <w:rsid w:val="0074264B"/>
    <w:rsid w:val="007B11C3"/>
    <w:rsid w:val="008512E4"/>
    <w:rsid w:val="00986FFA"/>
    <w:rsid w:val="00BC1EFD"/>
    <w:rsid w:val="00C76D7A"/>
    <w:rsid w:val="00D869A4"/>
    <w:rsid w:val="00E268B1"/>
    <w:rsid w:val="00EB425E"/>
    <w:rsid w:val="00F6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A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Balk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Balk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Balk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00" w:type="dxa"/>
        <w:left w:w="100" w:type="dxa"/>
        <w:bottom w:w="100" w:type="dxa"/>
        <w:right w:w="100" w:type="dxa"/>
      </w:tblCellMar>
    </w:tblPr>
  </w:style>
  <w:style w:type="table" w:customStyle="1" w:styleId="a0">
    <w:basedOn w:val="NormalTablo"/>
    <w:tblPr>
      <w:tblStyleRowBandSize w:val="1"/>
      <w:tblStyleColBandSize w:val="1"/>
      <w:tblCellMar>
        <w:left w:w="115" w:type="dxa"/>
        <w:right w:w="115"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6355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73A0-1DF8-4BB6-8BE2-A4295B5C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2021-12-24T07:20:00Z</dcterms:created>
  <dcterms:modified xsi:type="dcterms:W3CDTF">2021-12-24T07:20:00Z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2021-12-02T09:28:18Z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299fbb4c-13a8-4130-a7a8-0134cbe2be34</vt:lpwstr>
  </property>
  <property fmtid="{D5CDD505-2E9C-101B-9397-08002B2CF9AE}" pid="8" name="MSIP_Label_3a23c400-78e7-4d42-982d-273adef68ef9_ContentBits">
    <vt:lpwstr>0</vt:lpwstr>
  </property>
</Properties>
</file>