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EB2F" w14:textId="27F85E97" w:rsidR="00972E67" w:rsidRDefault="007731BF">
      <w:pPr>
        <w:rPr>
          <w:rFonts w:ascii="Verdana" w:hAnsi="Verdana"/>
          <w:b/>
          <w:sz w:val="32"/>
          <w:szCs w:val="32"/>
          <w:u w:val="single"/>
        </w:rPr>
      </w:pPr>
      <w:r w:rsidRPr="007731BF">
        <w:rPr>
          <w:rFonts w:ascii="Verdana" w:hAnsi="Verdana"/>
          <w:b/>
          <w:sz w:val="32"/>
          <w:szCs w:val="32"/>
          <w:u w:val="single"/>
        </w:rPr>
        <w:t xml:space="preserve">BASIN BÜLTENİ </w:t>
      </w:r>
    </w:p>
    <w:p w14:paraId="69B812D9" w14:textId="77777777" w:rsidR="007731BF" w:rsidRDefault="007731BF">
      <w:pPr>
        <w:rPr>
          <w:rFonts w:ascii="Verdana" w:hAnsi="Verdana"/>
          <w:b/>
          <w:sz w:val="32"/>
          <w:szCs w:val="32"/>
          <w:u w:val="single"/>
        </w:rPr>
      </w:pPr>
    </w:p>
    <w:p w14:paraId="28788EE2" w14:textId="50795D7A" w:rsidR="00972E67" w:rsidRDefault="00972E67" w:rsidP="00972E6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Aon uyarıyor: “Milyon dolarlık siber dolandırıcılık Türkiye’yi de vurabilir”</w:t>
      </w:r>
    </w:p>
    <w:p w14:paraId="722FC468" w14:textId="77777777" w:rsidR="00972E67" w:rsidRPr="00972E67" w:rsidRDefault="00972E67" w:rsidP="007731BF">
      <w:pPr>
        <w:jc w:val="center"/>
        <w:rPr>
          <w:rFonts w:ascii="Verdana" w:hAnsi="Verdana"/>
          <w:b/>
          <w:sz w:val="28"/>
          <w:szCs w:val="28"/>
        </w:rPr>
      </w:pPr>
    </w:p>
    <w:p w14:paraId="1A12C67E" w14:textId="3541EF06" w:rsidR="00CB3486" w:rsidRPr="00CB3486" w:rsidRDefault="00CB3486" w:rsidP="00972E67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B3486">
        <w:rPr>
          <w:rFonts w:ascii="Verdana" w:hAnsi="Verdana"/>
          <w:b/>
          <w:bCs/>
          <w:sz w:val="24"/>
          <w:szCs w:val="24"/>
        </w:rPr>
        <w:t xml:space="preserve">FBI’ın </w:t>
      </w:r>
      <w:r w:rsidR="00527484">
        <w:rPr>
          <w:rFonts w:ascii="Verdana" w:hAnsi="Verdana"/>
          <w:b/>
          <w:bCs/>
          <w:sz w:val="24"/>
          <w:szCs w:val="24"/>
        </w:rPr>
        <w:t xml:space="preserve">yayınladığı son </w:t>
      </w:r>
      <w:r w:rsidRPr="00CB3486">
        <w:rPr>
          <w:rFonts w:ascii="Verdana" w:hAnsi="Verdana"/>
          <w:b/>
          <w:bCs/>
          <w:sz w:val="24"/>
          <w:szCs w:val="24"/>
        </w:rPr>
        <w:t xml:space="preserve">Siber Suç Raporu sanal ortamda dolandırıcılık sonucu 1,4 milyar dolarlık kayıp yaşandığını </w:t>
      </w:r>
      <w:r>
        <w:rPr>
          <w:rFonts w:ascii="Verdana" w:hAnsi="Verdana"/>
          <w:b/>
          <w:bCs/>
          <w:sz w:val="24"/>
          <w:szCs w:val="24"/>
        </w:rPr>
        <w:t xml:space="preserve">tespit </w:t>
      </w:r>
      <w:r w:rsidR="00087E0F">
        <w:rPr>
          <w:rFonts w:ascii="Verdana" w:hAnsi="Verdana"/>
          <w:b/>
          <w:bCs/>
          <w:sz w:val="24"/>
          <w:szCs w:val="24"/>
        </w:rPr>
        <w:t>ediyor.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527484">
        <w:rPr>
          <w:rFonts w:ascii="Verdana" w:hAnsi="Verdana"/>
          <w:b/>
          <w:bCs/>
          <w:sz w:val="24"/>
          <w:szCs w:val="24"/>
        </w:rPr>
        <w:t xml:space="preserve">Rapor, </w:t>
      </w:r>
      <w:r w:rsidRPr="00CB3486">
        <w:rPr>
          <w:rFonts w:ascii="Verdana" w:hAnsi="Verdana"/>
          <w:b/>
          <w:bCs/>
          <w:sz w:val="24"/>
          <w:szCs w:val="24"/>
        </w:rPr>
        <w:t xml:space="preserve">Aon’un </w:t>
      </w:r>
      <w:r>
        <w:rPr>
          <w:rFonts w:ascii="Verdana" w:hAnsi="Verdana"/>
          <w:b/>
          <w:bCs/>
          <w:sz w:val="24"/>
          <w:szCs w:val="24"/>
        </w:rPr>
        <w:t xml:space="preserve">global </w:t>
      </w:r>
      <w:r w:rsidRPr="00CB3486">
        <w:rPr>
          <w:rFonts w:ascii="Verdana" w:hAnsi="Verdana"/>
          <w:b/>
          <w:bCs/>
          <w:sz w:val="24"/>
          <w:szCs w:val="24"/>
        </w:rPr>
        <w:t xml:space="preserve">risk öngörülerini doğrular nitelikte çarpıcı veriler ortaya koyuyor. </w:t>
      </w:r>
      <w:r w:rsidR="00527484">
        <w:rPr>
          <w:rFonts w:ascii="Verdana" w:hAnsi="Verdana"/>
          <w:b/>
          <w:bCs/>
          <w:sz w:val="24"/>
          <w:szCs w:val="24"/>
        </w:rPr>
        <w:t xml:space="preserve">Aon Türkiye Eş CEO’su Selda Oknas’a göre bu veriler, Türkiye’yi bekleyen ciddi siber dolandırıcılık suçları için bir uyarı olarak değerlendirilmeli. </w:t>
      </w:r>
    </w:p>
    <w:p w14:paraId="00F6F660" w14:textId="30ECCC53" w:rsidR="007731BF" w:rsidRDefault="007731BF" w:rsidP="007731BF">
      <w:pPr>
        <w:rPr>
          <w:rFonts w:ascii="Verdana" w:hAnsi="Verdana"/>
          <w:b/>
          <w:sz w:val="24"/>
          <w:szCs w:val="24"/>
        </w:rPr>
      </w:pPr>
    </w:p>
    <w:p w14:paraId="4DC9B8C4" w14:textId="0366A3D1" w:rsidR="00CB3486" w:rsidRDefault="007C285C" w:rsidP="00875A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Şirketlerin itibarlarını alt üst ederek, bilançolarında önemli kayıplar yaratan siber saldırılar tüm dünyanın yakın takibinde. Risk, emeklilik ve sağlık konularında profesyonel hizmetler sunan </w:t>
      </w:r>
      <w:r w:rsidR="00BA2778" w:rsidRPr="00BA2778">
        <w:rPr>
          <w:rFonts w:ascii="Verdana" w:hAnsi="Verdana"/>
          <w:bCs/>
          <w:sz w:val="20"/>
          <w:szCs w:val="20"/>
        </w:rPr>
        <w:t>Aon’un iki yılda bir iş ortaklarıyla paylaştığı Global Risk Yönetimi Anketi</w:t>
      </w:r>
      <w:r w:rsidR="00BA2778">
        <w:rPr>
          <w:rFonts w:ascii="Verdana" w:hAnsi="Verdana"/>
          <w:bCs/>
          <w:sz w:val="20"/>
          <w:szCs w:val="20"/>
        </w:rPr>
        <w:t>nde</w:t>
      </w:r>
      <w:r w:rsidR="0018407D">
        <w:rPr>
          <w:rFonts w:ascii="Verdana" w:hAnsi="Verdana"/>
          <w:bCs/>
          <w:sz w:val="20"/>
          <w:szCs w:val="20"/>
        </w:rPr>
        <w:t>,</w:t>
      </w:r>
      <w:r w:rsidR="00BA2778">
        <w:rPr>
          <w:rFonts w:ascii="Verdana" w:hAnsi="Verdana"/>
          <w:bCs/>
          <w:sz w:val="20"/>
          <w:szCs w:val="20"/>
        </w:rPr>
        <w:t xml:space="preserve"> </w:t>
      </w:r>
      <w:r w:rsidR="00302A80">
        <w:rPr>
          <w:rFonts w:ascii="Verdana" w:hAnsi="Verdana"/>
          <w:bCs/>
          <w:sz w:val="20"/>
          <w:szCs w:val="20"/>
        </w:rPr>
        <w:t>ş</w:t>
      </w:r>
      <w:r w:rsidR="00302A80" w:rsidRPr="00302A80">
        <w:rPr>
          <w:rFonts w:ascii="Verdana" w:hAnsi="Verdana"/>
          <w:bCs/>
          <w:sz w:val="20"/>
          <w:szCs w:val="20"/>
        </w:rPr>
        <w:t xml:space="preserve">irketlerin varlıklarını tehdit eden siber riskler, </w:t>
      </w:r>
      <w:r w:rsidR="00BA2778" w:rsidRPr="00BA2778">
        <w:rPr>
          <w:rFonts w:ascii="Verdana" w:hAnsi="Verdana"/>
          <w:bCs/>
          <w:sz w:val="20"/>
          <w:szCs w:val="20"/>
        </w:rPr>
        <w:t>hem 2017 verilerinde hem de 2020 öngörülerinde</w:t>
      </w:r>
      <w:r w:rsidR="00BA2778">
        <w:rPr>
          <w:rFonts w:ascii="Verdana" w:hAnsi="Verdana"/>
          <w:bCs/>
          <w:sz w:val="20"/>
          <w:szCs w:val="20"/>
        </w:rPr>
        <w:t xml:space="preserve"> ilk 5 risk arasında yer alıyor. </w:t>
      </w:r>
      <w:r w:rsidR="00087E0F">
        <w:rPr>
          <w:rFonts w:ascii="Verdana" w:hAnsi="Verdana"/>
          <w:bCs/>
          <w:sz w:val="20"/>
          <w:szCs w:val="20"/>
        </w:rPr>
        <w:t>Aon</w:t>
      </w:r>
      <w:r w:rsidR="00527484">
        <w:rPr>
          <w:rFonts w:ascii="Verdana" w:hAnsi="Verdana"/>
          <w:bCs/>
          <w:sz w:val="20"/>
          <w:szCs w:val="20"/>
        </w:rPr>
        <w:t>’</w:t>
      </w:r>
      <w:r w:rsidR="00087E0F">
        <w:rPr>
          <w:rFonts w:ascii="Verdana" w:hAnsi="Verdana"/>
          <w:bCs/>
          <w:sz w:val="20"/>
          <w:szCs w:val="20"/>
        </w:rPr>
        <w:t xml:space="preserve">un araştırmalarında, </w:t>
      </w:r>
      <w:r w:rsidR="00527484" w:rsidRPr="00527484">
        <w:rPr>
          <w:rFonts w:ascii="Verdana" w:hAnsi="Verdana"/>
          <w:bCs/>
          <w:sz w:val="20"/>
          <w:szCs w:val="20"/>
        </w:rPr>
        <w:t>siber risklerin</w:t>
      </w:r>
      <w:r w:rsidR="00527484">
        <w:rPr>
          <w:rFonts w:ascii="Verdana" w:hAnsi="Verdana"/>
          <w:bCs/>
          <w:sz w:val="20"/>
          <w:szCs w:val="20"/>
        </w:rPr>
        <w:t>,</w:t>
      </w:r>
      <w:r w:rsidR="00527484" w:rsidRPr="00527484">
        <w:rPr>
          <w:rFonts w:ascii="Verdana" w:hAnsi="Verdana"/>
          <w:bCs/>
          <w:sz w:val="20"/>
          <w:szCs w:val="20"/>
        </w:rPr>
        <w:t xml:space="preserve"> </w:t>
      </w:r>
      <w:r w:rsidR="00087E0F">
        <w:rPr>
          <w:rFonts w:ascii="Verdana" w:hAnsi="Verdana"/>
          <w:bCs/>
          <w:sz w:val="20"/>
          <w:szCs w:val="20"/>
        </w:rPr>
        <w:t xml:space="preserve">FBI bulguları ile paralel olarak, Kuzey Amerika ekonomilerinde </w:t>
      </w:r>
      <w:r w:rsidR="00527484">
        <w:rPr>
          <w:rFonts w:ascii="Verdana" w:hAnsi="Verdana"/>
          <w:bCs/>
          <w:sz w:val="20"/>
          <w:szCs w:val="20"/>
        </w:rPr>
        <w:t xml:space="preserve">bir </w:t>
      </w:r>
      <w:r w:rsidR="00087E0F">
        <w:rPr>
          <w:rFonts w:ascii="Verdana" w:hAnsi="Verdana"/>
          <w:bCs/>
          <w:sz w:val="20"/>
          <w:szCs w:val="20"/>
        </w:rPr>
        <w:t>numaralı risk olarak algılandığı görülüyor.</w:t>
      </w:r>
    </w:p>
    <w:p w14:paraId="05326BF3" w14:textId="1CAACE80" w:rsidR="00087E0F" w:rsidRDefault="00527484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27484">
        <w:rPr>
          <w:rFonts w:ascii="Verdana" w:hAnsi="Verdana"/>
          <w:b/>
          <w:bCs/>
          <w:sz w:val="20"/>
          <w:szCs w:val="20"/>
        </w:rPr>
        <w:t xml:space="preserve">Bölgelere göre dünya çapında ilk 10 risk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05"/>
        <w:gridCol w:w="1464"/>
        <w:gridCol w:w="1522"/>
        <w:gridCol w:w="1805"/>
        <w:gridCol w:w="1805"/>
        <w:gridCol w:w="222"/>
      </w:tblGrid>
      <w:tr w:rsidR="00D759BD" w:rsidRPr="00B84344" w14:paraId="5B2382A4" w14:textId="77777777" w:rsidTr="00D759BD">
        <w:trPr>
          <w:trHeight w:val="97"/>
        </w:trPr>
        <w:tc>
          <w:tcPr>
            <w:tcW w:w="302" w:type="dxa"/>
            <w:vAlign w:val="center"/>
          </w:tcPr>
          <w:p w14:paraId="4CE100E8" w14:textId="77777777" w:rsidR="00D759BD" w:rsidRPr="00B84344" w:rsidRDefault="00D759BD" w:rsidP="00564F8B">
            <w:pPr>
              <w:pStyle w:val="Balk3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B84344">
              <w:rPr>
                <w:rFonts w:ascii="Verdana" w:hAnsi="Verdana"/>
                <w:b/>
                <w:color w:val="auto"/>
                <w:sz w:val="16"/>
                <w:szCs w:val="16"/>
              </w:rPr>
              <w:t>#</w:t>
            </w:r>
          </w:p>
        </w:tc>
        <w:tc>
          <w:tcPr>
            <w:tcW w:w="0" w:type="auto"/>
            <w:vAlign w:val="center"/>
          </w:tcPr>
          <w:p w14:paraId="6EECB2CC" w14:textId="77777777" w:rsidR="00D759BD" w:rsidRPr="00B84344" w:rsidRDefault="00D759BD" w:rsidP="00564F8B">
            <w:pPr>
              <w:pStyle w:val="Pa26"/>
              <w:spacing w:after="60"/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  <w:t>Asya Pasifik</w:t>
            </w:r>
          </w:p>
        </w:tc>
        <w:tc>
          <w:tcPr>
            <w:tcW w:w="0" w:type="auto"/>
            <w:vAlign w:val="center"/>
          </w:tcPr>
          <w:p w14:paraId="0994393E" w14:textId="77777777" w:rsidR="00D759BD" w:rsidRPr="00B84344" w:rsidRDefault="00D759BD" w:rsidP="00564F8B">
            <w:pPr>
              <w:pStyle w:val="Pa26"/>
              <w:spacing w:after="60"/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  <w:t>Avrupa</w:t>
            </w:r>
          </w:p>
        </w:tc>
        <w:tc>
          <w:tcPr>
            <w:tcW w:w="0" w:type="auto"/>
            <w:vAlign w:val="center"/>
          </w:tcPr>
          <w:p w14:paraId="1664C030" w14:textId="77777777" w:rsidR="00D759BD" w:rsidRPr="00B84344" w:rsidRDefault="00D759BD" w:rsidP="00564F8B">
            <w:pPr>
              <w:pStyle w:val="Pa26"/>
              <w:spacing w:after="60"/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  <w:t>Latin Amerika</w:t>
            </w:r>
          </w:p>
        </w:tc>
        <w:tc>
          <w:tcPr>
            <w:tcW w:w="0" w:type="auto"/>
            <w:vAlign w:val="center"/>
          </w:tcPr>
          <w:p w14:paraId="322DC1E9" w14:textId="77777777" w:rsidR="00D759BD" w:rsidRPr="00B84344" w:rsidRDefault="00D759BD" w:rsidP="00564F8B">
            <w:pPr>
              <w:pStyle w:val="Pa26"/>
              <w:spacing w:after="60"/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  <w:t>Orta Doğu ve Afrika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E4A2" w14:textId="77777777" w:rsidR="00D759BD" w:rsidRPr="00B84344" w:rsidRDefault="00D759BD" w:rsidP="00564F8B">
            <w:pPr>
              <w:pStyle w:val="Pa26"/>
              <w:spacing w:after="60"/>
              <w:ind w:left="-244" w:firstLine="244"/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"/>
                <w:b/>
                <w:color w:val="000000"/>
                <w:sz w:val="16"/>
                <w:szCs w:val="16"/>
              </w:rPr>
              <w:t>Kuzey Amerika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73DE4A" w14:textId="77777777" w:rsidR="00D759BD" w:rsidRPr="00B84344" w:rsidRDefault="00D759BD" w:rsidP="00564F8B">
            <w:pPr>
              <w:pStyle w:val="Pa26"/>
              <w:spacing w:after="60"/>
              <w:rPr>
                <w:rFonts w:ascii="Verdana" w:hAnsi="Verdana" w:cs="Stone Sans II ITC Pro Bk"/>
                <w:color w:val="000000"/>
                <w:sz w:val="16"/>
                <w:szCs w:val="16"/>
              </w:rPr>
            </w:pPr>
          </w:p>
        </w:tc>
      </w:tr>
      <w:tr w:rsidR="00D759BD" w:rsidRPr="00B84344" w14:paraId="3F195181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7C57AB89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A5C9E6E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Marka imajı ve itibarının zedelenmesi</w:t>
            </w:r>
          </w:p>
        </w:tc>
        <w:tc>
          <w:tcPr>
            <w:tcW w:w="0" w:type="auto"/>
            <w:vAlign w:val="center"/>
          </w:tcPr>
          <w:p w14:paraId="5E36BEF2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Ekonomik yavaşlama</w:t>
            </w:r>
          </w:p>
        </w:tc>
        <w:tc>
          <w:tcPr>
            <w:tcW w:w="0" w:type="auto"/>
            <w:vAlign w:val="center"/>
          </w:tcPr>
          <w:p w14:paraId="754833B6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Marka imajı ve itibarının zedelenmesi</w:t>
            </w:r>
          </w:p>
        </w:tc>
        <w:tc>
          <w:tcPr>
            <w:tcW w:w="0" w:type="auto"/>
            <w:vAlign w:val="center"/>
          </w:tcPr>
          <w:p w14:paraId="6DF4B93C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Ekonomik yavaşlama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0733732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Siber riskler</w:t>
            </w:r>
          </w:p>
        </w:tc>
      </w:tr>
      <w:tr w:rsidR="00D759BD" w:rsidRPr="00B84344" w14:paraId="23E7C907" w14:textId="77777777" w:rsidTr="00D759BD">
        <w:trPr>
          <w:gridAfter w:val="1"/>
          <w:trHeight w:val="281"/>
        </w:trPr>
        <w:tc>
          <w:tcPr>
            <w:tcW w:w="302" w:type="dxa"/>
            <w:vAlign w:val="center"/>
          </w:tcPr>
          <w:p w14:paraId="4958A19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3D2FD8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Yasal düzenlemeler</w:t>
            </w:r>
          </w:p>
        </w:tc>
        <w:tc>
          <w:tcPr>
            <w:tcW w:w="0" w:type="auto"/>
            <w:vAlign w:val="center"/>
          </w:tcPr>
          <w:p w14:paraId="0E615E91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Marka imajı ve itibarının zedelenmesi</w:t>
            </w:r>
          </w:p>
        </w:tc>
        <w:tc>
          <w:tcPr>
            <w:tcW w:w="0" w:type="auto"/>
            <w:vAlign w:val="center"/>
          </w:tcPr>
          <w:p w14:paraId="4875A622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İş kesintisi</w:t>
            </w:r>
          </w:p>
        </w:tc>
        <w:tc>
          <w:tcPr>
            <w:tcW w:w="0" w:type="auto"/>
            <w:vAlign w:val="center"/>
          </w:tcPr>
          <w:p w14:paraId="64734ECD" w14:textId="77777777" w:rsidR="00D759BD" w:rsidRPr="00B84344" w:rsidRDefault="00D759BD" w:rsidP="00564F8B">
            <w:pPr>
              <w:rPr>
                <w:rFonts w:ascii="Verdana" w:hAnsi="Verdana"/>
                <w:sz w:val="16"/>
                <w:szCs w:val="16"/>
              </w:rPr>
            </w:pPr>
            <w:r w:rsidRPr="00B84344">
              <w:rPr>
                <w:rFonts w:ascii="Verdana" w:hAnsi="Verdana"/>
                <w:sz w:val="16"/>
                <w:szCs w:val="16"/>
              </w:rPr>
              <w:t>Yurt dışı politik riskler</w:t>
            </w:r>
          </w:p>
        </w:tc>
        <w:tc>
          <w:tcPr>
            <w:tcW w:w="0" w:type="auto"/>
            <w:vAlign w:val="center"/>
          </w:tcPr>
          <w:p w14:paraId="36A2F041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Marka imajı ve itibarının zedelenmesi</w:t>
            </w:r>
          </w:p>
        </w:tc>
      </w:tr>
      <w:tr w:rsidR="00D759BD" w:rsidRPr="00B84344" w14:paraId="48C9854E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0E17DC1A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637AA8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Artan rekabet</w:t>
            </w:r>
          </w:p>
        </w:tc>
        <w:tc>
          <w:tcPr>
            <w:tcW w:w="0" w:type="auto"/>
            <w:vAlign w:val="center"/>
          </w:tcPr>
          <w:p w14:paraId="37655520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Artan rekabet</w:t>
            </w:r>
          </w:p>
        </w:tc>
        <w:tc>
          <w:tcPr>
            <w:tcW w:w="0" w:type="auto"/>
            <w:vAlign w:val="center"/>
          </w:tcPr>
          <w:p w14:paraId="457F7B26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Ekonomik yavaşlama</w:t>
            </w:r>
          </w:p>
        </w:tc>
        <w:tc>
          <w:tcPr>
            <w:tcW w:w="0" w:type="auto"/>
            <w:vAlign w:val="center"/>
          </w:tcPr>
          <w:p w14:paraId="46A4486E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İnovasyon çalışmalarının başarıya ulaşmaması</w:t>
            </w:r>
          </w:p>
        </w:tc>
        <w:tc>
          <w:tcPr>
            <w:tcW w:w="0" w:type="auto"/>
            <w:vAlign w:val="center"/>
          </w:tcPr>
          <w:p w14:paraId="277B85D2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Yetenekli çalışanı elinde tutamama/kuruma çekememe</w:t>
            </w:r>
          </w:p>
        </w:tc>
      </w:tr>
      <w:tr w:rsidR="00D759BD" w:rsidRPr="00B84344" w14:paraId="39969E08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760BEE21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BB5E4D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İnovasyon çalışmalarının başarıya ulaşmaması</w:t>
            </w:r>
          </w:p>
        </w:tc>
        <w:tc>
          <w:tcPr>
            <w:tcW w:w="0" w:type="auto"/>
            <w:vAlign w:val="center"/>
          </w:tcPr>
          <w:p w14:paraId="291D829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Yasal düzenlemeler</w:t>
            </w:r>
          </w:p>
        </w:tc>
        <w:tc>
          <w:tcPr>
            <w:tcW w:w="0" w:type="auto"/>
            <w:vAlign w:val="center"/>
          </w:tcPr>
          <w:p w14:paraId="6C28CEA6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Üçüncü şahıs sorumluluğu</w:t>
            </w:r>
          </w:p>
        </w:tc>
        <w:tc>
          <w:tcPr>
            <w:tcW w:w="0" w:type="auto"/>
            <w:vAlign w:val="center"/>
          </w:tcPr>
          <w:p w14:paraId="748C9BAE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Yetenekli çalışanı elinde tutamama/kuruma çekememe</w:t>
            </w:r>
          </w:p>
        </w:tc>
        <w:tc>
          <w:tcPr>
            <w:tcW w:w="0" w:type="auto"/>
            <w:vAlign w:val="center"/>
          </w:tcPr>
          <w:p w14:paraId="513D5945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Yasal düzenlemeler</w:t>
            </w:r>
          </w:p>
        </w:tc>
      </w:tr>
      <w:tr w:rsidR="00D759BD" w:rsidRPr="00B84344" w14:paraId="7A9C8C6F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62397D4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28928D3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Ekonomik yavaşlama</w:t>
            </w:r>
          </w:p>
        </w:tc>
        <w:tc>
          <w:tcPr>
            <w:tcW w:w="0" w:type="auto"/>
            <w:vAlign w:val="center"/>
          </w:tcPr>
          <w:p w14:paraId="72EFFA6B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İnovasyon çalışmalarının başarıya ulaşmaması</w:t>
            </w:r>
          </w:p>
        </w:tc>
        <w:tc>
          <w:tcPr>
            <w:tcW w:w="0" w:type="auto"/>
            <w:vAlign w:val="center"/>
          </w:tcPr>
          <w:p w14:paraId="7B66DDEB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Kurumsal sosyal sorumluluk / sürdürülebilirlik</w:t>
            </w:r>
          </w:p>
        </w:tc>
        <w:tc>
          <w:tcPr>
            <w:tcW w:w="0" w:type="auto"/>
            <w:vAlign w:val="center"/>
          </w:tcPr>
          <w:p w14:paraId="345C74BC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Marka imajı ve itibarının zedelenmesi</w:t>
            </w:r>
          </w:p>
        </w:tc>
        <w:tc>
          <w:tcPr>
            <w:tcW w:w="0" w:type="auto"/>
            <w:vAlign w:val="center"/>
          </w:tcPr>
          <w:p w14:paraId="59F72D95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Ekonomik yavaşlama</w:t>
            </w:r>
          </w:p>
        </w:tc>
      </w:tr>
      <w:tr w:rsidR="00D759BD" w:rsidRPr="00B84344" w14:paraId="7E272DC9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62C48053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77BCFB0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İş kesintisi</w:t>
            </w:r>
          </w:p>
        </w:tc>
        <w:tc>
          <w:tcPr>
            <w:tcW w:w="0" w:type="auto"/>
            <w:vAlign w:val="center"/>
          </w:tcPr>
          <w:p w14:paraId="53DB5D1E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Siber riskler</w:t>
            </w:r>
          </w:p>
        </w:tc>
        <w:tc>
          <w:tcPr>
            <w:tcW w:w="0" w:type="auto"/>
            <w:vAlign w:val="center"/>
          </w:tcPr>
          <w:p w14:paraId="21901AF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</w:p>
          <w:p w14:paraId="30686CF9" w14:textId="77777777" w:rsidR="00D759BD" w:rsidRPr="00B84344" w:rsidRDefault="00D759BD" w:rsidP="00564F8B">
            <w:pPr>
              <w:rPr>
                <w:rFonts w:ascii="Verdana" w:hAnsi="Verdana"/>
                <w:sz w:val="16"/>
                <w:szCs w:val="16"/>
              </w:rPr>
            </w:pPr>
            <w:r w:rsidRPr="00B84344">
              <w:rPr>
                <w:rFonts w:ascii="Verdana" w:hAnsi="Verdana"/>
                <w:sz w:val="16"/>
                <w:szCs w:val="16"/>
              </w:rPr>
              <w:t>Yurt dışı politik riskler</w:t>
            </w:r>
          </w:p>
        </w:tc>
        <w:tc>
          <w:tcPr>
            <w:tcW w:w="0" w:type="auto"/>
            <w:vAlign w:val="center"/>
          </w:tcPr>
          <w:p w14:paraId="3129591C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Yasal düzenlemeler</w:t>
            </w:r>
          </w:p>
        </w:tc>
        <w:tc>
          <w:tcPr>
            <w:tcW w:w="0" w:type="auto"/>
            <w:vAlign w:val="center"/>
          </w:tcPr>
          <w:p w14:paraId="1A4C5A0C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İnovasyon çalışmalarının başarıya ulaşmaması</w:t>
            </w:r>
          </w:p>
        </w:tc>
      </w:tr>
      <w:tr w:rsidR="00D759BD" w:rsidRPr="00B84344" w14:paraId="2DD27485" w14:textId="77777777" w:rsidTr="00D759BD">
        <w:trPr>
          <w:gridAfter w:val="1"/>
          <w:trHeight w:val="313"/>
        </w:trPr>
        <w:tc>
          <w:tcPr>
            <w:tcW w:w="302" w:type="dxa"/>
            <w:vAlign w:val="center"/>
          </w:tcPr>
          <w:p w14:paraId="40147766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6C3555CD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Siber riskler</w:t>
            </w:r>
          </w:p>
        </w:tc>
        <w:tc>
          <w:tcPr>
            <w:tcW w:w="0" w:type="auto"/>
            <w:vAlign w:val="center"/>
          </w:tcPr>
          <w:p w14:paraId="552979D4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Ticari malların fiyat risk</w:t>
            </w:r>
          </w:p>
        </w:tc>
        <w:tc>
          <w:tcPr>
            <w:tcW w:w="0" w:type="auto"/>
            <w:vAlign w:val="center"/>
          </w:tcPr>
          <w:p w14:paraId="3333AAA2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Yasal düzenlemeler</w:t>
            </w:r>
          </w:p>
        </w:tc>
        <w:tc>
          <w:tcPr>
            <w:tcW w:w="0" w:type="auto"/>
            <w:vAlign w:val="center"/>
          </w:tcPr>
          <w:p w14:paraId="6025E2EA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Artan rekabet</w:t>
            </w:r>
          </w:p>
        </w:tc>
        <w:tc>
          <w:tcPr>
            <w:tcW w:w="0" w:type="auto"/>
            <w:vAlign w:val="center"/>
          </w:tcPr>
          <w:p w14:paraId="287F1196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Artan rekabet</w:t>
            </w:r>
          </w:p>
        </w:tc>
      </w:tr>
      <w:tr w:rsidR="00D759BD" w:rsidRPr="00B84344" w14:paraId="43673144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7DCCE1A9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7FA1E4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Yetenekli çalışanı elinde tutamama/kuruma çekememe</w:t>
            </w:r>
          </w:p>
        </w:tc>
        <w:tc>
          <w:tcPr>
            <w:tcW w:w="0" w:type="auto"/>
            <w:vAlign w:val="center"/>
          </w:tcPr>
          <w:p w14:paraId="116997BE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Karşı taraf kredi riski</w:t>
            </w:r>
          </w:p>
        </w:tc>
        <w:tc>
          <w:tcPr>
            <w:tcW w:w="0" w:type="auto"/>
            <w:vAlign w:val="center"/>
          </w:tcPr>
          <w:p w14:paraId="1AEEFBBD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Döviz kuru dalgalanması</w:t>
            </w:r>
          </w:p>
        </w:tc>
        <w:tc>
          <w:tcPr>
            <w:tcW w:w="0" w:type="auto"/>
            <w:vAlign w:val="center"/>
          </w:tcPr>
          <w:p w14:paraId="5D3C3F79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Siber riskler</w:t>
            </w:r>
          </w:p>
        </w:tc>
        <w:tc>
          <w:tcPr>
            <w:tcW w:w="0" w:type="auto"/>
            <w:vAlign w:val="center"/>
          </w:tcPr>
          <w:p w14:paraId="6B5BFF8A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İş kesintisi</w:t>
            </w:r>
          </w:p>
        </w:tc>
      </w:tr>
      <w:tr w:rsidR="00D759BD" w:rsidRPr="00B84344" w14:paraId="31630887" w14:textId="77777777" w:rsidTr="00D759BD">
        <w:trPr>
          <w:gridAfter w:val="1"/>
          <w:trHeight w:val="92"/>
        </w:trPr>
        <w:tc>
          <w:tcPr>
            <w:tcW w:w="302" w:type="dxa"/>
            <w:vAlign w:val="center"/>
          </w:tcPr>
          <w:p w14:paraId="68D9D957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0873BE11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Önemli, büyük projede başarısızlık</w:t>
            </w:r>
          </w:p>
        </w:tc>
        <w:tc>
          <w:tcPr>
            <w:tcW w:w="0" w:type="auto"/>
            <w:vAlign w:val="center"/>
          </w:tcPr>
          <w:p w14:paraId="5B4F5563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İş kesintisi</w:t>
            </w:r>
          </w:p>
        </w:tc>
        <w:tc>
          <w:tcPr>
            <w:tcW w:w="0" w:type="auto"/>
            <w:vAlign w:val="center"/>
          </w:tcPr>
          <w:p w14:paraId="0D8B8E2F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Çevresel risk</w:t>
            </w:r>
          </w:p>
        </w:tc>
        <w:tc>
          <w:tcPr>
            <w:tcW w:w="0" w:type="auto"/>
            <w:vAlign w:val="center"/>
          </w:tcPr>
          <w:p w14:paraId="3DDA6509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Döviz kuru dalgalanması</w:t>
            </w:r>
          </w:p>
        </w:tc>
        <w:tc>
          <w:tcPr>
            <w:tcW w:w="0" w:type="auto"/>
            <w:vAlign w:val="center"/>
          </w:tcPr>
          <w:p w14:paraId="7E62DA70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Hava/ doğal felaketler</w:t>
            </w:r>
          </w:p>
        </w:tc>
      </w:tr>
      <w:tr w:rsidR="00D759BD" w:rsidRPr="00B84344" w14:paraId="40B4CE45" w14:textId="77777777" w:rsidTr="00D759BD">
        <w:trPr>
          <w:gridAfter w:val="1"/>
          <w:trHeight w:val="192"/>
        </w:trPr>
        <w:tc>
          <w:tcPr>
            <w:tcW w:w="302" w:type="dxa"/>
            <w:vAlign w:val="center"/>
          </w:tcPr>
          <w:p w14:paraId="3F4AF70A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Sm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9F405DD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Yurtdışı politik riskler</w:t>
            </w:r>
          </w:p>
        </w:tc>
        <w:tc>
          <w:tcPr>
            <w:tcW w:w="0" w:type="auto"/>
            <w:vAlign w:val="center"/>
          </w:tcPr>
          <w:p w14:paraId="6191B0D8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Direktörler &amp; çalışanların kişisel yükümlülükleri</w:t>
            </w:r>
          </w:p>
        </w:tc>
        <w:tc>
          <w:tcPr>
            <w:tcW w:w="0" w:type="auto"/>
            <w:vAlign w:val="center"/>
          </w:tcPr>
          <w:p w14:paraId="2D3A4C33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Nakit akışı/ likidite riski</w:t>
            </w:r>
          </w:p>
        </w:tc>
        <w:tc>
          <w:tcPr>
            <w:tcW w:w="0" w:type="auto"/>
            <w:vAlign w:val="center"/>
          </w:tcPr>
          <w:p w14:paraId="308A126D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Style w:val="A8"/>
                <w:rFonts w:ascii="Verdana" w:hAnsi="Verdana" w:cs="Stone Sans II ITC Pro Bk Cn"/>
                <w:sz w:val="16"/>
                <w:szCs w:val="16"/>
              </w:rPr>
              <w:t>Direktörler &amp; çalışanların kişisel yükümlülükleri</w:t>
            </w:r>
          </w:p>
        </w:tc>
        <w:tc>
          <w:tcPr>
            <w:tcW w:w="0" w:type="auto"/>
            <w:vAlign w:val="center"/>
          </w:tcPr>
          <w:p w14:paraId="3BF1A788" w14:textId="77777777" w:rsidR="00D759BD" w:rsidRPr="00B84344" w:rsidRDefault="00D759BD" w:rsidP="00564F8B">
            <w:pPr>
              <w:pStyle w:val="Pa14"/>
              <w:rPr>
                <w:rFonts w:ascii="Verdana" w:hAnsi="Verdana" w:cs="Stone Sans II ITC Pro Bk Cn"/>
                <w:color w:val="000000"/>
                <w:sz w:val="16"/>
                <w:szCs w:val="16"/>
              </w:rPr>
            </w:pPr>
            <w:r w:rsidRPr="00B84344">
              <w:rPr>
                <w:rFonts w:ascii="Verdana" w:hAnsi="Verdana" w:cs="Stone Sans II ITC Pro Bk Cn"/>
                <w:color w:val="000000"/>
                <w:sz w:val="16"/>
                <w:szCs w:val="16"/>
              </w:rPr>
              <w:t>Mala yönelik hasar</w:t>
            </w:r>
          </w:p>
        </w:tc>
      </w:tr>
    </w:tbl>
    <w:p w14:paraId="6E4460E0" w14:textId="77777777" w:rsidR="00D759BD" w:rsidRDefault="00D759BD" w:rsidP="00875A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256F3A0" w14:textId="015C0B99" w:rsidR="00F937FC" w:rsidRPr="00527484" w:rsidRDefault="004D310F" w:rsidP="00F937F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7484">
        <w:rPr>
          <w:rFonts w:ascii="Verdana" w:hAnsi="Verdana"/>
          <w:sz w:val="20"/>
          <w:szCs w:val="20"/>
        </w:rPr>
        <w:t>Aon Türkiye’nin Temmuz 2018</w:t>
      </w:r>
      <w:r w:rsidR="00527484" w:rsidRPr="00527484">
        <w:rPr>
          <w:rFonts w:ascii="Verdana" w:hAnsi="Verdana"/>
          <w:sz w:val="20"/>
          <w:szCs w:val="20"/>
        </w:rPr>
        <w:t>’</w:t>
      </w:r>
      <w:r w:rsidRPr="00527484">
        <w:rPr>
          <w:rFonts w:ascii="Verdana" w:hAnsi="Verdana"/>
          <w:sz w:val="20"/>
          <w:szCs w:val="20"/>
        </w:rPr>
        <w:t xml:space="preserve">de yaptığı Türkiye Risk Yönetimi Araştırmasında siber riskler 12. </w:t>
      </w:r>
      <w:r w:rsidR="00527484" w:rsidRPr="00527484">
        <w:rPr>
          <w:rFonts w:ascii="Verdana" w:hAnsi="Verdana"/>
          <w:sz w:val="20"/>
          <w:szCs w:val="20"/>
        </w:rPr>
        <w:t>s</w:t>
      </w:r>
      <w:r w:rsidRPr="00527484">
        <w:rPr>
          <w:rFonts w:ascii="Verdana" w:hAnsi="Verdana"/>
          <w:sz w:val="20"/>
          <w:szCs w:val="20"/>
        </w:rPr>
        <w:t>ırada yer almıştı. Siber risklerin 2018 yılı içerisinde dünyanın gelişmiş ekonomilerine göreceli olarak Türkiye’nin risk odağında daha alt sıralara düştüğü görülüyor.</w:t>
      </w:r>
      <w:r w:rsidR="00F937FC">
        <w:rPr>
          <w:rFonts w:ascii="Verdana" w:hAnsi="Verdana"/>
          <w:sz w:val="20"/>
          <w:szCs w:val="20"/>
        </w:rPr>
        <w:t xml:space="preserve"> </w:t>
      </w:r>
      <w:r w:rsidR="00F937FC">
        <w:rPr>
          <w:rFonts w:ascii="Verdana" w:hAnsi="Verdana"/>
          <w:bCs/>
          <w:sz w:val="20"/>
          <w:szCs w:val="20"/>
        </w:rPr>
        <w:t xml:space="preserve">Aon Türkiye Eş CEO’su Selda Oknas konuyla ilgili şunları söyledi: </w:t>
      </w:r>
      <w:r w:rsidR="00B76DAB">
        <w:rPr>
          <w:rFonts w:ascii="Verdana" w:hAnsi="Verdana"/>
          <w:bCs/>
          <w:sz w:val="20"/>
          <w:szCs w:val="20"/>
        </w:rPr>
        <w:t>“</w:t>
      </w:r>
      <w:r w:rsidR="00F937FC">
        <w:rPr>
          <w:rFonts w:ascii="Verdana" w:hAnsi="Verdana"/>
          <w:sz w:val="20"/>
          <w:szCs w:val="20"/>
        </w:rPr>
        <w:t>Dijital Dönüşüm Türkiye’de de pek çok CEO’nun öncelikli ajandasında olduğunu gözlemliyoruz, dolayısıyla siber risklerin sıralamad</w:t>
      </w:r>
      <w:r w:rsidR="00832174">
        <w:rPr>
          <w:rFonts w:ascii="Verdana" w:hAnsi="Verdana"/>
          <w:sz w:val="20"/>
          <w:szCs w:val="20"/>
        </w:rPr>
        <w:t>a</w:t>
      </w:r>
      <w:r w:rsidR="00F937FC">
        <w:rPr>
          <w:rFonts w:ascii="Verdana" w:hAnsi="Verdana"/>
          <w:sz w:val="20"/>
          <w:szCs w:val="20"/>
        </w:rPr>
        <w:t>ki yerinin Türkiye’de yükseleceğini beklemekteyiz.</w:t>
      </w:r>
      <w:r w:rsidR="00B76DAB">
        <w:rPr>
          <w:rFonts w:ascii="Verdana" w:hAnsi="Verdana"/>
          <w:sz w:val="20"/>
          <w:szCs w:val="20"/>
        </w:rPr>
        <w:t>”</w:t>
      </w:r>
      <w:r w:rsidR="00F937FC">
        <w:rPr>
          <w:rFonts w:ascii="Verdana" w:hAnsi="Verdana"/>
          <w:sz w:val="20"/>
          <w:szCs w:val="20"/>
        </w:rPr>
        <w:t xml:space="preserve">     </w:t>
      </w:r>
      <w:r w:rsidR="00F937FC" w:rsidRPr="00527484">
        <w:rPr>
          <w:rFonts w:ascii="Verdana" w:hAnsi="Verdana"/>
          <w:sz w:val="20"/>
          <w:szCs w:val="20"/>
        </w:rPr>
        <w:t xml:space="preserve">  </w:t>
      </w:r>
    </w:p>
    <w:p w14:paraId="4596FA3E" w14:textId="3C898242" w:rsidR="004D310F" w:rsidRPr="00527484" w:rsidRDefault="00F937FC" w:rsidP="005274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7D5107F" w14:textId="5666ECCB" w:rsidR="00CB3486" w:rsidRPr="00CB3486" w:rsidRDefault="00CB3486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B3486">
        <w:rPr>
          <w:rFonts w:ascii="Verdana" w:hAnsi="Verdana"/>
          <w:b/>
          <w:bCs/>
          <w:sz w:val="20"/>
          <w:szCs w:val="20"/>
        </w:rPr>
        <w:t xml:space="preserve">Siber risklerle mücadelede en güçlü silah: Veriye dayalı öngörüler </w:t>
      </w:r>
    </w:p>
    <w:p w14:paraId="3879CDF9" w14:textId="751E65BD" w:rsidR="006F08BE" w:rsidRDefault="00CB3486" w:rsidP="00875A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CB3486">
        <w:rPr>
          <w:rFonts w:ascii="Verdana" w:hAnsi="Verdana"/>
          <w:bCs/>
          <w:sz w:val="20"/>
          <w:szCs w:val="20"/>
        </w:rPr>
        <w:t>Siber suçlar</w:t>
      </w:r>
      <w:r>
        <w:rPr>
          <w:rFonts w:ascii="Verdana" w:hAnsi="Verdana"/>
          <w:bCs/>
          <w:sz w:val="20"/>
          <w:szCs w:val="20"/>
        </w:rPr>
        <w:t>ın</w:t>
      </w:r>
      <w:r w:rsidRPr="00CB3486">
        <w:rPr>
          <w:rFonts w:ascii="Verdana" w:hAnsi="Verdana"/>
          <w:bCs/>
          <w:sz w:val="20"/>
          <w:szCs w:val="20"/>
        </w:rPr>
        <w:t xml:space="preserve"> önümüzdeki yirmi yılda şirketlerin karşı karşıya kalacağı en büyük sorunlardan biri olaca</w:t>
      </w:r>
      <w:r>
        <w:rPr>
          <w:rFonts w:ascii="Verdana" w:hAnsi="Verdana"/>
          <w:bCs/>
          <w:sz w:val="20"/>
          <w:szCs w:val="20"/>
        </w:rPr>
        <w:t xml:space="preserve">ğını belirten </w:t>
      </w:r>
      <w:r w:rsidR="00302A80">
        <w:rPr>
          <w:rFonts w:ascii="Verdana" w:hAnsi="Verdana"/>
          <w:bCs/>
          <w:sz w:val="20"/>
          <w:szCs w:val="20"/>
        </w:rPr>
        <w:t>Aon Türkiye Eş CEO’su Selda Oknas</w:t>
      </w:r>
      <w:r w:rsidR="00B76DAB">
        <w:rPr>
          <w:rFonts w:ascii="Verdana" w:hAnsi="Verdana"/>
          <w:bCs/>
          <w:sz w:val="20"/>
          <w:szCs w:val="20"/>
        </w:rPr>
        <w:t>,</w:t>
      </w:r>
      <w:r w:rsidR="00302A80">
        <w:rPr>
          <w:rFonts w:ascii="Verdana" w:hAnsi="Verdana"/>
          <w:bCs/>
          <w:sz w:val="20"/>
          <w:szCs w:val="20"/>
        </w:rPr>
        <w:t xml:space="preserve"> şunları söyledi: </w:t>
      </w:r>
      <w:r w:rsidR="00DE04CE">
        <w:rPr>
          <w:rFonts w:ascii="Verdana" w:hAnsi="Verdana"/>
          <w:bCs/>
          <w:sz w:val="20"/>
          <w:szCs w:val="20"/>
        </w:rPr>
        <w:t xml:space="preserve">“Siber </w:t>
      </w:r>
      <w:r w:rsidR="008503C2">
        <w:rPr>
          <w:rFonts w:ascii="Verdana" w:hAnsi="Verdana"/>
          <w:bCs/>
          <w:sz w:val="20"/>
          <w:szCs w:val="20"/>
        </w:rPr>
        <w:t>tehdit</w:t>
      </w:r>
      <w:r w:rsidR="00DE04CE">
        <w:rPr>
          <w:rFonts w:ascii="Verdana" w:hAnsi="Verdana"/>
          <w:bCs/>
          <w:sz w:val="20"/>
          <w:szCs w:val="20"/>
        </w:rPr>
        <w:t xml:space="preserve">ler </w:t>
      </w:r>
      <w:r w:rsidR="008503C2">
        <w:rPr>
          <w:rFonts w:ascii="Verdana" w:hAnsi="Verdana"/>
          <w:bCs/>
          <w:sz w:val="20"/>
          <w:szCs w:val="20"/>
        </w:rPr>
        <w:t xml:space="preserve">karşısında, veri ve analitiğe dayalı öngörüler şirketlerin en güçlü silahı olacak. Biz Aon olarak şirketlere bu zorlu mücadelede rehberlik etmek için </w:t>
      </w:r>
      <w:r w:rsidR="008503C2" w:rsidRPr="008503C2">
        <w:rPr>
          <w:rFonts w:ascii="Verdana" w:hAnsi="Verdana"/>
          <w:bCs/>
          <w:sz w:val="20"/>
          <w:szCs w:val="20"/>
        </w:rPr>
        <w:t>iki yılda bir Global Risk Yönetimi Anketi</w:t>
      </w:r>
      <w:r>
        <w:rPr>
          <w:rFonts w:ascii="Verdana" w:hAnsi="Verdana"/>
          <w:bCs/>
          <w:sz w:val="20"/>
          <w:szCs w:val="20"/>
        </w:rPr>
        <w:t xml:space="preserve">’ni </w:t>
      </w:r>
      <w:r w:rsidR="00DE04CE">
        <w:rPr>
          <w:rFonts w:ascii="Verdana" w:hAnsi="Verdana"/>
          <w:bCs/>
          <w:sz w:val="20"/>
          <w:szCs w:val="20"/>
        </w:rPr>
        <w:t xml:space="preserve">iş ortaklarımızla </w:t>
      </w:r>
      <w:r>
        <w:rPr>
          <w:rFonts w:ascii="Verdana" w:hAnsi="Verdana"/>
          <w:bCs/>
          <w:sz w:val="20"/>
          <w:szCs w:val="20"/>
        </w:rPr>
        <w:t xml:space="preserve">paylaşıyor, sektöre ışık tutacak </w:t>
      </w:r>
      <w:r w:rsidR="008503C2" w:rsidRPr="008503C2">
        <w:rPr>
          <w:rFonts w:ascii="Verdana" w:hAnsi="Verdana"/>
          <w:bCs/>
          <w:sz w:val="20"/>
          <w:szCs w:val="20"/>
        </w:rPr>
        <w:t>risk öngörülerini onlardan din</w:t>
      </w:r>
      <w:r w:rsidR="008503C2">
        <w:rPr>
          <w:rFonts w:ascii="Verdana" w:hAnsi="Verdana"/>
          <w:bCs/>
          <w:sz w:val="20"/>
          <w:szCs w:val="20"/>
        </w:rPr>
        <w:t xml:space="preserve">liyoruz. </w:t>
      </w:r>
      <w:r w:rsidR="0018407D">
        <w:rPr>
          <w:rFonts w:ascii="Verdana" w:hAnsi="Verdana"/>
          <w:bCs/>
          <w:sz w:val="20"/>
          <w:szCs w:val="20"/>
        </w:rPr>
        <w:t>Bu anket</w:t>
      </w:r>
      <w:r w:rsidR="00BF1102">
        <w:rPr>
          <w:rFonts w:ascii="Verdana" w:hAnsi="Verdana"/>
          <w:bCs/>
          <w:sz w:val="20"/>
          <w:szCs w:val="20"/>
        </w:rPr>
        <w:t>,</w:t>
      </w:r>
      <w:r w:rsidR="0018407D">
        <w:rPr>
          <w:rFonts w:ascii="Verdana" w:hAnsi="Verdana"/>
          <w:bCs/>
          <w:sz w:val="20"/>
          <w:szCs w:val="20"/>
        </w:rPr>
        <w:t xml:space="preserve"> </w:t>
      </w:r>
      <w:r w:rsidR="0018407D" w:rsidRPr="0018407D">
        <w:rPr>
          <w:rFonts w:ascii="Verdana" w:hAnsi="Verdana"/>
          <w:bCs/>
          <w:sz w:val="20"/>
          <w:szCs w:val="20"/>
        </w:rPr>
        <w:t xml:space="preserve">Türkiye sonuçlarını küresel sonuçlarla beraber görme </w:t>
      </w:r>
      <w:r w:rsidR="00042A72" w:rsidRPr="0018407D">
        <w:rPr>
          <w:rFonts w:ascii="Verdana" w:hAnsi="Verdana"/>
          <w:bCs/>
          <w:sz w:val="20"/>
          <w:szCs w:val="20"/>
        </w:rPr>
        <w:t>imkânı</w:t>
      </w:r>
      <w:r w:rsidR="0018407D" w:rsidRPr="0018407D">
        <w:rPr>
          <w:rFonts w:ascii="Verdana" w:hAnsi="Verdana"/>
          <w:bCs/>
          <w:sz w:val="20"/>
          <w:szCs w:val="20"/>
        </w:rPr>
        <w:t xml:space="preserve"> da sağlıyor</w:t>
      </w:r>
      <w:r w:rsidR="0018407D">
        <w:rPr>
          <w:rFonts w:ascii="Verdana" w:hAnsi="Verdana"/>
          <w:bCs/>
          <w:sz w:val="20"/>
          <w:szCs w:val="20"/>
        </w:rPr>
        <w:t xml:space="preserve">. </w:t>
      </w:r>
      <w:r w:rsidR="00DE04CE">
        <w:rPr>
          <w:rFonts w:ascii="Verdana" w:hAnsi="Verdana"/>
          <w:bCs/>
          <w:sz w:val="20"/>
          <w:szCs w:val="20"/>
        </w:rPr>
        <w:t xml:space="preserve">Örneğin, </w:t>
      </w:r>
      <w:r w:rsidR="0062743E">
        <w:rPr>
          <w:rFonts w:ascii="Verdana" w:hAnsi="Verdana"/>
          <w:bCs/>
          <w:sz w:val="20"/>
          <w:szCs w:val="20"/>
        </w:rPr>
        <w:t xml:space="preserve">dünyanın önde gelen firmalarından oluşan </w:t>
      </w:r>
      <w:r w:rsidR="009938CA">
        <w:rPr>
          <w:rFonts w:ascii="Verdana" w:hAnsi="Verdana"/>
          <w:bCs/>
          <w:sz w:val="20"/>
          <w:szCs w:val="20"/>
        </w:rPr>
        <w:t>1800’</w:t>
      </w:r>
      <w:r w:rsidR="0062743E">
        <w:rPr>
          <w:rFonts w:ascii="Verdana" w:hAnsi="Verdana"/>
          <w:bCs/>
          <w:sz w:val="20"/>
          <w:szCs w:val="20"/>
        </w:rPr>
        <w:t xml:space="preserve">ü aşkın firmalara incelendiğinde, </w:t>
      </w:r>
      <w:r w:rsidR="009938CA">
        <w:rPr>
          <w:rFonts w:ascii="Verdana" w:hAnsi="Verdana"/>
          <w:bCs/>
          <w:sz w:val="20"/>
          <w:szCs w:val="20"/>
        </w:rPr>
        <w:t>her iki firmadan biri</w:t>
      </w:r>
      <w:r w:rsidR="0062743E">
        <w:rPr>
          <w:rFonts w:ascii="Verdana" w:hAnsi="Verdana"/>
          <w:bCs/>
          <w:sz w:val="20"/>
          <w:szCs w:val="20"/>
        </w:rPr>
        <w:t xml:space="preserve">nin </w:t>
      </w:r>
      <w:r w:rsidR="009938CA">
        <w:rPr>
          <w:rFonts w:ascii="Verdana" w:hAnsi="Verdana"/>
          <w:bCs/>
          <w:sz w:val="20"/>
          <w:szCs w:val="20"/>
        </w:rPr>
        <w:t>siber risk değerlendirmesi yap</w:t>
      </w:r>
      <w:r w:rsidR="0062743E">
        <w:rPr>
          <w:rFonts w:ascii="Verdana" w:hAnsi="Verdana"/>
          <w:bCs/>
          <w:sz w:val="20"/>
          <w:szCs w:val="20"/>
        </w:rPr>
        <w:t>tığı</w:t>
      </w:r>
      <w:r w:rsidR="009938CA">
        <w:rPr>
          <w:rFonts w:ascii="Verdana" w:hAnsi="Verdana"/>
          <w:bCs/>
          <w:sz w:val="20"/>
          <w:szCs w:val="20"/>
        </w:rPr>
        <w:t xml:space="preserve"> </w:t>
      </w:r>
      <w:r w:rsidR="0062743E">
        <w:rPr>
          <w:rFonts w:ascii="Verdana" w:hAnsi="Verdana"/>
          <w:bCs/>
          <w:sz w:val="20"/>
          <w:szCs w:val="20"/>
        </w:rPr>
        <w:t xml:space="preserve">(yüzde </w:t>
      </w:r>
      <w:r w:rsidR="009938CA">
        <w:rPr>
          <w:rFonts w:ascii="Verdana" w:hAnsi="Verdana"/>
          <w:bCs/>
          <w:sz w:val="20"/>
          <w:szCs w:val="20"/>
        </w:rPr>
        <w:t>53), her üç firmadan biri</w:t>
      </w:r>
      <w:r w:rsidR="0062743E">
        <w:rPr>
          <w:rFonts w:ascii="Verdana" w:hAnsi="Verdana"/>
          <w:bCs/>
          <w:sz w:val="20"/>
          <w:szCs w:val="20"/>
        </w:rPr>
        <w:t xml:space="preserve">nin de </w:t>
      </w:r>
      <w:r w:rsidR="009938CA">
        <w:rPr>
          <w:rFonts w:ascii="Verdana" w:hAnsi="Verdana"/>
          <w:bCs/>
          <w:sz w:val="20"/>
          <w:szCs w:val="20"/>
        </w:rPr>
        <w:t xml:space="preserve">siber poliçe ile teknoloji risklerini teminat altına </w:t>
      </w:r>
      <w:r w:rsidR="0062743E">
        <w:rPr>
          <w:rFonts w:ascii="Verdana" w:hAnsi="Verdana"/>
          <w:bCs/>
          <w:sz w:val="20"/>
          <w:szCs w:val="20"/>
        </w:rPr>
        <w:t xml:space="preserve">aldığı (yüzde </w:t>
      </w:r>
      <w:r w:rsidR="009938CA">
        <w:rPr>
          <w:rFonts w:ascii="Verdana" w:hAnsi="Verdana"/>
          <w:bCs/>
          <w:sz w:val="20"/>
          <w:szCs w:val="20"/>
        </w:rPr>
        <w:t>33)</w:t>
      </w:r>
      <w:r w:rsidR="0062743E">
        <w:rPr>
          <w:rFonts w:ascii="Verdana" w:hAnsi="Verdana"/>
          <w:bCs/>
          <w:sz w:val="20"/>
          <w:szCs w:val="20"/>
        </w:rPr>
        <w:t xml:space="preserve"> görülüyor</w:t>
      </w:r>
      <w:r w:rsidR="009938CA">
        <w:rPr>
          <w:rFonts w:ascii="Verdana" w:hAnsi="Verdana"/>
          <w:bCs/>
          <w:sz w:val="20"/>
          <w:szCs w:val="20"/>
        </w:rPr>
        <w:t>. Bu istatistiklerin düzenli bir şekilde yükseldiğini gözlemliyoruz. K</w:t>
      </w:r>
      <w:r w:rsidR="009938CA" w:rsidRPr="0018407D">
        <w:rPr>
          <w:rFonts w:ascii="Verdana" w:hAnsi="Verdana"/>
          <w:bCs/>
          <w:sz w:val="20"/>
          <w:szCs w:val="20"/>
        </w:rPr>
        <w:t>arşılaştırmalı sonuçlara göre</w:t>
      </w:r>
      <w:r w:rsidR="009938CA">
        <w:rPr>
          <w:rFonts w:ascii="Verdana" w:hAnsi="Verdana"/>
          <w:bCs/>
          <w:sz w:val="20"/>
          <w:szCs w:val="20"/>
        </w:rPr>
        <w:t xml:space="preserve"> formal bir siber risk değerlendirmesinin yapıldığı sektörler arasında, </w:t>
      </w:r>
      <w:r w:rsidR="0062743E">
        <w:rPr>
          <w:rFonts w:ascii="Verdana" w:hAnsi="Verdana"/>
          <w:bCs/>
          <w:sz w:val="20"/>
          <w:szCs w:val="20"/>
        </w:rPr>
        <w:t>s</w:t>
      </w:r>
      <w:r w:rsidR="009938CA">
        <w:rPr>
          <w:rFonts w:ascii="Verdana" w:hAnsi="Verdana"/>
          <w:bCs/>
          <w:sz w:val="20"/>
          <w:szCs w:val="20"/>
        </w:rPr>
        <w:t xml:space="preserve">igortacılık, </w:t>
      </w:r>
      <w:r w:rsidR="0062743E">
        <w:rPr>
          <w:rFonts w:ascii="Verdana" w:hAnsi="Verdana"/>
          <w:bCs/>
          <w:sz w:val="20"/>
          <w:szCs w:val="20"/>
        </w:rPr>
        <w:t>b</w:t>
      </w:r>
      <w:r w:rsidR="009938CA">
        <w:rPr>
          <w:rFonts w:ascii="Verdana" w:hAnsi="Verdana"/>
          <w:bCs/>
          <w:sz w:val="20"/>
          <w:szCs w:val="20"/>
        </w:rPr>
        <w:t>ankacılık</w:t>
      </w:r>
      <w:r w:rsidR="0062743E">
        <w:rPr>
          <w:rFonts w:ascii="Verdana" w:hAnsi="Verdana"/>
          <w:bCs/>
          <w:sz w:val="20"/>
          <w:szCs w:val="20"/>
        </w:rPr>
        <w:t xml:space="preserve"> ve e</w:t>
      </w:r>
      <w:r w:rsidR="009938CA">
        <w:rPr>
          <w:rFonts w:ascii="Verdana" w:hAnsi="Verdana"/>
          <w:bCs/>
          <w:sz w:val="20"/>
          <w:szCs w:val="20"/>
        </w:rPr>
        <w:t xml:space="preserve">ğitim sektörleri önde geliyor </w:t>
      </w:r>
      <w:r w:rsidR="00994A3B">
        <w:rPr>
          <w:rFonts w:ascii="Verdana" w:hAnsi="Verdana"/>
          <w:bCs/>
          <w:sz w:val="20"/>
          <w:szCs w:val="20"/>
        </w:rPr>
        <w:t xml:space="preserve">(Bu sektörlerin her birinde, siber risk değerlendirme yapanların yapmayanlara oranı </w:t>
      </w:r>
      <w:r w:rsidR="006F08BE">
        <w:rPr>
          <w:rFonts w:ascii="Verdana" w:hAnsi="Verdana"/>
          <w:bCs/>
          <w:sz w:val="20"/>
          <w:szCs w:val="20"/>
        </w:rPr>
        <w:t xml:space="preserve">yüzde </w:t>
      </w:r>
      <w:r w:rsidR="009938CA">
        <w:rPr>
          <w:rFonts w:ascii="Verdana" w:hAnsi="Verdana"/>
          <w:bCs/>
          <w:sz w:val="20"/>
          <w:szCs w:val="20"/>
        </w:rPr>
        <w:t>70</w:t>
      </w:r>
      <w:r w:rsidR="00994A3B">
        <w:rPr>
          <w:rFonts w:ascii="Verdana" w:hAnsi="Verdana"/>
          <w:bCs/>
          <w:sz w:val="20"/>
          <w:szCs w:val="20"/>
        </w:rPr>
        <w:t xml:space="preserve"> ya da daha yukarıda</w:t>
      </w:r>
      <w:r w:rsidR="009938CA">
        <w:rPr>
          <w:rFonts w:ascii="Verdana" w:hAnsi="Verdana"/>
          <w:bCs/>
          <w:sz w:val="20"/>
          <w:szCs w:val="20"/>
        </w:rPr>
        <w:t xml:space="preserve">). </w:t>
      </w:r>
      <w:r w:rsidR="00994A3B">
        <w:rPr>
          <w:rFonts w:ascii="Verdana" w:hAnsi="Verdana"/>
          <w:bCs/>
          <w:sz w:val="20"/>
          <w:szCs w:val="20"/>
        </w:rPr>
        <w:t>Sağlık sektörünün yüzde 57’si, telekomünikasyon sektörünün yüzde 50’si, perakende sektörünün ise yüzde 47’i siber risklerin kendilerine nasıl zarar vereceğini değerlendirmiş.</w:t>
      </w:r>
      <w:r w:rsidR="00B76DAB">
        <w:rPr>
          <w:rFonts w:ascii="Verdana" w:hAnsi="Verdana"/>
          <w:bCs/>
          <w:sz w:val="20"/>
          <w:szCs w:val="20"/>
        </w:rPr>
        <w:t xml:space="preserve"> </w:t>
      </w:r>
      <w:r w:rsidR="009938CA">
        <w:rPr>
          <w:rFonts w:ascii="Verdana" w:hAnsi="Verdana"/>
          <w:bCs/>
          <w:sz w:val="20"/>
          <w:szCs w:val="20"/>
        </w:rPr>
        <w:t xml:space="preserve">Buna karşılık </w:t>
      </w:r>
      <w:r w:rsidR="006F08BE">
        <w:rPr>
          <w:rFonts w:ascii="Verdana" w:hAnsi="Verdana"/>
          <w:bCs/>
          <w:sz w:val="20"/>
          <w:szCs w:val="20"/>
        </w:rPr>
        <w:t>i</w:t>
      </w:r>
      <w:r w:rsidR="009938CA">
        <w:rPr>
          <w:rFonts w:ascii="Verdana" w:hAnsi="Verdana"/>
          <w:bCs/>
          <w:sz w:val="20"/>
          <w:szCs w:val="20"/>
        </w:rPr>
        <w:t xml:space="preserve">nşaat, </w:t>
      </w:r>
      <w:r w:rsidR="006F08BE">
        <w:rPr>
          <w:rFonts w:ascii="Verdana" w:hAnsi="Verdana"/>
          <w:bCs/>
          <w:sz w:val="20"/>
          <w:szCs w:val="20"/>
        </w:rPr>
        <w:t>ç</w:t>
      </w:r>
      <w:r w:rsidR="009938CA">
        <w:rPr>
          <w:rFonts w:ascii="Verdana" w:hAnsi="Verdana"/>
          <w:bCs/>
          <w:sz w:val="20"/>
          <w:szCs w:val="20"/>
        </w:rPr>
        <w:t xml:space="preserve">imento, </w:t>
      </w:r>
      <w:r w:rsidR="006F08BE">
        <w:rPr>
          <w:rFonts w:ascii="Verdana" w:hAnsi="Verdana"/>
          <w:bCs/>
          <w:sz w:val="20"/>
          <w:szCs w:val="20"/>
        </w:rPr>
        <w:t>p</w:t>
      </w:r>
      <w:r w:rsidR="009938CA">
        <w:rPr>
          <w:rFonts w:ascii="Verdana" w:hAnsi="Verdana"/>
          <w:bCs/>
          <w:sz w:val="20"/>
          <w:szCs w:val="20"/>
        </w:rPr>
        <w:t>lastik</w:t>
      </w:r>
      <w:r w:rsidR="006F08BE">
        <w:rPr>
          <w:rFonts w:ascii="Verdana" w:hAnsi="Verdana"/>
          <w:bCs/>
          <w:sz w:val="20"/>
          <w:szCs w:val="20"/>
        </w:rPr>
        <w:t>,</w:t>
      </w:r>
      <w:r w:rsidR="009938CA">
        <w:rPr>
          <w:rFonts w:ascii="Verdana" w:hAnsi="Verdana"/>
          <w:bCs/>
          <w:sz w:val="20"/>
          <w:szCs w:val="20"/>
        </w:rPr>
        <w:t xml:space="preserve"> </w:t>
      </w:r>
      <w:r w:rsidR="006F08BE">
        <w:rPr>
          <w:rFonts w:ascii="Verdana" w:hAnsi="Verdana"/>
          <w:bCs/>
          <w:sz w:val="20"/>
          <w:szCs w:val="20"/>
        </w:rPr>
        <w:t>ka</w:t>
      </w:r>
      <w:r w:rsidR="009938CA">
        <w:rPr>
          <w:rFonts w:ascii="Verdana" w:hAnsi="Verdana"/>
          <w:bCs/>
          <w:sz w:val="20"/>
          <w:szCs w:val="20"/>
        </w:rPr>
        <w:t>uçuk</w:t>
      </w:r>
      <w:r w:rsidR="006F08BE">
        <w:rPr>
          <w:rFonts w:ascii="Verdana" w:hAnsi="Verdana"/>
          <w:bCs/>
          <w:sz w:val="20"/>
          <w:szCs w:val="20"/>
        </w:rPr>
        <w:t xml:space="preserve"> ve t</w:t>
      </w:r>
      <w:r w:rsidR="009938CA">
        <w:rPr>
          <w:rFonts w:ascii="Verdana" w:hAnsi="Verdana"/>
          <w:bCs/>
          <w:sz w:val="20"/>
          <w:szCs w:val="20"/>
        </w:rPr>
        <w:t xml:space="preserve">optan </w:t>
      </w:r>
      <w:r w:rsidR="006F08BE">
        <w:rPr>
          <w:rFonts w:ascii="Verdana" w:hAnsi="Verdana"/>
          <w:bCs/>
          <w:sz w:val="20"/>
          <w:szCs w:val="20"/>
        </w:rPr>
        <w:t>t</w:t>
      </w:r>
      <w:r w:rsidR="009938CA">
        <w:rPr>
          <w:rFonts w:ascii="Verdana" w:hAnsi="Verdana"/>
          <w:bCs/>
          <w:sz w:val="20"/>
          <w:szCs w:val="20"/>
        </w:rPr>
        <w:t>icaret sektörlerin</w:t>
      </w:r>
      <w:r w:rsidR="006F08BE">
        <w:rPr>
          <w:rFonts w:ascii="Verdana" w:hAnsi="Verdana"/>
          <w:bCs/>
          <w:sz w:val="20"/>
          <w:szCs w:val="20"/>
        </w:rPr>
        <w:t>in</w:t>
      </w:r>
      <w:r w:rsidR="0018407D" w:rsidRPr="0018407D">
        <w:rPr>
          <w:rFonts w:ascii="Verdana" w:hAnsi="Verdana"/>
          <w:bCs/>
          <w:sz w:val="20"/>
          <w:szCs w:val="20"/>
        </w:rPr>
        <w:t xml:space="preserve"> </w:t>
      </w:r>
      <w:r w:rsidR="009938CA">
        <w:rPr>
          <w:rFonts w:ascii="Verdana" w:hAnsi="Verdana"/>
          <w:bCs/>
          <w:sz w:val="20"/>
          <w:szCs w:val="20"/>
        </w:rPr>
        <w:t>siber risk değerlendirmesinde geriden geldikleri gö</w:t>
      </w:r>
      <w:r w:rsidR="006F08BE">
        <w:rPr>
          <w:rFonts w:ascii="Verdana" w:hAnsi="Verdana"/>
          <w:bCs/>
          <w:sz w:val="20"/>
          <w:szCs w:val="20"/>
        </w:rPr>
        <w:t>rülüyor</w:t>
      </w:r>
      <w:r w:rsidR="009938CA">
        <w:rPr>
          <w:rFonts w:ascii="Verdana" w:hAnsi="Verdana"/>
          <w:bCs/>
          <w:sz w:val="20"/>
          <w:szCs w:val="20"/>
        </w:rPr>
        <w:t xml:space="preserve"> (</w:t>
      </w:r>
      <w:r w:rsidR="00994A3B">
        <w:rPr>
          <w:rFonts w:ascii="Verdana" w:hAnsi="Verdana"/>
          <w:bCs/>
          <w:sz w:val="20"/>
          <w:szCs w:val="20"/>
        </w:rPr>
        <w:t>Bu sektörlerin her birinde, siber risk değerlendirme yapanların yapmayanlara oranı yüzde 40 ya da daha düşük</w:t>
      </w:r>
      <w:r w:rsidR="009938CA">
        <w:rPr>
          <w:rFonts w:ascii="Verdana" w:hAnsi="Verdana"/>
          <w:bCs/>
          <w:sz w:val="20"/>
          <w:szCs w:val="20"/>
        </w:rPr>
        <w:t>).</w:t>
      </w:r>
      <w:r w:rsidR="00B76DAB">
        <w:rPr>
          <w:rFonts w:ascii="Verdana" w:hAnsi="Verdana"/>
          <w:bCs/>
          <w:sz w:val="20"/>
          <w:szCs w:val="20"/>
        </w:rPr>
        <w:t>”</w:t>
      </w:r>
      <w:r w:rsidR="009938CA">
        <w:rPr>
          <w:rFonts w:ascii="Verdana" w:hAnsi="Verdana"/>
          <w:bCs/>
          <w:sz w:val="20"/>
          <w:szCs w:val="20"/>
        </w:rPr>
        <w:t xml:space="preserve"> </w:t>
      </w:r>
    </w:p>
    <w:p w14:paraId="2482D80D" w14:textId="2B771321" w:rsidR="006F08BE" w:rsidRPr="006F08BE" w:rsidRDefault="006F08BE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08BE">
        <w:rPr>
          <w:rFonts w:ascii="Verdana" w:hAnsi="Verdana"/>
          <w:b/>
          <w:bCs/>
          <w:sz w:val="20"/>
          <w:szCs w:val="20"/>
        </w:rPr>
        <w:t>Siber riskler Türkiye için de ciddi bir tehdit</w:t>
      </w:r>
    </w:p>
    <w:p w14:paraId="2E415229" w14:textId="2A320524" w:rsidR="00302A80" w:rsidRDefault="009938CA" w:rsidP="00875A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Türkiye’de inovasyon, dijital dönüşüm ve </w:t>
      </w:r>
      <w:r w:rsidR="006F08BE">
        <w:rPr>
          <w:rFonts w:ascii="Verdana" w:hAnsi="Verdana"/>
          <w:bCs/>
          <w:sz w:val="20"/>
          <w:szCs w:val="20"/>
        </w:rPr>
        <w:t xml:space="preserve">Endüstri </w:t>
      </w:r>
      <w:r>
        <w:rPr>
          <w:rFonts w:ascii="Verdana" w:hAnsi="Verdana"/>
          <w:bCs/>
          <w:sz w:val="20"/>
          <w:szCs w:val="20"/>
        </w:rPr>
        <w:t>4</w:t>
      </w:r>
      <w:r w:rsidR="006F08BE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>0 konularında</w:t>
      </w:r>
      <w:r w:rsidR="006F08BE">
        <w:rPr>
          <w:rFonts w:ascii="Verdana" w:hAnsi="Verdana"/>
          <w:bCs/>
          <w:sz w:val="20"/>
          <w:szCs w:val="20"/>
        </w:rPr>
        <w:t>ki</w:t>
      </w:r>
      <w:r>
        <w:rPr>
          <w:rFonts w:ascii="Verdana" w:hAnsi="Verdana"/>
          <w:bCs/>
          <w:sz w:val="20"/>
          <w:szCs w:val="20"/>
        </w:rPr>
        <w:t xml:space="preserve"> yoğun çalışmalar</w:t>
      </w:r>
      <w:r w:rsidR="006F08BE">
        <w:rPr>
          <w:rFonts w:ascii="Verdana" w:hAnsi="Verdana"/>
          <w:bCs/>
          <w:sz w:val="20"/>
          <w:szCs w:val="20"/>
        </w:rPr>
        <w:t>a değinen Selda Oknas</w:t>
      </w:r>
      <w:r w:rsidR="00B76DAB">
        <w:rPr>
          <w:rFonts w:ascii="Verdana" w:hAnsi="Verdana"/>
          <w:bCs/>
          <w:sz w:val="20"/>
          <w:szCs w:val="20"/>
        </w:rPr>
        <w:t>,</w:t>
      </w:r>
      <w:r w:rsidR="006F08BE">
        <w:rPr>
          <w:rFonts w:ascii="Verdana" w:hAnsi="Verdana"/>
          <w:bCs/>
          <w:sz w:val="20"/>
          <w:szCs w:val="20"/>
        </w:rPr>
        <w:t xml:space="preserve"> şöyle devam etti: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F08BE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Bu dönüşüm</w:t>
      </w:r>
      <w:r w:rsidR="006F08BE">
        <w:rPr>
          <w:rFonts w:ascii="Verdana" w:hAnsi="Verdana"/>
          <w:bCs/>
          <w:sz w:val="20"/>
          <w:szCs w:val="20"/>
        </w:rPr>
        <w:t xml:space="preserve"> süreçleri</w:t>
      </w:r>
      <w:r>
        <w:rPr>
          <w:rFonts w:ascii="Verdana" w:hAnsi="Verdana"/>
          <w:bCs/>
          <w:sz w:val="20"/>
          <w:szCs w:val="20"/>
        </w:rPr>
        <w:t xml:space="preserve"> esnasında firmalar kendilerini yeni risklere </w:t>
      </w:r>
      <w:r w:rsidR="006F08BE">
        <w:rPr>
          <w:rFonts w:ascii="Verdana" w:hAnsi="Verdana"/>
          <w:bCs/>
          <w:sz w:val="20"/>
          <w:szCs w:val="20"/>
        </w:rPr>
        <w:t>açtıkların</w:t>
      </w:r>
      <w:r w:rsidR="00994A3B">
        <w:rPr>
          <w:rFonts w:ascii="Verdana" w:hAnsi="Verdana"/>
          <w:bCs/>
          <w:sz w:val="20"/>
          <w:szCs w:val="20"/>
        </w:rPr>
        <w:t xml:space="preserve">dan </w:t>
      </w:r>
      <w:r w:rsidR="00080476">
        <w:rPr>
          <w:rFonts w:ascii="Verdana" w:hAnsi="Verdana"/>
          <w:bCs/>
          <w:sz w:val="20"/>
          <w:szCs w:val="20"/>
        </w:rPr>
        <w:t xml:space="preserve">gerekli önlemleri şimdiden </w:t>
      </w:r>
      <w:r w:rsidR="00994A3B">
        <w:rPr>
          <w:rFonts w:ascii="Verdana" w:hAnsi="Verdana"/>
          <w:bCs/>
          <w:sz w:val="20"/>
          <w:szCs w:val="20"/>
        </w:rPr>
        <w:t xml:space="preserve">almaları </w:t>
      </w:r>
      <w:r w:rsidR="001944B6">
        <w:rPr>
          <w:rFonts w:ascii="Verdana" w:hAnsi="Verdana"/>
          <w:bCs/>
          <w:sz w:val="20"/>
          <w:szCs w:val="20"/>
        </w:rPr>
        <w:t>tedbirli olacaktır</w:t>
      </w:r>
      <w:r w:rsidR="00080476">
        <w:rPr>
          <w:rFonts w:ascii="Verdana" w:hAnsi="Verdana"/>
          <w:bCs/>
          <w:sz w:val="20"/>
          <w:szCs w:val="20"/>
        </w:rPr>
        <w:t>. D</w:t>
      </w:r>
      <w:r w:rsidR="00080476" w:rsidRPr="0018407D">
        <w:rPr>
          <w:rFonts w:ascii="Verdana" w:hAnsi="Verdana"/>
          <w:bCs/>
          <w:sz w:val="20"/>
          <w:szCs w:val="20"/>
        </w:rPr>
        <w:t xml:space="preserve">ünyanın </w:t>
      </w:r>
      <w:r w:rsidR="0018407D" w:rsidRPr="0018407D">
        <w:rPr>
          <w:rFonts w:ascii="Verdana" w:hAnsi="Verdana"/>
          <w:bCs/>
          <w:sz w:val="20"/>
          <w:szCs w:val="20"/>
        </w:rPr>
        <w:t>ileri gelen firmalarında çalışan üst düzey yöneticiler</w:t>
      </w:r>
      <w:r w:rsidR="0018407D">
        <w:rPr>
          <w:rFonts w:ascii="Verdana" w:hAnsi="Verdana"/>
          <w:bCs/>
          <w:sz w:val="20"/>
          <w:szCs w:val="20"/>
        </w:rPr>
        <w:t xml:space="preserve"> </w:t>
      </w:r>
      <w:r w:rsidR="006F08BE">
        <w:rPr>
          <w:rFonts w:ascii="Verdana" w:hAnsi="Verdana"/>
          <w:bCs/>
          <w:sz w:val="20"/>
          <w:szCs w:val="20"/>
        </w:rPr>
        <w:t>‘</w:t>
      </w:r>
      <w:r w:rsidR="0018407D">
        <w:rPr>
          <w:rFonts w:ascii="Verdana" w:hAnsi="Verdana"/>
          <w:bCs/>
          <w:sz w:val="20"/>
          <w:szCs w:val="20"/>
        </w:rPr>
        <w:t>siber riskler</w:t>
      </w:r>
      <w:r w:rsidR="00080476">
        <w:rPr>
          <w:rFonts w:ascii="Verdana" w:hAnsi="Verdana"/>
          <w:bCs/>
          <w:sz w:val="20"/>
          <w:szCs w:val="20"/>
        </w:rPr>
        <w:t>in ölçülmesini</w:t>
      </w:r>
      <w:r w:rsidR="006F08BE">
        <w:rPr>
          <w:rFonts w:ascii="Verdana" w:hAnsi="Verdana"/>
          <w:bCs/>
          <w:sz w:val="20"/>
          <w:szCs w:val="20"/>
        </w:rPr>
        <w:t>’</w:t>
      </w:r>
      <w:r w:rsidR="00080476">
        <w:rPr>
          <w:rFonts w:ascii="Verdana" w:hAnsi="Verdana"/>
          <w:bCs/>
          <w:sz w:val="20"/>
          <w:szCs w:val="20"/>
        </w:rPr>
        <w:t xml:space="preserve"> sadece BT departmanlarına bırakmıyorlar. Firmaların </w:t>
      </w:r>
      <w:r w:rsidR="006F08BE">
        <w:rPr>
          <w:rFonts w:ascii="Verdana" w:hAnsi="Verdana"/>
          <w:bCs/>
          <w:sz w:val="20"/>
          <w:szCs w:val="20"/>
        </w:rPr>
        <w:t xml:space="preserve">yüzde </w:t>
      </w:r>
      <w:r w:rsidR="00080476">
        <w:rPr>
          <w:rFonts w:ascii="Verdana" w:hAnsi="Verdana"/>
          <w:bCs/>
          <w:sz w:val="20"/>
          <w:szCs w:val="20"/>
        </w:rPr>
        <w:t>38’inde Risk Yönetimi departmanının</w:t>
      </w:r>
      <w:r w:rsidR="00CB3486">
        <w:rPr>
          <w:rFonts w:ascii="Verdana" w:hAnsi="Verdana"/>
          <w:bCs/>
          <w:sz w:val="20"/>
          <w:szCs w:val="20"/>
        </w:rPr>
        <w:t>,</w:t>
      </w:r>
      <w:r w:rsidR="0018407D">
        <w:rPr>
          <w:rFonts w:ascii="Verdana" w:hAnsi="Verdana"/>
          <w:bCs/>
          <w:sz w:val="20"/>
          <w:szCs w:val="20"/>
        </w:rPr>
        <w:t xml:space="preserve"> </w:t>
      </w:r>
      <w:r w:rsidR="006F08BE">
        <w:rPr>
          <w:rFonts w:ascii="Verdana" w:hAnsi="Verdana"/>
          <w:bCs/>
          <w:sz w:val="20"/>
          <w:szCs w:val="20"/>
        </w:rPr>
        <w:t xml:space="preserve">yüzde </w:t>
      </w:r>
      <w:r w:rsidR="00080476">
        <w:rPr>
          <w:rFonts w:ascii="Verdana" w:hAnsi="Verdana"/>
          <w:bCs/>
          <w:sz w:val="20"/>
          <w:szCs w:val="20"/>
        </w:rPr>
        <w:t>19’unda</w:t>
      </w:r>
      <w:r w:rsidR="006F08BE">
        <w:rPr>
          <w:rFonts w:ascii="Verdana" w:hAnsi="Verdana"/>
          <w:bCs/>
          <w:sz w:val="20"/>
          <w:szCs w:val="20"/>
        </w:rPr>
        <w:t xml:space="preserve"> ise</w:t>
      </w:r>
      <w:r w:rsidR="00080476">
        <w:rPr>
          <w:rFonts w:ascii="Verdana" w:hAnsi="Verdana"/>
          <w:bCs/>
          <w:sz w:val="20"/>
          <w:szCs w:val="20"/>
        </w:rPr>
        <w:t xml:space="preserve"> Hukuk ve Uyum departmanlarının</w:t>
      </w:r>
      <w:r w:rsidR="006F08BE">
        <w:rPr>
          <w:rFonts w:ascii="Verdana" w:hAnsi="Verdana"/>
          <w:bCs/>
          <w:sz w:val="20"/>
          <w:szCs w:val="20"/>
        </w:rPr>
        <w:t xml:space="preserve"> </w:t>
      </w:r>
      <w:r w:rsidR="00080476">
        <w:rPr>
          <w:rFonts w:ascii="Verdana" w:hAnsi="Verdana"/>
          <w:bCs/>
          <w:sz w:val="20"/>
          <w:szCs w:val="20"/>
        </w:rPr>
        <w:t>siber risk değerlendirmesine katıldığını görüyoruz. Bölgeler bazında Kuzey Amerika (</w:t>
      </w:r>
      <w:r w:rsidR="006F08BE">
        <w:rPr>
          <w:rFonts w:ascii="Verdana" w:hAnsi="Verdana"/>
          <w:bCs/>
          <w:sz w:val="20"/>
          <w:szCs w:val="20"/>
        </w:rPr>
        <w:t xml:space="preserve">yüzde </w:t>
      </w:r>
      <w:r w:rsidR="00080476">
        <w:rPr>
          <w:rFonts w:ascii="Verdana" w:hAnsi="Verdana"/>
          <w:bCs/>
          <w:sz w:val="20"/>
          <w:szCs w:val="20"/>
        </w:rPr>
        <w:t>46) ve Asya Pasifik’</w:t>
      </w:r>
      <w:r w:rsidR="006F08BE">
        <w:rPr>
          <w:rFonts w:ascii="Verdana" w:hAnsi="Verdana"/>
          <w:bCs/>
          <w:sz w:val="20"/>
          <w:szCs w:val="20"/>
        </w:rPr>
        <w:t>te</w:t>
      </w:r>
      <w:r w:rsidR="00080476">
        <w:rPr>
          <w:rFonts w:ascii="Verdana" w:hAnsi="Verdana"/>
          <w:bCs/>
          <w:sz w:val="20"/>
          <w:szCs w:val="20"/>
        </w:rPr>
        <w:t>ki (</w:t>
      </w:r>
      <w:r w:rsidR="006F08BE">
        <w:rPr>
          <w:rFonts w:ascii="Verdana" w:hAnsi="Verdana"/>
          <w:bCs/>
          <w:sz w:val="20"/>
          <w:szCs w:val="20"/>
        </w:rPr>
        <w:t xml:space="preserve">yüzde </w:t>
      </w:r>
      <w:r w:rsidR="00080476">
        <w:rPr>
          <w:rFonts w:ascii="Verdana" w:hAnsi="Verdana"/>
          <w:bCs/>
          <w:sz w:val="20"/>
          <w:szCs w:val="20"/>
        </w:rPr>
        <w:t xml:space="preserve">55) firmaların </w:t>
      </w:r>
      <w:r w:rsidR="006F08BE">
        <w:rPr>
          <w:rFonts w:ascii="Verdana" w:hAnsi="Verdana"/>
          <w:bCs/>
          <w:sz w:val="20"/>
          <w:szCs w:val="20"/>
        </w:rPr>
        <w:t>Risk</w:t>
      </w:r>
      <w:r w:rsidR="00080476">
        <w:rPr>
          <w:rFonts w:ascii="Verdana" w:hAnsi="Verdana"/>
          <w:bCs/>
          <w:sz w:val="20"/>
          <w:szCs w:val="20"/>
        </w:rPr>
        <w:t xml:space="preserve"> Yönetimi bölümleri siber riskler</w:t>
      </w:r>
      <w:r w:rsidR="006F08BE">
        <w:rPr>
          <w:rFonts w:ascii="Verdana" w:hAnsi="Verdana"/>
          <w:bCs/>
          <w:sz w:val="20"/>
          <w:szCs w:val="20"/>
        </w:rPr>
        <w:t xml:space="preserve"> </w:t>
      </w:r>
      <w:r w:rsidR="00080476">
        <w:rPr>
          <w:rFonts w:ascii="Verdana" w:hAnsi="Verdana"/>
          <w:bCs/>
          <w:sz w:val="20"/>
          <w:szCs w:val="20"/>
        </w:rPr>
        <w:t>konu</w:t>
      </w:r>
      <w:r w:rsidR="006F08BE">
        <w:rPr>
          <w:rFonts w:ascii="Verdana" w:hAnsi="Verdana"/>
          <w:bCs/>
          <w:sz w:val="20"/>
          <w:szCs w:val="20"/>
        </w:rPr>
        <w:t>s</w:t>
      </w:r>
      <w:r w:rsidR="00080476">
        <w:rPr>
          <w:rFonts w:ascii="Verdana" w:hAnsi="Verdana"/>
          <w:bCs/>
          <w:sz w:val="20"/>
          <w:szCs w:val="20"/>
        </w:rPr>
        <w:t>unda aktif</w:t>
      </w:r>
      <w:r w:rsidR="006F08BE">
        <w:rPr>
          <w:rFonts w:ascii="Verdana" w:hAnsi="Verdana"/>
          <w:bCs/>
          <w:sz w:val="20"/>
          <w:szCs w:val="20"/>
        </w:rPr>
        <w:t xml:space="preserve"> olarak</w:t>
      </w:r>
      <w:r w:rsidR="00080476">
        <w:rPr>
          <w:rFonts w:ascii="Verdana" w:hAnsi="Verdana"/>
          <w:bCs/>
          <w:sz w:val="20"/>
          <w:szCs w:val="20"/>
        </w:rPr>
        <w:t xml:space="preserve"> çalışıyorlar. Siber ri</w:t>
      </w:r>
      <w:r w:rsidR="006F08BE">
        <w:rPr>
          <w:rFonts w:ascii="Verdana" w:hAnsi="Verdana"/>
          <w:bCs/>
          <w:sz w:val="20"/>
          <w:szCs w:val="20"/>
        </w:rPr>
        <w:t>s</w:t>
      </w:r>
      <w:r w:rsidR="00080476">
        <w:rPr>
          <w:rFonts w:ascii="Verdana" w:hAnsi="Verdana"/>
          <w:bCs/>
          <w:sz w:val="20"/>
          <w:szCs w:val="20"/>
        </w:rPr>
        <w:t>kler</w:t>
      </w:r>
      <w:r w:rsidR="006F08BE">
        <w:rPr>
          <w:rFonts w:ascii="Verdana" w:hAnsi="Verdana"/>
          <w:bCs/>
          <w:sz w:val="20"/>
          <w:szCs w:val="20"/>
        </w:rPr>
        <w:t>,</w:t>
      </w:r>
      <w:r w:rsidR="00080476">
        <w:rPr>
          <w:rFonts w:ascii="Verdana" w:hAnsi="Verdana"/>
          <w:bCs/>
          <w:sz w:val="20"/>
          <w:szCs w:val="20"/>
        </w:rPr>
        <w:t xml:space="preserve"> küresel bazda </w:t>
      </w:r>
      <w:r w:rsidR="0018407D">
        <w:rPr>
          <w:rFonts w:ascii="Verdana" w:hAnsi="Verdana"/>
          <w:bCs/>
          <w:sz w:val="20"/>
          <w:szCs w:val="20"/>
        </w:rPr>
        <w:t xml:space="preserve">hem 2017 sonuçlarında hem de 2020 öngörülerinde ilk 5 riskten biri olarak değerlendirilirken, Aon Türkiye 2018 Risk Yönetim Anketi’ne katılan Türk yöneticilerin öngördüğü ilk 10 risk arasında yer almıyor. Bu durum, ülkemizde siber suçlara ilişkin farkındalığın </w:t>
      </w:r>
      <w:r w:rsidR="00CD4434">
        <w:rPr>
          <w:rFonts w:ascii="Verdana" w:hAnsi="Verdana"/>
          <w:bCs/>
          <w:sz w:val="20"/>
          <w:szCs w:val="20"/>
        </w:rPr>
        <w:t xml:space="preserve">ve/veya önceliğin </w:t>
      </w:r>
      <w:r w:rsidR="0018407D">
        <w:rPr>
          <w:rFonts w:ascii="Verdana" w:hAnsi="Verdana"/>
          <w:bCs/>
          <w:sz w:val="20"/>
          <w:szCs w:val="20"/>
        </w:rPr>
        <w:t>halen istenilen düzeyde olmadığını gösteriyor. FBI’ın</w:t>
      </w:r>
      <w:r w:rsidR="006F08BE">
        <w:rPr>
          <w:rFonts w:ascii="Verdana" w:hAnsi="Verdana"/>
          <w:bCs/>
          <w:sz w:val="20"/>
          <w:szCs w:val="20"/>
        </w:rPr>
        <w:t xml:space="preserve"> </w:t>
      </w:r>
      <w:r w:rsidR="0018407D">
        <w:rPr>
          <w:rFonts w:ascii="Verdana" w:hAnsi="Verdana"/>
          <w:bCs/>
          <w:sz w:val="20"/>
          <w:szCs w:val="20"/>
        </w:rPr>
        <w:t xml:space="preserve">Siber Suç Raporu, siber saldırıların ulaştığı ciddi boyutun bir sinyali. Bu tür suç trendlerinin öncelikle ABD’de başladığını, zaman içerisinde Avrupa ve Türkiye’ye yayıldığını gözlemliyoruz. </w:t>
      </w:r>
      <w:r w:rsidR="00CB3486">
        <w:rPr>
          <w:rFonts w:ascii="Verdana" w:hAnsi="Verdana"/>
          <w:bCs/>
          <w:sz w:val="20"/>
          <w:szCs w:val="20"/>
        </w:rPr>
        <w:t>Bu rakamlar</w:t>
      </w:r>
      <w:r w:rsidR="00994A3B">
        <w:rPr>
          <w:rFonts w:ascii="Verdana" w:hAnsi="Verdana"/>
          <w:bCs/>
          <w:sz w:val="20"/>
          <w:szCs w:val="20"/>
        </w:rPr>
        <w:t>ın</w:t>
      </w:r>
      <w:r w:rsidR="00CB3486">
        <w:rPr>
          <w:rFonts w:ascii="Verdana" w:hAnsi="Verdana"/>
          <w:bCs/>
          <w:sz w:val="20"/>
          <w:szCs w:val="20"/>
        </w:rPr>
        <w:t xml:space="preserve"> hepimiz için bir uyarı niteliği </w:t>
      </w:r>
      <w:r w:rsidR="00AA00A4">
        <w:rPr>
          <w:rFonts w:ascii="Verdana" w:hAnsi="Verdana"/>
          <w:bCs/>
          <w:sz w:val="20"/>
          <w:szCs w:val="20"/>
        </w:rPr>
        <w:t>taşıdığını düşünüyorum</w:t>
      </w:r>
      <w:r w:rsidR="00CB3486">
        <w:rPr>
          <w:rFonts w:ascii="Verdana" w:hAnsi="Verdana"/>
          <w:bCs/>
          <w:sz w:val="20"/>
          <w:szCs w:val="20"/>
        </w:rPr>
        <w:t>.”</w:t>
      </w:r>
    </w:p>
    <w:p w14:paraId="19608D78" w14:textId="2F8B320B" w:rsidR="00E7175C" w:rsidRPr="00BA2778" w:rsidRDefault="00BA2778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A2778">
        <w:rPr>
          <w:rFonts w:ascii="Verdana" w:hAnsi="Verdana"/>
          <w:b/>
          <w:bCs/>
          <w:sz w:val="20"/>
          <w:szCs w:val="20"/>
        </w:rPr>
        <w:t xml:space="preserve">17 yılda 4 milyon </w:t>
      </w:r>
      <w:r w:rsidR="00042A72" w:rsidRPr="00BA2778">
        <w:rPr>
          <w:rFonts w:ascii="Verdana" w:hAnsi="Verdana"/>
          <w:b/>
          <w:bCs/>
          <w:sz w:val="20"/>
          <w:szCs w:val="20"/>
        </w:rPr>
        <w:t>şikâyet</w:t>
      </w:r>
    </w:p>
    <w:p w14:paraId="0F23E56D" w14:textId="77777777" w:rsidR="009F1F02" w:rsidRDefault="00A072D3" w:rsidP="00C958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</w:t>
      </w:r>
      <w:r w:rsidRPr="00A072D3">
        <w:rPr>
          <w:rFonts w:ascii="Verdana" w:hAnsi="Verdana"/>
          <w:bCs/>
          <w:sz w:val="20"/>
          <w:szCs w:val="20"/>
        </w:rPr>
        <w:t xml:space="preserve">iber tehlikelerin analizi için yeterli bilgi havuzunun oluşturulması </w:t>
      </w:r>
      <w:r>
        <w:rPr>
          <w:rFonts w:ascii="Verdana" w:hAnsi="Verdana"/>
          <w:bCs/>
          <w:sz w:val="20"/>
          <w:szCs w:val="20"/>
        </w:rPr>
        <w:t xml:space="preserve">siber suçlarla mücadelede kilit rol oynuyor. Bu amaçla 2000 yılında </w:t>
      </w:r>
      <w:r w:rsidRPr="00A072D3">
        <w:rPr>
          <w:rFonts w:ascii="Verdana" w:hAnsi="Verdana"/>
          <w:bCs/>
          <w:sz w:val="20"/>
          <w:szCs w:val="20"/>
        </w:rPr>
        <w:t>Amerikan Federal Polisi FBI’</w:t>
      </w:r>
      <w:r>
        <w:rPr>
          <w:rFonts w:ascii="Verdana" w:hAnsi="Verdana"/>
          <w:bCs/>
          <w:sz w:val="20"/>
          <w:szCs w:val="20"/>
        </w:rPr>
        <w:t xml:space="preserve">a bağlı olarak kurulan İnternet Suçları </w:t>
      </w:r>
      <w:r w:rsidR="00042A72">
        <w:rPr>
          <w:rFonts w:ascii="Verdana" w:hAnsi="Verdana"/>
          <w:bCs/>
          <w:sz w:val="20"/>
          <w:szCs w:val="20"/>
        </w:rPr>
        <w:t>Şikâyet</w:t>
      </w:r>
      <w:r>
        <w:rPr>
          <w:rFonts w:ascii="Verdana" w:hAnsi="Verdana"/>
          <w:bCs/>
          <w:sz w:val="20"/>
          <w:szCs w:val="20"/>
        </w:rPr>
        <w:t xml:space="preserve"> Merkezi (IC3) </w:t>
      </w:r>
      <w:r w:rsidRPr="00A072D3">
        <w:rPr>
          <w:rFonts w:ascii="Verdana" w:hAnsi="Verdana"/>
          <w:bCs/>
          <w:sz w:val="20"/>
          <w:szCs w:val="20"/>
        </w:rPr>
        <w:t>topladığı siber istihbaratı, kamuoyunda farkındalığı artırmaktan uluslararası operasyonlarda işlevsel hale getirmeye kadar birçok alanda kullanılmak üzere ilgili devlet kurumlarıyla paylaşıyor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A072D3">
        <w:rPr>
          <w:rFonts w:ascii="Verdana" w:hAnsi="Verdana"/>
          <w:bCs/>
          <w:sz w:val="20"/>
          <w:szCs w:val="20"/>
        </w:rPr>
        <w:t xml:space="preserve">Amerikan Federal Polisi FBI’ın yayınladığı İnternet Suç Raporu, FBI’a bağlı İnternet Suçları </w:t>
      </w:r>
      <w:r w:rsidR="00042A72" w:rsidRPr="00A072D3">
        <w:rPr>
          <w:rFonts w:ascii="Verdana" w:hAnsi="Verdana"/>
          <w:bCs/>
          <w:sz w:val="20"/>
          <w:szCs w:val="20"/>
        </w:rPr>
        <w:t>Şikâyet</w:t>
      </w:r>
      <w:r w:rsidRPr="00A072D3">
        <w:rPr>
          <w:rFonts w:ascii="Verdana" w:hAnsi="Verdana"/>
          <w:bCs/>
          <w:sz w:val="20"/>
          <w:szCs w:val="20"/>
        </w:rPr>
        <w:t xml:space="preserve"> Merkezi (IC3)’ne, 2017 yılında siber saldırganların faaliyetlerinden etkilenen kişi ve/veya kurumdan gelen </w:t>
      </w:r>
      <w:r w:rsidRPr="00A072D3">
        <w:rPr>
          <w:rFonts w:ascii="Verdana" w:hAnsi="Verdana"/>
          <w:b/>
          <w:bCs/>
          <w:sz w:val="20"/>
          <w:szCs w:val="20"/>
        </w:rPr>
        <w:t xml:space="preserve">301 bin 580 </w:t>
      </w:r>
      <w:r w:rsidR="00042A72" w:rsidRPr="00A072D3">
        <w:rPr>
          <w:rFonts w:ascii="Verdana" w:hAnsi="Verdana"/>
          <w:bCs/>
          <w:sz w:val="20"/>
          <w:szCs w:val="20"/>
        </w:rPr>
        <w:t>şikâyet</w:t>
      </w:r>
      <w:r w:rsidRPr="00A072D3">
        <w:rPr>
          <w:rFonts w:ascii="Verdana" w:hAnsi="Verdana"/>
          <w:bCs/>
          <w:sz w:val="20"/>
          <w:szCs w:val="20"/>
        </w:rPr>
        <w:t xml:space="preserve"> sonucunda</w:t>
      </w:r>
      <w:r w:rsidRPr="00A072D3">
        <w:rPr>
          <w:rFonts w:ascii="Verdana" w:hAnsi="Verdana"/>
          <w:b/>
          <w:bCs/>
          <w:sz w:val="20"/>
          <w:szCs w:val="20"/>
        </w:rPr>
        <w:t> 1,4 milyar dolarlık</w:t>
      </w:r>
      <w:r w:rsidRPr="00A072D3">
        <w:rPr>
          <w:rFonts w:ascii="Verdana" w:hAnsi="Verdana"/>
          <w:bCs/>
          <w:sz w:val="20"/>
          <w:szCs w:val="20"/>
        </w:rPr>
        <w:t> bir maddi kayıp meydana geldiğini ortaya koyuyor</w:t>
      </w:r>
      <w:r>
        <w:rPr>
          <w:rFonts w:ascii="Verdana" w:hAnsi="Verdana"/>
          <w:bCs/>
          <w:sz w:val="20"/>
          <w:szCs w:val="20"/>
        </w:rPr>
        <w:t xml:space="preserve">. Kurulduğu 2000 yılından 2017 yılına kadar ise IC3’ye toplamda </w:t>
      </w:r>
      <w:r w:rsidRPr="006B4E42">
        <w:rPr>
          <w:rFonts w:ascii="Verdana" w:hAnsi="Verdana"/>
          <w:b/>
          <w:bCs/>
          <w:sz w:val="20"/>
          <w:szCs w:val="20"/>
        </w:rPr>
        <w:t>4 milyon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42A72">
        <w:rPr>
          <w:rFonts w:ascii="Verdana" w:hAnsi="Verdana"/>
          <w:bCs/>
          <w:sz w:val="20"/>
          <w:szCs w:val="20"/>
        </w:rPr>
        <w:t>şikâyet</w:t>
      </w:r>
      <w:r>
        <w:rPr>
          <w:rFonts w:ascii="Verdana" w:hAnsi="Verdana"/>
          <w:bCs/>
          <w:sz w:val="20"/>
          <w:szCs w:val="20"/>
        </w:rPr>
        <w:t xml:space="preserve"> başvurusu yapılmış. 17 yılda 4 milyon </w:t>
      </w:r>
      <w:r w:rsidR="00042A72">
        <w:rPr>
          <w:rFonts w:ascii="Verdana" w:hAnsi="Verdana"/>
          <w:bCs/>
          <w:sz w:val="20"/>
          <w:szCs w:val="20"/>
        </w:rPr>
        <w:t>şikâyet</w:t>
      </w:r>
      <w:r>
        <w:rPr>
          <w:rFonts w:ascii="Verdana" w:hAnsi="Verdana"/>
          <w:bCs/>
          <w:sz w:val="20"/>
          <w:szCs w:val="20"/>
        </w:rPr>
        <w:t xml:space="preserve"> bildirimine sebep olan siber suçların</w:t>
      </w:r>
      <w:r w:rsidR="006B4E42">
        <w:rPr>
          <w:rFonts w:ascii="Verdana" w:hAnsi="Verdana"/>
          <w:bCs/>
          <w:sz w:val="20"/>
          <w:szCs w:val="20"/>
        </w:rPr>
        <w:t xml:space="preserve"> önlenebilmesi için saldırıya uğrayan kişi ve/veya kurumların bildirimde bulunması kritik önem arz ediyor. </w:t>
      </w:r>
    </w:p>
    <w:p w14:paraId="0314D25D" w14:textId="5F30C6F7" w:rsidR="009F1F02" w:rsidRPr="009F1F02" w:rsidRDefault="009F1F02" w:rsidP="00C9586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F1F02">
        <w:rPr>
          <w:rFonts w:ascii="Verdana" w:hAnsi="Verdana"/>
          <w:b/>
          <w:bCs/>
          <w:sz w:val="20"/>
          <w:szCs w:val="20"/>
        </w:rPr>
        <w:t xml:space="preserve">Siber suçlarla mücadelede anahtar kelime işbirliği </w:t>
      </w:r>
    </w:p>
    <w:p w14:paraId="6401D87D" w14:textId="3D562CED" w:rsidR="009F1F02" w:rsidRDefault="0026755A" w:rsidP="00C958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Türkiye’de de </w:t>
      </w:r>
      <w:r w:rsidR="006F08BE">
        <w:rPr>
          <w:rFonts w:ascii="Verdana" w:hAnsi="Verdana"/>
          <w:bCs/>
          <w:sz w:val="20"/>
          <w:szCs w:val="20"/>
        </w:rPr>
        <w:t>Emniyet</w:t>
      </w:r>
      <w:r>
        <w:rPr>
          <w:rFonts w:ascii="Verdana" w:hAnsi="Verdana"/>
          <w:bCs/>
          <w:sz w:val="20"/>
          <w:szCs w:val="20"/>
        </w:rPr>
        <w:t xml:space="preserve"> Genel Müdürlüğü bünyesinde faaliyet gösteren </w:t>
      </w:r>
      <w:r w:rsidRPr="0026755A">
        <w:rPr>
          <w:rFonts w:ascii="Verdana" w:hAnsi="Verdana"/>
          <w:bCs/>
          <w:sz w:val="20"/>
          <w:szCs w:val="20"/>
        </w:rPr>
        <w:t>Siber Suçlarla Mücadele Daire Başkanlığı</w:t>
      </w:r>
      <w:r w:rsidR="006F08BE">
        <w:rPr>
          <w:rFonts w:ascii="Verdana" w:hAnsi="Verdana"/>
          <w:bCs/>
          <w:sz w:val="20"/>
          <w:szCs w:val="20"/>
        </w:rPr>
        <w:t xml:space="preserve"> siber suçlarla mücadele</w:t>
      </w:r>
      <w:r>
        <w:rPr>
          <w:rFonts w:ascii="Verdana" w:hAnsi="Verdana"/>
          <w:bCs/>
          <w:sz w:val="20"/>
          <w:szCs w:val="20"/>
        </w:rPr>
        <w:t xml:space="preserve"> çalışmalarını sürdür</w:t>
      </w:r>
      <w:r w:rsidR="006F08BE">
        <w:rPr>
          <w:rFonts w:ascii="Verdana" w:hAnsi="Verdana"/>
          <w:bCs/>
          <w:sz w:val="20"/>
          <w:szCs w:val="20"/>
        </w:rPr>
        <w:t>ü</w:t>
      </w:r>
      <w:r w:rsidR="009F1F02">
        <w:rPr>
          <w:rFonts w:ascii="Verdana" w:hAnsi="Verdana"/>
          <w:bCs/>
          <w:sz w:val="20"/>
          <w:szCs w:val="20"/>
        </w:rPr>
        <w:t>yor.</w:t>
      </w:r>
      <w:r>
        <w:rPr>
          <w:rFonts w:ascii="Verdana" w:hAnsi="Verdana"/>
          <w:bCs/>
          <w:sz w:val="20"/>
          <w:szCs w:val="20"/>
        </w:rPr>
        <w:t xml:space="preserve"> Selda Oknas</w:t>
      </w:r>
      <w:r w:rsidR="00B76DAB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F1F02">
        <w:rPr>
          <w:rFonts w:ascii="Verdana" w:hAnsi="Verdana"/>
          <w:bCs/>
          <w:sz w:val="20"/>
          <w:szCs w:val="20"/>
        </w:rPr>
        <w:t xml:space="preserve">siber suçlarla </w:t>
      </w:r>
      <w:r>
        <w:rPr>
          <w:rFonts w:ascii="Verdana" w:hAnsi="Verdana"/>
          <w:bCs/>
          <w:sz w:val="20"/>
          <w:szCs w:val="20"/>
        </w:rPr>
        <w:t>etkin mücadele</w:t>
      </w:r>
      <w:r w:rsidR="009F1F02">
        <w:rPr>
          <w:rFonts w:ascii="Verdana" w:hAnsi="Verdana"/>
          <w:bCs/>
          <w:sz w:val="20"/>
          <w:szCs w:val="20"/>
        </w:rPr>
        <w:t>de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F1F02">
        <w:rPr>
          <w:rFonts w:ascii="Verdana" w:hAnsi="Verdana"/>
          <w:bCs/>
          <w:sz w:val="20"/>
          <w:szCs w:val="20"/>
        </w:rPr>
        <w:t xml:space="preserve">bu tür kurumlarla </w:t>
      </w:r>
      <w:proofErr w:type="gramStart"/>
      <w:r w:rsidR="009F1F02">
        <w:rPr>
          <w:rFonts w:ascii="Verdana" w:hAnsi="Verdana"/>
          <w:bCs/>
          <w:sz w:val="20"/>
          <w:szCs w:val="20"/>
        </w:rPr>
        <w:t>işbirliğinin</w:t>
      </w:r>
      <w:proofErr w:type="gramEnd"/>
      <w:r w:rsidR="009F1F02">
        <w:rPr>
          <w:rFonts w:ascii="Verdana" w:hAnsi="Verdana"/>
          <w:bCs/>
          <w:sz w:val="20"/>
          <w:szCs w:val="20"/>
        </w:rPr>
        <w:t xml:space="preserve"> önemini </w:t>
      </w:r>
      <w:r>
        <w:rPr>
          <w:rFonts w:ascii="Verdana" w:hAnsi="Verdana"/>
          <w:bCs/>
          <w:sz w:val="20"/>
          <w:szCs w:val="20"/>
        </w:rPr>
        <w:t>vurgul</w:t>
      </w:r>
      <w:r w:rsidR="009F1F02">
        <w:rPr>
          <w:rFonts w:ascii="Verdana" w:hAnsi="Verdana"/>
          <w:bCs/>
          <w:sz w:val="20"/>
          <w:szCs w:val="20"/>
        </w:rPr>
        <w:t>ayarak şunları söyledi</w:t>
      </w:r>
      <w:r>
        <w:rPr>
          <w:rFonts w:ascii="Verdana" w:hAnsi="Verdana"/>
          <w:bCs/>
          <w:sz w:val="20"/>
          <w:szCs w:val="20"/>
        </w:rPr>
        <w:t xml:space="preserve">: “Firmalar başlarına bir </w:t>
      </w:r>
      <w:r w:rsidR="009F1F02">
        <w:rPr>
          <w:rFonts w:ascii="Verdana" w:hAnsi="Verdana"/>
          <w:bCs/>
          <w:sz w:val="20"/>
          <w:szCs w:val="20"/>
        </w:rPr>
        <w:t>saldırı</w:t>
      </w:r>
      <w:r>
        <w:rPr>
          <w:rFonts w:ascii="Verdana" w:hAnsi="Verdana"/>
          <w:bCs/>
          <w:sz w:val="20"/>
          <w:szCs w:val="20"/>
        </w:rPr>
        <w:t xml:space="preserve"> geldiği zaman, itibar kaybı riskini göz önüne alarak </w:t>
      </w:r>
      <w:r w:rsidR="009F1F02">
        <w:rPr>
          <w:rFonts w:ascii="Verdana" w:hAnsi="Verdana"/>
          <w:bCs/>
          <w:sz w:val="20"/>
          <w:szCs w:val="20"/>
        </w:rPr>
        <w:t xml:space="preserve">çoğu kez </w:t>
      </w:r>
      <w:r>
        <w:rPr>
          <w:rFonts w:ascii="Verdana" w:hAnsi="Verdana"/>
          <w:bCs/>
          <w:sz w:val="20"/>
          <w:szCs w:val="20"/>
        </w:rPr>
        <w:t>bunu gizli tutma</w:t>
      </w:r>
      <w:r w:rsidR="009F1F02">
        <w:rPr>
          <w:rFonts w:ascii="Verdana" w:hAnsi="Verdana"/>
          <w:bCs/>
          <w:sz w:val="20"/>
          <w:szCs w:val="20"/>
        </w:rPr>
        <w:t>yı tercih ediyor</w:t>
      </w:r>
      <w:r>
        <w:rPr>
          <w:rFonts w:ascii="Verdana" w:hAnsi="Verdana"/>
          <w:bCs/>
          <w:sz w:val="20"/>
          <w:szCs w:val="20"/>
        </w:rPr>
        <w:t>.</w:t>
      </w:r>
      <w:r w:rsidR="009F1F02">
        <w:rPr>
          <w:rFonts w:ascii="Verdana" w:hAnsi="Verdana"/>
          <w:bCs/>
          <w:sz w:val="20"/>
          <w:szCs w:val="20"/>
        </w:rPr>
        <w:t xml:space="preserve"> Ancak, durum ne olursa olsun, </w:t>
      </w:r>
      <w:r>
        <w:rPr>
          <w:rFonts w:ascii="Verdana" w:hAnsi="Verdana"/>
          <w:bCs/>
          <w:sz w:val="20"/>
          <w:szCs w:val="20"/>
        </w:rPr>
        <w:t xml:space="preserve">mutlaka yasal merciler devreye sokulmalı. En azından </w:t>
      </w:r>
      <w:hyperlink r:id="rId5" w:history="1">
        <w:r w:rsidR="009F1F02" w:rsidRPr="000D5A62">
          <w:rPr>
            <w:rStyle w:val="Kpr"/>
            <w:rFonts w:ascii="Verdana" w:hAnsi="Verdana"/>
            <w:bCs/>
            <w:sz w:val="20"/>
            <w:szCs w:val="20"/>
          </w:rPr>
          <w:t>siber@egm.gov.tr</w:t>
        </w:r>
      </w:hyperlink>
      <w:r w:rsidR="009F1F0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adresine </w:t>
      </w:r>
      <w:r w:rsidR="009F1F02">
        <w:rPr>
          <w:rFonts w:ascii="Verdana" w:hAnsi="Verdana"/>
          <w:bCs/>
          <w:sz w:val="20"/>
          <w:szCs w:val="20"/>
        </w:rPr>
        <w:t xml:space="preserve">gönderilecek </w:t>
      </w:r>
      <w:r>
        <w:rPr>
          <w:rFonts w:ascii="Verdana" w:hAnsi="Verdana"/>
          <w:bCs/>
          <w:sz w:val="20"/>
          <w:szCs w:val="20"/>
        </w:rPr>
        <w:t>bir e</w:t>
      </w:r>
      <w:r w:rsidR="009F1F02">
        <w:rPr>
          <w:rFonts w:ascii="Verdana" w:hAnsi="Verdana"/>
          <w:bCs/>
          <w:sz w:val="20"/>
          <w:szCs w:val="20"/>
        </w:rPr>
        <w:t>-</w:t>
      </w:r>
      <w:r w:rsidR="009F1F02">
        <w:rPr>
          <w:rFonts w:ascii="Verdana" w:hAnsi="Verdana"/>
          <w:bCs/>
          <w:sz w:val="20"/>
          <w:szCs w:val="20"/>
        </w:rPr>
        <w:lastRenderedPageBreak/>
        <w:t>posta</w:t>
      </w:r>
      <w:r>
        <w:rPr>
          <w:rFonts w:ascii="Verdana" w:hAnsi="Verdana"/>
          <w:bCs/>
          <w:sz w:val="20"/>
          <w:szCs w:val="20"/>
        </w:rPr>
        <w:t xml:space="preserve"> ile Emniyet Genel Müdürlüğü haberdar edilmeli. Saldırı sonrası adli analiz</w:t>
      </w:r>
      <w:r w:rsidR="009F1F02">
        <w:rPr>
          <w:rFonts w:ascii="Verdana" w:hAnsi="Verdana"/>
          <w:bCs/>
          <w:sz w:val="20"/>
          <w:szCs w:val="20"/>
        </w:rPr>
        <w:t xml:space="preserve"> de</w:t>
      </w:r>
      <w:r>
        <w:rPr>
          <w:rFonts w:ascii="Verdana" w:hAnsi="Verdana"/>
          <w:bCs/>
          <w:sz w:val="20"/>
          <w:szCs w:val="20"/>
        </w:rPr>
        <w:t xml:space="preserve"> önemli bir konu. </w:t>
      </w:r>
      <w:r w:rsidR="009F1F02">
        <w:rPr>
          <w:rFonts w:ascii="Verdana" w:hAnsi="Verdana"/>
          <w:bCs/>
          <w:sz w:val="20"/>
          <w:szCs w:val="20"/>
        </w:rPr>
        <w:t>Saldırı sonrasında i</w:t>
      </w:r>
      <w:r>
        <w:rPr>
          <w:rFonts w:ascii="Verdana" w:hAnsi="Verdana"/>
          <w:bCs/>
          <w:sz w:val="20"/>
          <w:szCs w:val="20"/>
        </w:rPr>
        <w:t xml:space="preserve">ş kesintisi endişesine düşen </w:t>
      </w:r>
      <w:r w:rsidR="009F1F02">
        <w:rPr>
          <w:rFonts w:ascii="Verdana" w:hAnsi="Verdana"/>
          <w:bCs/>
          <w:sz w:val="20"/>
          <w:szCs w:val="20"/>
        </w:rPr>
        <w:t>yöneticiler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F1F02">
        <w:rPr>
          <w:rFonts w:ascii="Verdana" w:hAnsi="Verdana"/>
          <w:bCs/>
          <w:sz w:val="20"/>
          <w:szCs w:val="20"/>
        </w:rPr>
        <w:t xml:space="preserve">hem </w:t>
      </w:r>
      <w:r>
        <w:rPr>
          <w:rFonts w:ascii="Verdana" w:hAnsi="Verdana"/>
          <w:bCs/>
          <w:sz w:val="20"/>
          <w:szCs w:val="20"/>
        </w:rPr>
        <w:t xml:space="preserve">delil </w:t>
      </w:r>
      <w:r w:rsidR="009F1F02">
        <w:rPr>
          <w:rFonts w:ascii="Verdana" w:hAnsi="Verdana"/>
          <w:bCs/>
          <w:sz w:val="20"/>
          <w:szCs w:val="20"/>
        </w:rPr>
        <w:t xml:space="preserve">olarak hem de </w:t>
      </w:r>
      <w:r>
        <w:rPr>
          <w:rFonts w:ascii="Verdana" w:hAnsi="Verdana"/>
          <w:bCs/>
          <w:sz w:val="20"/>
          <w:szCs w:val="20"/>
        </w:rPr>
        <w:t>daha sonraki saldırıları</w:t>
      </w:r>
      <w:r w:rsidR="00B76DAB"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 xml:space="preserve">önlemek için kullanılabilecek </w:t>
      </w:r>
      <w:r w:rsidR="009F1F02">
        <w:rPr>
          <w:rFonts w:ascii="Verdana" w:hAnsi="Verdana"/>
          <w:bCs/>
          <w:sz w:val="20"/>
          <w:szCs w:val="20"/>
        </w:rPr>
        <w:t>bulguları</w:t>
      </w:r>
      <w:r>
        <w:rPr>
          <w:rFonts w:ascii="Verdana" w:hAnsi="Verdana"/>
          <w:bCs/>
          <w:sz w:val="20"/>
          <w:szCs w:val="20"/>
        </w:rPr>
        <w:t xml:space="preserve"> toplamayı ihmal edebiliyor. Halbuki </w:t>
      </w:r>
      <w:r w:rsidR="009F1F02">
        <w:rPr>
          <w:rFonts w:ascii="Verdana" w:hAnsi="Verdana"/>
          <w:bCs/>
          <w:sz w:val="20"/>
          <w:szCs w:val="20"/>
        </w:rPr>
        <w:t>siber saldırı sonucu ortaya çıkacak</w:t>
      </w:r>
      <w:r>
        <w:rPr>
          <w:rFonts w:ascii="Verdana" w:hAnsi="Verdana"/>
          <w:bCs/>
          <w:sz w:val="20"/>
          <w:szCs w:val="20"/>
        </w:rPr>
        <w:t xml:space="preserve"> maliyetler sigortalanabilir maliyetler ve uzun vadede siber direncin artmasını s</w:t>
      </w:r>
      <w:r w:rsidR="009F1F02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ğlayacak önemli </w:t>
      </w:r>
      <w:r w:rsidR="009F1F02">
        <w:rPr>
          <w:rFonts w:ascii="Verdana" w:hAnsi="Verdana"/>
          <w:bCs/>
          <w:sz w:val="20"/>
          <w:szCs w:val="20"/>
        </w:rPr>
        <w:t>bir konu.</w:t>
      </w:r>
      <w:r w:rsidR="00CD4434">
        <w:rPr>
          <w:rFonts w:ascii="Verdana" w:hAnsi="Verdana"/>
          <w:bCs/>
          <w:sz w:val="20"/>
          <w:szCs w:val="20"/>
        </w:rPr>
        <w:t>”</w:t>
      </w:r>
    </w:p>
    <w:p w14:paraId="0F4600D4" w14:textId="08D7A59B" w:rsidR="009F1F02" w:rsidRPr="009F1F02" w:rsidRDefault="009F1F02" w:rsidP="00C9586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F1F02">
        <w:rPr>
          <w:rFonts w:ascii="Verdana" w:hAnsi="Verdana"/>
          <w:b/>
          <w:bCs/>
          <w:sz w:val="20"/>
          <w:szCs w:val="20"/>
        </w:rPr>
        <w:t>Türkiye’de siber saldırı endişesi Anadolu’da daha yaygın</w:t>
      </w:r>
    </w:p>
    <w:p w14:paraId="2B084749" w14:textId="1C6E15FF" w:rsidR="00A072D3" w:rsidRDefault="009F1F02" w:rsidP="00C958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Selda Oknas</w:t>
      </w:r>
      <w:r w:rsidR="002F4E55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Türkiye’nin siber riskler karşısındaki</w:t>
      </w:r>
      <w:r w:rsidR="00A834AF">
        <w:rPr>
          <w:rFonts w:ascii="Verdana" w:hAnsi="Verdana"/>
          <w:bCs/>
          <w:sz w:val="20"/>
          <w:szCs w:val="20"/>
        </w:rPr>
        <w:t xml:space="preserve"> durumu hakkında da önemli paylaşımlar</w:t>
      </w:r>
      <w:r w:rsidR="00CD4434">
        <w:rPr>
          <w:rFonts w:ascii="Verdana" w:hAnsi="Verdana"/>
          <w:bCs/>
          <w:sz w:val="20"/>
          <w:szCs w:val="20"/>
        </w:rPr>
        <w:t>d</w:t>
      </w:r>
      <w:r w:rsidR="00A834AF">
        <w:rPr>
          <w:rFonts w:ascii="Verdana" w:hAnsi="Verdana"/>
          <w:bCs/>
          <w:sz w:val="20"/>
          <w:szCs w:val="20"/>
        </w:rPr>
        <w:t>a bulundu. Oknas, “</w:t>
      </w:r>
      <w:r w:rsidR="00C95869">
        <w:rPr>
          <w:rFonts w:ascii="Verdana" w:hAnsi="Verdana"/>
          <w:bCs/>
          <w:sz w:val="20"/>
          <w:szCs w:val="20"/>
        </w:rPr>
        <w:t xml:space="preserve">Aon Türkiye bünyesinde yaptığımız bir araştırmada, Google Trends verilerini kullanarak il </w:t>
      </w:r>
      <w:r>
        <w:rPr>
          <w:rFonts w:ascii="Verdana" w:hAnsi="Verdana"/>
          <w:bCs/>
          <w:sz w:val="20"/>
          <w:szCs w:val="20"/>
        </w:rPr>
        <w:t xml:space="preserve">bazında </w:t>
      </w:r>
      <w:r w:rsidR="00C95869">
        <w:rPr>
          <w:rFonts w:ascii="Verdana" w:hAnsi="Verdana"/>
          <w:bCs/>
          <w:sz w:val="20"/>
          <w:szCs w:val="20"/>
        </w:rPr>
        <w:t>siber vaka dağılımın</w:t>
      </w:r>
      <w:r w:rsidR="00A834AF">
        <w:rPr>
          <w:rFonts w:ascii="Verdana" w:hAnsi="Verdana"/>
          <w:bCs/>
          <w:sz w:val="20"/>
          <w:szCs w:val="20"/>
        </w:rPr>
        <w:t xml:space="preserve">ı inceledik. Elde ettiğimiz veriler </w:t>
      </w:r>
      <w:r w:rsidR="00C95869">
        <w:rPr>
          <w:rFonts w:ascii="Verdana" w:hAnsi="Verdana"/>
          <w:bCs/>
          <w:sz w:val="20"/>
          <w:szCs w:val="20"/>
        </w:rPr>
        <w:t>sorunun veya endişenin sadece İstanbul, Ankara, İzmir gibi büyük metropollerle sınırlı kalmadığını</w:t>
      </w:r>
      <w:r w:rsidR="00A834AF">
        <w:rPr>
          <w:rFonts w:ascii="Verdana" w:hAnsi="Verdana"/>
          <w:bCs/>
          <w:sz w:val="20"/>
          <w:szCs w:val="20"/>
        </w:rPr>
        <w:t xml:space="preserve"> bize gösterdi</w:t>
      </w:r>
      <w:r w:rsidR="00C95869">
        <w:rPr>
          <w:rFonts w:ascii="Verdana" w:hAnsi="Verdana"/>
          <w:bCs/>
          <w:sz w:val="20"/>
          <w:szCs w:val="20"/>
        </w:rPr>
        <w:t>. Gelişmiş metropoller ve ş</w:t>
      </w:r>
      <w:r w:rsidR="00C95869" w:rsidRPr="00C95869">
        <w:rPr>
          <w:rFonts w:ascii="Verdana" w:hAnsi="Verdana"/>
          <w:bCs/>
          <w:sz w:val="20"/>
          <w:szCs w:val="20"/>
        </w:rPr>
        <w:t xml:space="preserve">ehirlerin </w:t>
      </w:r>
      <w:r w:rsidRPr="00C95869">
        <w:rPr>
          <w:rFonts w:ascii="Verdana" w:hAnsi="Verdana"/>
          <w:bCs/>
          <w:sz w:val="20"/>
          <w:szCs w:val="20"/>
        </w:rPr>
        <w:t>ya</w:t>
      </w:r>
      <w:r>
        <w:rPr>
          <w:rFonts w:ascii="Verdana" w:hAnsi="Verdana"/>
          <w:bCs/>
          <w:sz w:val="20"/>
          <w:szCs w:val="20"/>
        </w:rPr>
        <w:t>nı sıra</w:t>
      </w:r>
      <w:r w:rsidR="00C95869">
        <w:rPr>
          <w:rFonts w:ascii="Verdana" w:hAnsi="Verdana"/>
          <w:bCs/>
          <w:sz w:val="20"/>
          <w:szCs w:val="20"/>
        </w:rPr>
        <w:t>, Anadolu ve Doğ</w:t>
      </w:r>
      <w:r w:rsidR="00C95869" w:rsidRPr="00C95869">
        <w:rPr>
          <w:rFonts w:ascii="Verdana" w:hAnsi="Verdana"/>
          <w:bCs/>
          <w:sz w:val="20"/>
          <w:szCs w:val="20"/>
        </w:rPr>
        <w:t>u Anadolu'</w:t>
      </w:r>
      <w:r w:rsidR="00A834AF">
        <w:rPr>
          <w:rFonts w:ascii="Verdana" w:hAnsi="Verdana"/>
          <w:bCs/>
          <w:sz w:val="20"/>
          <w:szCs w:val="20"/>
        </w:rPr>
        <w:t xml:space="preserve">daki </w:t>
      </w:r>
      <w:r w:rsidR="00C95869">
        <w:rPr>
          <w:rFonts w:ascii="Verdana" w:hAnsi="Verdana"/>
          <w:bCs/>
          <w:sz w:val="20"/>
          <w:szCs w:val="20"/>
        </w:rPr>
        <w:t>ş</w:t>
      </w:r>
      <w:r w:rsidR="00C95869" w:rsidRPr="00C95869">
        <w:rPr>
          <w:rFonts w:ascii="Verdana" w:hAnsi="Verdana"/>
          <w:bCs/>
          <w:sz w:val="20"/>
          <w:szCs w:val="20"/>
        </w:rPr>
        <w:t xml:space="preserve">ehirlerimizde de </w:t>
      </w:r>
      <w:r w:rsidR="00C95869">
        <w:rPr>
          <w:rFonts w:ascii="Verdana" w:hAnsi="Verdana"/>
          <w:bCs/>
          <w:sz w:val="20"/>
          <w:szCs w:val="20"/>
        </w:rPr>
        <w:t>s</w:t>
      </w:r>
      <w:r w:rsidR="00C95869" w:rsidRPr="00C95869">
        <w:rPr>
          <w:rFonts w:ascii="Verdana" w:hAnsi="Verdana"/>
          <w:bCs/>
          <w:sz w:val="20"/>
          <w:szCs w:val="20"/>
        </w:rPr>
        <w:t>iber sald</w:t>
      </w:r>
      <w:r w:rsidR="00C95869">
        <w:rPr>
          <w:rFonts w:ascii="Verdana" w:hAnsi="Verdana"/>
          <w:bCs/>
          <w:sz w:val="20"/>
          <w:szCs w:val="20"/>
        </w:rPr>
        <w:t>ırı</w:t>
      </w:r>
      <w:r w:rsidR="00C95869" w:rsidRPr="00C95869">
        <w:rPr>
          <w:rFonts w:ascii="Verdana" w:hAnsi="Verdana"/>
          <w:bCs/>
          <w:sz w:val="20"/>
          <w:szCs w:val="20"/>
        </w:rPr>
        <w:t xml:space="preserve"> ku</w:t>
      </w:r>
      <w:r w:rsidR="00C95869">
        <w:rPr>
          <w:rFonts w:ascii="Verdana" w:hAnsi="Verdana"/>
          <w:bCs/>
          <w:sz w:val="20"/>
          <w:szCs w:val="20"/>
        </w:rPr>
        <w:t>şkusu</w:t>
      </w:r>
      <w:r w:rsidR="00C95869" w:rsidRPr="00C95869">
        <w:rPr>
          <w:rFonts w:ascii="Verdana" w:hAnsi="Verdana"/>
          <w:bCs/>
          <w:sz w:val="20"/>
          <w:szCs w:val="20"/>
        </w:rPr>
        <w:t xml:space="preserve"> ile </w:t>
      </w:r>
      <w:r w:rsidR="00C95869">
        <w:rPr>
          <w:rFonts w:ascii="Verdana" w:hAnsi="Verdana"/>
          <w:bCs/>
          <w:sz w:val="20"/>
          <w:szCs w:val="20"/>
        </w:rPr>
        <w:t xml:space="preserve">sık sık </w:t>
      </w:r>
      <w:r w:rsidR="00C95869" w:rsidRPr="00C95869">
        <w:rPr>
          <w:rFonts w:ascii="Verdana" w:hAnsi="Verdana"/>
          <w:bCs/>
          <w:sz w:val="20"/>
          <w:szCs w:val="20"/>
        </w:rPr>
        <w:t xml:space="preserve">internetten </w:t>
      </w:r>
      <w:r w:rsidR="00A834AF">
        <w:rPr>
          <w:rFonts w:ascii="Verdana" w:hAnsi="Verdana"/>
          <w:bCs/>
          <w:sz w:val="20"/>
          <w:szCs w:val="20"/>
        </w:rPr>
        <w:t>‘</w:t>
      </w:r>
      <w:r w:rsidR="00C95869" w:rsidRPr="00C95869">
        <w:rPr>
          <w:rFonts w:ascii="Verdana" w:hAnsi="Verdana"/>
          <w:bCs/>
          <w:sz w:val="20"/>
          <w:szCs w:val="20"/>
        </w:rPr>
        <w:t>siber ihbar</w:t>
      </w:r>
      <w:r w:rsidR="00A834AF">
        <w:rPr>
          <w:rFonts w:ascii="Verdana" w:hAnsi="Verdana"/>
          <w:bCs/>
          <w:sz w:val="20"/>
          <w:szCs w:val="20"/>
        </w:rPr>
        <w:t>’</w:t>
      </w:r>
      <w:r w:rsidR="00C95869" w:rsidRPr="00C95869">
        <w:rPr>
          <w:rFonts w:ascii="Verdana" w:hAnsi="Verdana"/>
          <w:bCs/>
          <w:sz w:val="20"/>
          <w:szCs w:val="20"/>
        </w:rPr>
        <w:t xml:space="preserve"> aramas</w:t>
      </w:r>
      <w:r w:rsidR="00C95869">
        <w:rPr>
          <w:rFonts w:ascii="Verdana" w:hAnsi="Verdana"/>
          <w:bCs/>
          <w:sz w:val="20"/>
          <w:szCs w:val="20"/>
        </w:rPr>
        <w:t>ı</w:t>
      </w:r>
      <w:r w:rsidR="00C95869" w:rsidRPr="00C95869">
        <w:rPr>
          <w:rFonts w:ascii="Verdana" w:hAnsi="Verdana"/>
          <w:bCs/>
          <w:sz w:val="20"/>
          <w:szCs w:val="20"/>
        </w:rPr>
        <w:t xml:space="preserve"> yap</w:t>
      </w:r>
      <w:r w:rsidR="00C95869">
        <w:rPr>
          <w:rFonts w:ascii="Verdana" w:hAnsi="Verdana"/>
          <w:bCs/>
          <w:sz w:val="20"/>
          <w:szCs w:val="20"/>
        </w:rPr>
        <w:t>ıldığı</w:t>
      </w:r>
      <w:r w:rsidR="00C95869" w:rsidRPr="00C95869">
        <w:rPr>
          <w:rFonts w:ascii="Verdana" w:hAnsi="Verdana"/>
          <w:bCs/>
          <w:sz w:val="20"/>
          <w:szCs w:val="20"/>
        </w:rPr>
        <w:t xml:space="preserve"> ortaya </w:t>
      </w:r>
      <w:r w:rsidR="00C95869">
        <w:rPr>
          <w:rFonts w:ascii="Verdana" w:hAnsi="Verdana"/>
          <w:bCs/>
          <w:sz w:val="20"/>
          <w:szCs w:val="20"/>
        </w:rPr>
        <w:t>çıkı</w:t>
      </w:r>
      <w:r w:rsidR="00C95869" w:rsidRPr="00C95869">
        <w:rPr>
          <w:rFonts w:ascii="Verdana" w:hAnsi="Verdana"/>
          <w:bCs/>
          <w:sz w:val="20"/>
          <w:szCs w:val="20"/>
        </w:rPr>
        <w:t xml:space="preserve">yor. </w:t>
      </w:r>
      <w:r w:rsidR="00A834AF">
        <w:rPr>
          <w:rFonts w:ascii="Verdana" w:hAnsi="Verdana"/>
          <w:bCs/>
          <w:sz w:val="20"/>
          <w:szCs w:val="20"/>
        </w:rPr>
        <w:t xml:space="preserve">Bu kelimelerle yapılan Google arama verileri sıralamasında, </w:t>
      </w:r>
      <w:r w:rsidR="00C95869">
        <w:rPr>
          <w:rFonts w:ascii="Verdana" w:hAnsi="Verdana"/>
          <w:bCs/>
          <w:sz w:val="20"/>
          <w:szCs w:val="20"/>
        </w:rPr>
        <w:t>Sivas, Kahramanmaraş</w:t>
      </w:r>
      <w:r w:rsidR="00C95869" w:rsidRPr="00C95869">
        <w:rPr>
          <w:rFonts w:ascii="Verdana" w:hAnsi="Verdana"/>
          <w:bCs/>
          <w:sz w:val="20"/>
          <w:szCs w:val="20"/>
        </w:rPr>
        <w:t xml:space="preserve">, Konya, Kayseri, </w:t>
      </w:r>
      <w:r w:rsidR="00A834AF" w:rsidRPr="00C95869">
        <w:rPr>
          <w:rFonts w:ascii="Verdana" w:hAnsi="Verdana"/>
          <w:bCs/>
          <w:sz w:val="20"/>
          <w:szCs w:val="20"/>
        </w:rPr>
        <w:t>Elâzığ</w:t>
      </w:r>
      <w:r w:rsidR="00A834AF">
        <w:rPr>
          <w:rFonts w:ascii="Verdana" w:hAnsi="Verdana"/>
          <w:bCs/>
          <w:sz w:val="20"/>
          <w:szCs w:val="20"/>
        </w:rPr>
        <w:t xml:space="preserve"> ve</w:t>
      </w:r>
      <w:r w:rsidR="00C95869" w:rsidRPr="00C95869">
        <w:rPr>
          <w:rFonts w:ascii="Verdana" w:hAnsi="Verdana"/>
          <w:bCs/>
          <w:sz w:val="20"/>
          <w:szCs w:val="20"/>
        </w:rPr>
        <w:t xml:space="preserve"> Samsun</w:t>
      </w:r>
      <w:r w:rsidR="00A834AF">
        <w:rPr>
          <w:rFonts w:ascii="Verdana" w:hAnsi="Verdana"/>
          <w:bCs/>
          <w:sz w:val="20"/>
          <w:szCs w:val="20"/>
        </w:rPr>
        <w:t xml:space="preserve">’un </w:t>
      </w:r>
      <w:r w:rsidR="00C95869" w:rsidRPr="00C95869">
        <w:rPr>
          <w:rFonts w:ascii="Verdana" w:hAnsi="Verdana"/>
          <w:bCs/>
          <w:sz w:val="20"/>
          <w:szCs w:val="20"/>
        </w:rPr>
        <w:t>7. s</w:t>
      </w:r>
      <w:r w:rsidR="00C95869">
        <w:rPr>
          <w:rFonts w:ascii="Verdana" w:hAnsi="Verdana"/>
          <w:bCs/>
          <w:sz w:val="20"/>
          <w:szCs w:val="20"/>
        </w:rPr>
        <w:t xml:space="preserve">ıradaki </w:t>
      </w:r>
      <w:r w:rsidR="00A834AF">
        <w:rPr>
          <w:rFonts w:ascii="Verdana" w:hAnsi="Verdana"/>
          <w:bCs/>
          <w:sz w:val="20"/>
          <w:szCs w:val="20"/>
        </w:rPr>
        <w:t xml:space="preserve">İstanbul’dan daha üst sıralarda yer alıyor olması </w:t>
      </w:r>
      <w:r w:rsidR="00C95869" w:rsidRPr="00C95869">
        <w:rPr>
          <w:rFonts w:ascii="Verdana" w:hAnsi="Verdana"/>
          <w:bCs/>
          <w:sz w:val="20"/>
          <w:szCs w:val="20"/>
        </w:rPr>
        <w:t xml:space="preserve">tehlikenin ülkemiz </w:t>
      </w:r>
      <w:r w:rsidR="00A834AF" w:rsidRPr="00C95869">
        <w:rPr>
          <w:rFonts w:ascii="Verdana" w:hAnsi="Verdana"/>
          <w:bCs/>
          <w:sz w:val="20"/>
          <w:szCs w:val="20"/>
        </w:rPr>
        <w:t>coğrafyas</w:t>
      </w:r>
      <w:r w:rsidR="00A834AF">
        <w:rPr>
          <w:rFonts w:ascii="Verdana" w:hAnsi="Verdana"/>
          <w:bCs/>
          <w:sz w:val="20"/>
          <w:szCs w:val="20"/>
        </w:rPr>
        <w:t>ı</w:t>
      </w:r>
      <w:r w:rsidR="00A834AF" w:rsidRPr="00C95869">
        <w:rPr>
          <w:rFonts w:ascii="Verdana" w:hAnsi="Verdana"/>
          <w:bCs/>
          <w:sz w:val="20"/>
          <w:szCs w:val="20"/>
        </w:rPr>
        <w:t>na</w:t>
      </w:r>
      <w:r w:rsidR="00C95869" w:rsidRPr="00C95869">
        <w:rPr>
          <w:rFonts w:ascii="Verdana" w:hAnsi="Verdana"/>
          <w:bCs/>
          <w:sz w:val="20"/>
          <w:szCs w:val="20"/>
        </w:rPr>
        <w:t xml:space="preserve"> ne kadar ya</w:t>
      </w:r>
      <w:r w:rsidR="00C95869">
        <w:rPr>
          <w:rFonts w:ascii="Verdana" w:hAnsi="Verdana"/>
          <w:bCs/>
          <w:sz w:val="20"/>
          <w:szCs w:val="20"/>
        </w:rPr>
        <w:t xml:space="preserve">yıldığını gözler önüne seriyor. </w:t>
      </w:r>
      <w:r w:rsidR="00C95869" w:rsidRPr="00C95869">
        <w:rPr>
          <w:rFonts w:ascii="Verdana" w:hAnsi="Verdana"/>
          <w:bCs/>
          <w:sz w:val="20"/>
          <w:szCs w:val="20"/>
        </w:rPr>
        <w:t xml:space="preserve">Bu </w:t>
      </w:r>
      <w:r w:rsidR="00A834AF">
        <w:rPr>
          <w:rFonts w:ascii="Verdana" w:hAnsi="Verdana"/>
          <w:bCs/>
          <w:sz w:val="20"/>
          <w:szCs w:val="20"/>
        </w:rPr>
        <w:t xml:space="preserve">veriler bize </w:t>
      </w:r>
      <w:r w:rsidR="00C95869">
        <w:rPr>
          <w:rFonts w:ascii="Verdana" w:hAnsi="Verdana"/>
          <w:bCs/>
          <w:sz w:val="20"/>
          <w:szCs w:val="20"/>
        </w:rPr>
        <w:t>s</w:t>
      </w:r>
      <w:r w:rsidR="00C95869" w:rsidRPr="00C95869">
        <w:rPr>
          <w:rFonts w:ascii="Verdana" w:hAnsi="Verdana"/>
          <w:bCs/>
          <w:sz w:val="20"/>
          <w:szCs w:val="20"/>
        </w:rPr>
        <w:t>iber tehlikelere kar</w:t>
      </w:r>
      <w:r w:rsidR="00C95869">
        <w:rPr>
          <w:rFonts w:ascii="Verdana" w:hAnsi="Verdana"/>
          <w:bCs/>
          <w:sz w:val="20"/>
          <w:szCs w:val="20"/>
        </w:rPr>
        <w:t>şı</w:t>
      </w:r>
      <w:r w:rsidR="00C95869" w:rsidRPr="00C95869">
        <w:rPr>
          <w:rFonts w:ascii="Verdana" w:hAnsi="Verdana"/>
          <w:bCs/>
          <w:sz w:val="20"/>
          <w:szCs w:val="20"/>
        </w:rPr>
        <w:t xml:space="preserve"> </w:t>
      </w:r>
      <w:r w:rsidR="00A834AF" w:rsidRPr="00A834AF">
        <w:rPr>
          <w:rFonts w:ascii="Verdana" w:hAnsi="Verdana"/>
          <w:bCs/>
          <w:sz w:val="20"/>
          <w:szCs w:val="20"/>
        </w:rPr>
        <w:t xml:space="preserve">ivedilikle </w:t>
      </w:r>
      <w:r w:rsidR="00C95869">
        <w:rPr>
          <w:rFonts w:ascii="Verdana" w:hAnsi="Verdana"/>
          <w:bCs/>
          <w:sz w:val="20"/>
          <w:szCs w:val="20"/>
        </w:rPr>
        <w:t>önlem</w:t>
      </w:r>
      <w:r w:rsidR="00A834AF">
        <w:rPr>
          <w:rFonts w:ascii="Verdana" w:hAnsi="Verdana"/>
          <w:bCs/>
          <w:sz w:val="20"/>
          <w:szCs w:val="20"/>
        </w:rPr>
        <w:t xml:space="preserve"> almaya ihtiyaç duyulduğunu gösteriyor” dedi. </w:t>
      </w:r>
    </w:p>
    <w:p w14:paraId="785B44CC" w14:textId="0B1D974D" w:rsidR="00C95869" w:rsidRDefault="00C95869" w:rsidP="00C958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9420A4A" wp14:editId="724188EB">
            <wp:extent cx="5760720" cy="1897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733" w14:textId="57E58E10" w:rsidR="006B4E42" w:rsidRPr="006B4E42" w:rsidRDefault="006B4E42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B4E42">
        <w:rPr>
          <w:rFonts w:ascii="Verdana" w:hAnsi="Verdana"/>
          <w:b/>
          <w:bCs/>
          <w:sz w:val="20"/>
          <w:szCs w:val="20"/>
        </w:rPr>
        <w:t xml:space="preserve">E-posta dolandırıcılığından 676 milyon dolarlık vurgun </w:t>
      </w:r>
    </w:p>
    <w:p w14:paraId="56D9FC4B" w14:textId="58E3D90A" w:rsidR="00A072D3" w:rsidRDefault="00C95869" w:rsidP="00875AF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FBI raporunda</w:t>
      </w:r>
      <w:r w:rsidR="00BD077A">
        <w:rPr>
          <w:rFonts w:ascii="Verdana" w:hAnsi="Verdana"/>
          <w:bCs/>
          <w:sz w:val="20"/>
          <w:szCs w:val="20"/>
        </w:rPr>
        <w:t>, 2017 yılında gerçekleştirilen siber suçlar</w:t>
      </w:r>
      <w:r w:rsidR="0078450A">
        <w:rPr>
          <w:rFonts w:ascii="Verdana" w:hAnsi="Verdana"/>
          <w:bCs/>
          <w:sz w:val="20"/>
          <w:szCs w:val="20"/>
        </w:rPr>
        <w:t xml:space="preserve"> arasında e-posta hesabının kötüye kullanılması yolu</w:t>
      </w:r>
      <w:r w:rsidR="00875AF4">
        <w:rPr>
          <w:rFonts w:ascii="Verdana" w:hAnsi="Verdana"/>
          <w:bCs/>
          <w:sz w:val="20"/>
          <w:szCs w:val="20"/>
        </w:rPr>
        <w:t>yla yapılan siber dolandırıcılık öne çıkıyor. Siber saldırganlar, bu yöntemi kullanarak 2017 yılında 676 milyon dolar kazanç elde etmiş. En büyük maddi kayba yol açan diğer iki siber dolandırıcılık ise</w:t>
      </w:r>
      <w:r w:rsidR="00BF1102">
        <w:rPr>
          <w:rFonts w:ascii="Verdana" w:hAnsi="Verdana"/>
          <w:bCs/>
          <w:sz w:val="20"/>
          <w:szCs w:val="20"/>
        </w:rPr>
        <w:t>;</w:t>
      </w:r>
      <w:r w:rsidR="00875AF4">
        <w:rPr>
          <w:rFonts w:ascii="Verdana" w:hAnsi="Verdana"/>
          <w:bCs/>
          <w:sz w:val="20"/>
          <w:szCs w:val="20"/>
        </w:rPr>
        <w:t xml:space="preserve"> </w:t>
      </w:r>
      <w:r w:rsidR="001E2F73">
        <w:rPr>
          <w:rFonts w:ascii="Verdana" w:hAnsi="Verdana"/>
          <w:bCs/>
          <w:sz w:val="20"/>
          <w:szCs w:val="20"/>
        </w:rPr>
        <w:t xml:space="preserve">211 milyon dolar zarara sebep olan </w:t>
      </w:r>
      <w:r w:rsidR="00BF1102">
        <w:rPr>
          <w:rFonts w:ascii="Verdana" w:hAnsi="Verdana"/>
          <w:bCs/>
          <w:sz w:val="20"/>
          <w:szCs w:val="20"/>
        </w:rPr>
        <w:t>“</w:t>
      </w:r>
      <w:r w:rsidR="00875AF4">
        <w:rPr>
          <w:rFonts w:ascii="Verdana" w:hAnsi="Verdana"/>
          <w:bCs/>
          <w:sz w:val="20"/>
          <w:szCs w:val="20"/>
        </w:rPr>
        <w:t>güveni kötüye kullanma</w:t>
      </w:r>
      <w:r w:rsidR="00BF1102">
        <w:rPr>
          <w:rFonts w:ascii="Verdana" w:hAnsi="Verdana"/>
          <w:bCs/>
          <w:sz w:val="20"/>
          <w:szCs w:val="20"/>
        </w:rPr>
        <w:t xml:space="preserve"> ve </w:t>
      </w:r>
      <w:r w:rsidR="00875AF4">
        <w:rPr>
          <w:rFonts w:ascii="Verdana" w:hAnsi="Verdana"/>
          <w:bCs/>
          <w:sz w:val="20"/>
          <w:szCs w:val="20"/>
        </w:rPr>
        <w:t>romantik</w:t>
      </w:r>
      <w:r w:rsidR="001E2F73">
        <w:rPr>
          <w:rFonts w:ascii="Verdana" w:hAnsi="Verdana"/>
          <w:bCs/>
          <w:sz w:val="20"/>
          <w:szCs w:val="20"/>
        </w:rPr>
        <w:t xml:space="preserve"> ilişki yoluyla dolandırıcılık</w:t>
      </w:r>
      <w:r w:rsidR="00BF1102">
        <w:rPr>
          <w:rFonts w:ascii="Verdana" w:hAnsi="Verdana"/>
          <w:bCs/>
          <w:sz w:val="20"/>
          <w:szCs w:val="20"/>
        </w:rPr>
        <w:t>”</w:t>
      </w:r>
      <w:r w:rsidR="001E2F73">
        <w:rPr>
          <w:rFonts w:ascii="Verdana" w:hAnsi="Verdana"/>
          <w:bCs/>
          <w:sz w:val="20"/>
          <w:szCs w:val="20"/>
        </w:rPr>
        <w:t xml:space="preserve"> ile 141 milyon dolar zarar yol açan teslimat/tahsilat dolandırıcılığı. </w:t>
      </w:r>
    </w:p>
    <w:p w14:paraId="734E3D3E" w14:textId="476F15C5" w:rsidR="00CB3486" w:rsidRPr="00CB3486" w:rsidRDefault="00CB3486" w:rsidP="00875AF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B3486">
        <w:rPr>
          <w:rFonts w:ascii="Verdana" w:hAnsi="Verdana"/>
          <w:b/>
          <w:bCs/>
          <w:sz w:val="20"/>
          <w:szCs w:val="20"/>
        </w:rPr>
        <w:t>Banka</w:t>
      </w:r>
      <w:r>
        <w:rPr>
          <w:rFonts w:ascii="Verdana" w:hAnsi="Verdana"/>
          <w:b/>
          <w:bCs/>
          <w:sz w:val="20"/>
          <w:szCs w:val="20"/>
        </w:rPr>
        <w:t>cılık sektörü kullanılıyor</w:t>
      </w:r>
    </w:p>
    <w:p w14:paraId="16C08922" w14:textId="7269346F" w:rsidR="007731BF" w:rsidRDefault="001E2F73" w:rsidP="00613B3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FBI’ın raporu siber ortamda bankacılık ve finansal aldatmaca yoluyla gerçekleştirilen siber saldırılara da dikkat çekiyor. Raporda, </w:t>
      </w:r>
      <w:r w:rsidR="003C036A">
        <w:rPr>
          <w:rFonts w:ascii="Verdana" w:hAnsi="Verdana"/>
          <w:bCs/>
          <w:sz w:val="20"/>
          <w:szCs w:val="20"/>
        </w:rPr>
        <w:t>2015’</w:t>
      </w:r>
      <w:r>
        <w:rPr>
          <w:rFonts w:ascii="Verdana" w:hAnsi="Verdana"/>
          <w:bCs/>
          <w:sz w:val="20"/>
          <w:szCs w:val="20"/>
        </w:rPr>
        <w:t xml:space="preserve">te </w:t>
      </w:r>
      <w:r w:rsidR="003C036A" w:rsidRPr="003C036A">
        <w:rPr>
          <w:rFonts w:ascii="Verdana" w:hAnsi="Verdana"/>
          <w:bCs/>
          <w:sz w:val="20"/>
          <w:szCs w:val="20"/>
        </w:rPr>
        <w:t>siber ortamda</w:t>
      </w:r>
      <w:r w:rsidR="003C036A">
        <w:rPr>
          <w:rFonts w:ascii="Verdana" w:hAnsi="Verdana"/>
          <w:bCs/>
          <w:sz w:val="20"/>
          <w:szCs w:val="20"/>
        </w:rPr>
        <w:t xml:space="preserve"> kendilerini banka çalışanı gibi </w:t>
      </w:r>
      <w:r w:rsidR="003C036A">
        <w:rPr>
          <w:rFonts w:ascii="Verdana" w:hAnsi="Verdana"/>
          <w:bCs/>
          <w:sz w:val="20"/>
          <w:szCs w:val="20"/>
        </w:rPr>
        <w:lastRenderedPageBreak/>
        <w:t>tanıtan kötü niyetli kişiler</w:t>
      </w:r>
      <w:r>
        <w:rPr>
          <w:rFonts w:ascii="Verdana" w:hAnsi="Verdana"/>
          <w:bCs/>
          <w:sz w:val="20"/>
          <w:szCs w:val="20"/>
        </w:rPr>
        <w:t>in</w:t>
      </w:r>
      <w:r w:rsidR="003C036A">
        <w:rPr>
          <w:rFonts w:ascii="Verdana" w:hAnsi="Verdana"/>
          <w:bCs/>
          <w:sz w:val="20"/>
          <w:szCs w:val="20"/>
        </w:rPr>
        <w:t xml:space="preserve"> yatırım amaçlı </w:t>
      </w:r>
      <w:r>
        <w:rPr>
          <w:rFonts w:ascii="Verdana" w:hAnsi="Verdana"/>
          <w:bCs/>
          <w:sz w:val="20"/>
          <w:szCs w:val="20"/>
        </w:rPr>
        <w:t xml:space="preserve">olarak </w:t>
      </w:r>
      <w:r w:rsidR="003C036A">
        <w:rPr>
          <w:rFonts w:ascii="Verdana" w:hAnsi="Verdana"/>
          <w:bCs/>
          <w:sz w:val="20"/>
          <w:szCs w:val="20"/>
        </w:rPr>
        <w:t>7 milyon dolar topla</w:t>
      </w:r>
      <w:r>
        <w:rPr>
          <w:rFonts w:ascii="Verdana" w:hAnsi="Verdana"/>
          <w:bCs/>
          <w:sz w:val="20"/>
          <w:szCs w:val="20"/>
        </w:rPr>
        <w:t xml:space="preserve">dığı hatırlatılıyor. </w:t>
      </w:r>
      <w:r w:rsidR="00613B37" w:rsidRPr="00613B37">
        <w:rPr>
          <w:rFonts w:ascii="Verdana" w:hAnsi="Verdana"/>
          <w:bCs/>
          <w:sz w:val="20"/>
          <w:szCs w:val="20"/>
        </w:rPr>
        <w:t>Aon Stroz Friedberg uzmanları</w:t>
      </w:r>
      <w:r w:rsidR="00613B37">
        <w:rPr>
          <w:rFonts w:ascii="Verdana" w:hAnsi="Verdana"/>
          <w:bCs/>
          <w:sz w:val="20"/>
          <w:szCs w:val="20"/>
        </w:rPr>
        <w:t xml:space="preserve"> da</w:t>
      </w:r>
      <w:r w:rsidR="00613B37" w:rsidRPr="00613B37">
        <w:rPr>
          <w:rFonts w:ascii="Verdana" w:hAnsi="Verdana"/>
          <w:bCs/>
          <w:sz w:val="20"/>
          <w:szCs w:val="20"/>
        </w:rPr>
        <w:t>, bankacılık sektörüne</w:t>
      </w:r>
      <w:r w:rsidR="00BF1102">
        <w:rPr>
          <w:rFonts w:ascii="Verdana" w:hAnsi="Verdana"/>
          <w:bCs/>
          <w:sz w:val="20"/>
          <w:szCs w:val="20"/>
        </w:rPr>
        <w:t xml:space="preserve"> yapılan</w:t>
      </w:r>
      <w:r w:rsidR="00613B37" w:rsidRPr="00613B37">
        <w:rPr>
          <w:rFonts w:ascii="Verdana" w:hAnsi="Verdana"/>
          <w:bCs/>
          <w:sz w:val="20"/>
          <w:szCs w:val="20"/>
        </w:rPr>
        <w:t xml:space="preserve"> saldırıların bir trend oluşturduğunu ve bu trendin 2015’ten beri sürdüğünü paylaşıyor. 2015’ten bugüne kadar dünya genelinde bankacılık sektörüne yapılan siber saldırıların yarattığı toplam kaybın ise en az </w:t>
      </w:r>
      <w:r w:rsidR="00613B37" w:rsidRPr="00613B37">
        <w:rPr>
          <w:rFonts w:ascii="Verdana" w:hAnsi="Verdana"/>
          <w:b/>
          <w:bCs/>
          <w:sz w:val="20"/>
          <w:szCs w:val="20"/>
        </w:rPr>
        <w:t>200 milyon dolar</w:t>
      </w:r>
      <w:r w:rsidR="00613B37" w:rsidRPr="00613B37">
        <w:rPr>
          <w:rFonts w:ascii="Verdana" w:hAnsi="Verdana"/>
          <w:bCs/>
          <w:sz w:val="20"/>
          <w:szCs w:val="20"/>
        </w:rPr>
        <w:t xml:space="preserve"> olduğu belirtiliyor.</w:t>
      </w:r>
    </w:p>
    <w:p w14:paraId="50CA3D7B" w14:textId="77777777" w:rsidR="00042A72" w:rsidRDefault="00042A72" w:rsidP="00613B3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BEC837E" w14:textId="77777777" w:rsidR="00972E67" w:rsidRPr="00C62502" w:rsidRDefault="00972E67" w:rsidP="00972E6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62502">
        <w:rPr>
          <w:rFonts w:ascii="Verdana" w:hAnsi="Verdana"/>
          <w:b/>
          <w:sz w:val="18"/>
          <w:szCs w:val="18"/>
        </w:rPr>
        <w:t>İlgili Kişi </w:t>
      </w:r>
    </w:p>
    <w:p w14:paraId="3B7D7CCC" w14:textId="77777777" w:rsidR="00972E67" w:rsidRPr="00C62502" w:rsidRDefault="00972E67" w:rsidP="00972E67">
      <w:pPr>
        <w:spacing w:after="0"/>
        <w:jc w:val="both"/>
        <w:rPr>
          <w:rFonts w:ascii="Verdana" w:hAnsi="Verdana"/>
          <w:sz w:val="18"/>
          <w:szCs w:val="18"/>
        </w:rPr>
      </w:pPr>
      <w:r w:rsidRPr="00C62502">
        <w:rPr>
          <w:rFonts w:ascii="Verdana" w:hAnsi="Verdana"/>
          <w:sz w:val="18"/>
          <w:szCs w:val="18"/>
        </w:rPr>
        <w:t>Ayşe Ekin Gündüz </w:t>
      </w:r>
    </w:p>
    <w:p w14:paraId="58297A0C" w14:textId="77777777" w:rsidR="00972E67" w:rsidRPr="00C62502" w:rsidRDefault="00972E67" w:rsidP="00972E67">
      <w:pPr>
        <w:spacing w:after="0"/>
        <w:jc w:val="both"/>
        <w:rPr>
          <w:rFonts w:ascii="Verdana" w:hAnsi="Verdana"/>
          <w:sz w:val="18"/>
          <w:szCs w:val="18"/>
        </w:rPr>
      </w:pPr>
      <w:r w:rsidRPr="00C62502">
        <w:rPr>
          <w:rFonts w:ascii="Verdana" w:hAnsi="Verdana"/>
          <w:sz w:val="18"/>
          <w:szCs w:val="18"/>
        </w:rPr>
        <w:t>Marjinal Porter Novelli </w:t>
      </w:r>
    </w:p>
    <w:p w14:paraId="4A3BF354" w14:textId="77777777" w:rsidR="00972E67" w:rsidRPr="00C62502" w:rsidRDefault="00972E67" w:rsidP="00972E67">
      <w:pPr>
        <w:spacing w:after="0"/>
        <w:jc w:val="both"/>
        <w:rPr>
          <w:rFonts w:ascii="Verdana" w:hAnsi="Verdana"/>
          <w:sz w:val="18"/>
          <w:szCs w:val="18"/>
        </w:rPr>
      </w:pPr>
      <w:r w:rsidRPr="00C62502">
        <w:rPr>
          <w:rFonts w:ascii="Verdana" w:hAnsi="Verdana"/>
          <w:sz w:val="18"/>
          <w:szCs w:val="18"/>
        </w:rPr>
        <w:t>0212 219 29 71 - 0533 921 43 53 </w:t>
      </w:r>
    </w:p>
    <w:p w14:paraId="78F2B69A" w14:textId="77777777" w:rsidR="00972E67" w:rsidRPr="00C62502" w:rsidRDefault="00B76DAB" w:rsidP="00972E67">
      <w:pPr>
        <w:spacing w:after="0"/>
        <w:jc w:val="both"/>
        <w:rPr>
          <w:rFonts w:ascii="Verdana" w:hAnsi="Verdana"/>
          <w:sz w:val="18"/>
          <w:szCs w:val="18"/>
        </w:rPr>
      </w:pPr>
      <w:hyperlink r:id="rId7" w:history="1">
        <w:r w:rsidR="00972E67" w:rsidRPr="00C62502">
          <w:rPr>
            <w:rStyle w:val="Kpr"/>
            <w:rFonts w:ascii="Verdana" w:hAnsi="Verdana"/>
            <w:sz w:val="18"/>
            <w:szCs w:val="18"/>
          </w:rPr>
          <w:t>ayseg@marjinal.com.tr</w:t>
        </w:r>
      </w:hyperlink>
    </w:p>
    <w:p w14:paraId="12543107" w14:textId="77777777" w:rsidR="00972E67" w:rsidRPr="00C62502" w:rsidRDefault="00972E67" w:rsidP="00972E67">
      <w:pPr>
        <w:jc w:val="both"/>
        <w:rPr>
          <w:rFonts w:ascii="Verdana" w:hAnsi="Verdana"/>
          <w:sz w:val="18"/>
          <w:szCs w:val="18"/>
        </w:rPr>
      </w:pPr>
    </w:p>
    <w:p w14:paraId="42E98F6B" w14:textId="480E2123" w:rsidR="00972E67" w:rsidRPr="003F6603" w:rsidRDefault="00972E67" w:rsidP="00972E67">
      <w:pPr>
        <w:spacing w:after="0"/>
        <w:jc w:val="both"/>
        <w:rPr>
          <w:rFonts w:ascii="Verdana" w:hAnsi="Verdana"/>
          <w:b/>
          <w:sz w:val="16"/>
          <w:szCs w:val="18"/>
        </w:rPr>
      </w:pPr>
      <w:r w:rsidRPr="003F6603">
        <w:rPr>
          <w:rFonts w:ascii="Verdana" w:hAnsi="Verdana"/>
          <w:b/>
          <w:sz w:val="16"/>
          <w:szCs w:val="18"/>
        </w:rPr>
        <w:t>Aon Türkiye hakkında</w:t>
      </w:r>
    </w:p>
    <w:p w14:paraId="611A0D29" w14:textId="77777777" w:rsidR="002D0DE7" w:rsidRPr="003F6603" w:rsidRDefault="002D0DE7" w:rsidP="00972E67">
      <w:pPr>
        <w:spacing w:after="0"/>
        <w:jc w:val="both"/>
        <w:rPr>
          <w:rFonts w:ascii="Verdana" w:hAnsi="Verdana"/>
          <w:b/>
          <w:sz w:val="16"/>
          <w:szCs w:val="18"/>
        </w:rPr>
      </w:pPr>
    </w:p>
    <w:p w14:paraId="152FC65A" w14:textId="6DEA13FF" w:rsidR="00972E67" w:rsidRPr="003F6603" w:rsidRDefault="00BF1102" w:rsidP="00972E67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3F6603">
        <w:rPr>
          <w:rFonts w:ascii="Arial" w:hAnsi="Arial" w:cs="Arial"/>
          <w:sz w:val="18"/>
          <w:szCs w:val="20"/>
        </w:rPr>
        <w:t>Aon sahip olduğu veriye dayalı analitik yetkinlikler sayesinde geniş yelpazede risk, emeklilik ve sağlık çözümleri sunan</w:t>
      </w:r>
      <w:r w:rsidR="00A834AF" w:rsidRPr="003F6603">
        <w:rPr>
          <w:rFonts w:ascii="Arial" w:hAnsi="Arial" w:cs="Arial"/>
          <w:sz w:val="18"/>
          <w:szCs w:val="20"/>
        </w:rPr>
        <w:t>,</w:t>
      </w:r>
      <w:r w:rsidRPr="003F6603">
        <w:rPr>
          <w:rFonts w:ascii="Arial" w:hAnsi="Arial" w:cs="Arial"/>
          <w:sz w:val="18"/>
          <w:szCs w:val="20"/>
        </w:rPr>
        <w:t xml:space="preserve"> konusunda küresel liderliğe ulaşmış profesyonel hizmetler şirketidir.120 ülkedeki 50.000 çalışanı</w:t>
      </w:r>
      <w:r w:rsidR="002D0DE7" w:rsidRPr="003F6603">
        <w:rPr>
          <w:rFonts w:ascii="Arial" w:hAnsi="Arial" w:cs="Arial"/>
          <w:sz w:val="18"/>
          <w:szCs w:val="20"/>
        </w:rPr>
        <w:t xml:space="preserve"> ile</w:t>
      </w:r>
      <w:r w:rsidRPr="003F6603">
        <w:rPr>
          <w:rFonts w:ascii="Arial" w:hAnsi="Arial" w:cs="Arial"/>
          <w:sz w:val="18"/>
          <w:szCs w:val="20"/>
        </w:rPr>
        <w:t xml:space="preserve"> veri ve analitiğin desteğiyle finansal kırılganlığın azaltılması ve performansın iyileştirilmesine yönelik öngörüler sağlayarak müşteriler</w:t>
      </w:r>
      <w:r w:rsidR="002D0DE7" w:rsidRPr="003F6603">
        <w:rPr>
          <w:rFonts w:ascii="Arial" w:hAnsi="Arial" w:cs="Arial"/>
          <w:sz w:val="18"/>
          <w:szCs w:val="20"/>
        </w:rPr>
        <w:t>in</w:t>
      </w:r>
      <w:r w:rsidRPr="003F6603">
        <w:rPr>
          <w:rFonts w:ascii="Arial" w:hAnsi="Arial" w:cs="Arial"/>
          <w:sz w:val="18"/>
          <w:szCs w:val="20"/>
        </w:rPr>
        <w:t xml:space="preserve"> güçlü sonuçlar </w:t>
      </w:r>
      <w:r w:rsidR="002D0DE7" w:rsidRPr="003F6603">
        <w:rPr>
          <w:rFonts w:ascii="Arial" w:hAnsi="Arial" w:cs="Arial"/>
          <w:sz w:val="18"/>
          <w:szCs w:val="20"/>
        </w:rPr>
        <w:t xml:space="preserve">elde etmesine yardımcı olan </w:t>
      </w:r>
      <w:r w:rsidR="00972E67" w:rsidRPr="003F6603">
        <w:rPr>
          <w:rFonts w:ascii="Verdana" w:hAnsi="Verdana"/>
          <w:sz w:val="16"/>
          <w:szCs w:val="18"/>
        </w:rPr>
        <w:t xml:space="preserve">Aon Türkiye, sigorta ve reasürans brokerliği ile risk yönetimi danışmanlığı konularında Türkiye’de faaliyet gösteren bir kuruluştur. </w:t>
      </w:r>
      <w:r w:rsidR="00A834AF" w:rsidRPr="003F6603">
        <w:rPr>
          <w:rFonts w:ascii="Verdana" w:hAnsi="Verdana"/>
          <w:sz w:val="16"/>
          <w:szCs w:val="18"/>
        </w:rPr>
        <w:t>İngiltere’nin</w:t>
      </w:r>
      <w:r w:rsidRPr="003F6603">
        <w:rPr>
          <w:rFonts w:ascii="Verdana" w:hAnsi="Verdana"/>
          <w:sz w:val="16"/>
          <w:szCs w:val="18"/>
        </w:rPr>
        <w:t xml:space="preserve"> Manchester United ve İtalya’nın Parma Calcio futbol takımlarının sponsorudur.  </w:t>
      </w:r>
      <w:hyperlink r:id="rId8" w:history="1">
        <w:r w:rsidR="00972E67" w:rsidRPr="003F6603">
          <w:rPr>
            <w:rStyle w:val="Kpr"/>
            <w:rFonts w:ascii="Verdana" w:hAnsi="Verdana"/>
            <w:sz w:val="16"/>
            <w:szCs w:val="18"/>
          </w:rPr>
          <w:t>http://www.aon.com/turkey/tr/</w:t>
        </w:r>
      </w:hyperlink>
    </w:p>
    <w:sectPr w:rsidR="00972E67" w:rsidRPr="003F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tone Sans II ITC Pro S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tone Sans II ITC Pro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 II ITC Pro Bk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C"/>
    <w:rsid w:val="00042A72"/>
    <w:rsid w:val="00055649"/>
    <w:rsid w:val="00080476"/>
    <w:rsid w:val="00087E0F"/>
    <w:rsid w:val="000A7C14"/>
    <w:rsid w:val="0018407D"/>
    <w:rsid w:val="001944B6"/>
    <w:rsid w:val="001954EE"/>
    <w:rsid w:val="001D0DB7"/>
    <w:rsid w:val="001E2F73"/>
    <w:rsid w:val="00215C6D"/>
    <w:rsid w:val="00245403"/>
    <w:rsid w:val="0026755A"/>
    <w:rsid w:val="002D0DE7"/>
    <w:rsid w:val="002F4E55"/>
    <w:rsid w:val="00302A80"/>
    <w:rsid w:val="0035323D"/>
    <w:rsid w:val="003C036A"/>
    <w:rsid w:val="003F6603"/>
    <w:rsid w:val="004642F8"/>
    <w:rsid w:val="004B452D"/>
    <w:rsid w:val="004D310F"/>
    <w:rsid w:val="00527484"/>
    <w:rsid w:val="005A56BB"/>
    <w:rsid w:val="0060122A"/>
    <w:rsid w:val="00607B9E"/>
    <w:rsid w:val="00613B37"/>
    <w:rsid w:val="0062743E"/>
    <w:rsid w:val="006539E0"/>
    <w:rsid w:val="006B4E42"/>
    <w:rsid w:val="006F08BE"/>
    <w:rsid w:val="007731BF"/>
    <w:rsid w:val="0078450A"/>
    <w:rsid w:val="007A039C"/>
    <w:rsid w:val="007C285C"/>
    <w:rsid w:val="0080357A"/>
    <w:rsid w:val="00832174"/>
    <w:rsid w:val="008503C2"/>
    <w:rsid w:val="008625AE"/>
    <w:rsid w:val="00875AF4"/>
    <w:rsid w:val="008F3237"/>
    <w:rsid w:val="00972E67"/>
    <w:rsid w:val="009938CA"/>
    <w:rsid w:val="00994A3B"/>
    <w:rsid w:val="009B6660"/>
    <w:rsid w:val="009F1A2A"/>
    <w:rsid w:val="009F1F02"/>
    <w:rsid w:val="00A072D3"/>
    <w:rsid w:val="00A51E12"/>
    <w:rsid w:val="00A834AF"/>
    <w:rsid w:val="00AA00A4"/>
    <w:rsid w:val="00B0369C"/>
    <w:rsid w:val="00B206EC"/>
    <w:rsid w:val="00B76DAB"/>
    <w:rsid w:val="00BA2778"/>
    <w:rsid w:val="00BD077A"/>
    <w:rsid w:val="00BF1102"/>
    <w:rsid w:val="00BF45B9"/>
    <w:rsid w:val="00C95869"/>
    <w:rsid w:val="00CB3486"/>
    <w:rsid w:val="00CD4434"/>
    <w:rsid w:val="00CF3205"/>
    <w:rsid w:val="00D759BD"/>
    <w:rsid w:val="00D8526F"/>
    <w:rsid w:val="00D92964"/>
    <w:rsid w:val="00DE04CE"/>
    <w:rsid w:val="00E7175C"/>
    <w:rsid w:val="00F000C6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3D35"/>
  <w15:chartTrackingRefBased/>
  <w15:docId w15:val="{8A5B2DE1-01EE-410E-B50E-479EA43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75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E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02"/>
    <w:rPr>
      <w:rFonts w:ascii="Segoe UI" w:hAnsi="Segoe UI" w:cs="Segoe UI"/>
      <w:sz w:val="18"/>
      <w:szCs w:val="18"/>
    </w:rPr>
  </w:style>
  <w:style w:type="paragraph" w:customStyle="1" w:styleId="Pa34">
    <w:name w:val="Pa34"/>
    <w:basedOn w:val="Normal"/>
    <w:next w:val="Normal"/>
    <w:uiPriority w:val="99"/>
    <w:rsid w:val="00087E0F"/>
    <w:pPr>
      <w:autoSpaceDE w:val="0"/>
      <w:autoSpaceDN w:val="0"/>
      <w:adjustRightInd w:val="0"/>
      <w:spacing w:after="0" w:line="181" w:lineRule="atLeast"/>
    </w:pPr>
    <w:rPr>
      <w:rFonts w:ascii="Stone Sans II ITC Pro Sm" w:hAnsi="Stone Sans II ITC Pro Sm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087E0F"/>
    <w:pPr>
      <w:autoSpaceDE w:val="0"/>
      <w:autoSpaceDN w:val="0"/>
      <w:adjustRightInd w:val="0"/>
      <w:spacing w:after="0" w:line="161" w:lineRule="atLeast"/>
    </w:pPr>
    <w:rPr>
      <w:rFonts w:ascii="Stone Sans II ITC Pro Sm" w:hAnsi="Stone Sans II ITC Pro Sm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087E0F"/>
    <w:pPr>
      <w:autoSpaceDE w:val="0"/>
      <w:autoSpaceDN w:val="0"/>
      <w:adjustRightInd w:val="0"/>
      <w:spacing w:after="0" w:line="161" w:lineRule="atLeast"/>
    </w:pPr>
    <w:rPr>
      <w:rFonts w:ascii="Stone Sans II ITC Pro Sm" w:hAnsi="Stone Sans II ITC Pro Sm"/>
      <w:sz w:val="24"/>
      <w:szCs w:val="24"/>
    </w:rPr>
  </w:style>
  <w:style w:type="character" w:customStyle="1" w:styleId="A8">
    <w:name w:val="A8"/>
    <w:uiPriority w:val="99"/>
    <w:rsid w:val="00087E0F"/>
    <w:rPr>
      <w:rFonts w:cs="Stone Sans II ITC Pro Sm"/>
      <w:color w:val="000000"/>
      <w:sz w:val="15"/>
      <w:szCs w:val="15"/>
    </w:rPr>
  </w:style>
  <w:style w:type="character" w:styleId="AklamaBavurusu">
    <w:name w:val="annotation reference"/>
    <w:basedOn w:val="VarsaylanParagrafYazTipi"/>
    <w:uiPriority w:val="99"/>
    <w:semiHidden/>
    <w:unhideWhenUsed/>
    <w:rsid w:val="004D31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1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1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1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10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D310F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F1F02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D759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.com/turkey/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seg@marjinal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iber@egm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E184-EDA3-466E-804C-7C014E4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Özdil Ersezer</dc:creator>
  <cp:keywords/>
  <dc:description/>
  <cp:lastModifiedBy>Ayse Ekin Gunduz</cp:lastModifiedBy>
  <cp:revision>4</cp:revision>
  <dcterms:created xsi:type="dcterms:W3CDTF">2018-12-03T11:01:00Z</dcterms:created>
  <dcterms:modified xsi:type="dcterms:W3CDTF">2018-12-04T06:51:00Z</dcterms:modified>
</cp:coreProperties>
</file>