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1F311" w14:textId="4A167E72" w:rsidR="002D669C" w:rsidRPr="004B6A6D" w:rsidRDefault="002D669C" w:rsidP="004B6A6D">
      <w:pPr>
        <w:pStyle w:val="stbilgi"/>
        <w:tabs>
          <w:tab w:val="clear" w:pos="4320"/>
          <w:tab w:val="clear" w:pos="8640"/>
          <w:tab w:val="left" w:pos="284"/>
        </w:tabs>
        <w:spacing w:line="360" w:lineRule="auto"/>
        <w:ind w:right="-1"/>
        <w:contextualSpacing/>
        <w:rPr>
          <w:rFonts w:ascii="Verdana" w:hAnsi="Verdana" w:cs="Arial"/>
          <w:b/>
          <w:bCs/>
          <w:color w:val="000000" w:themeColor="text1"/>
        </w:rPr>
      </w:pPr>
      <w:r w:rsidRPr="00366FDD">
        <w:rPr>
          <w:rFonts w:ascii="Verdana" w:hAnsi="Verdana"/>
          <w:noProof/>
        </w:rPr>
        <w:drawing>
          <wp:anchor distT="0" distB="0" distL="114300" distR="114300" simplePos="0" relativeHeight="251660288" behindDoc="0" locked="0" layoutInCell="1" allowOverlap="1" wp14:anchorId="23581603" wp14:editId="5BFDBD1F">
            <wp:simplePos x="0" y="0"/>
            <wp:positionH relativeFrom="column">
              <wp:posOffset>4765675</wp:posOffset>
            </wp:positionH>
            <wp:positionV relativeFrom="paragraph">
              <wp:posOffset>-388620</wp:posOffset>
            </wp:positionV>
            <wp:extent cx="1429385" cy="767080"/>
            <wp:effectExtent l="0" t="0" r="0" b="0"/>
            <wp:wrapSquare wrapText="bothSides"/>
            <wp:docPr id="3" name="Picture 7" descr="Description: 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c_standard_stacked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9385" cy="767080"/>
                    </a:xfrm>
                    <a:prstGeom prst="rect">
                      <a:avLst/>
                    </a:prstGeom>
                    <a:noFill/>
                  </pic:spPr>
                </pic:pic>
              </a:graphicData>
            </a:graphic>
            <wp14:sizeRelH relativeFrom="page">
              <wp14:pctWidth>0</wp14:pctWidth>
            </wp14:sizeRelH>
            <wp14:sizeRelV relativeFrom="page">
              <wp14:pctHeight>0</wp14:pctHeight>
            </wp14:sizeRelV>
          </wp:anchor>
        </w:drawing>
      </w:r>
    </w:p>
    <w:p w14:paraId="10D6A0BB" w14:textId="1ECB8324" w:rsidR="002D669C" w:rsidRPr="00366FDD" w:rsidRDefault="4BBB0620" w:rsidP="4BBB0620">
      <w:pPr>
        <w:tabs>
          <w:tab w:val="left" w:pos="284"/>
        </w:tabs>
        <w:spacing w:line="360" w:lineRule="auto"/>
        <w:ind w:right="-1"/>
        <w:contextualSpacing/>
        <w:rPr>
          <w:rFonts w:ascii="Verdana" w:hAnsi="Verdana" w:cs="Arial"/>
          <w:b/>
          <w:bCs/>
          <w:color w:val="000000" w:themeColor="text1"/>
          <w:sz w:val="32"/>
          <w:szCs w:val="32"/>
          <w:u w:val="single"/>
          <w:lang w:val="tr-TR"/>
        </w:rPr>
      </w:pPr>
      <w:r w:rsidRPr="4BBB0620">
        <w:rPr>
          <w:rFonts w:ascii="Verdana" w:hAnsi="Verdana" w:cs="Arial"/>
          <w:b/>
          <w:bCs/>
          <w:color w:val="000000" w:themeColor="text1"/>
          <w:sz w:val="32"/>
          <w:szCs w:val="32"/>
          <w:u w:val="single"/>
          <w:lang w:val="tr-TR"/>
        </w:rPr>
        <w:t>BASIN BÜLTENİ</w:t>
      </w:r>
    </w:p>
    <w:p w14:paraId="10FE82F3" w14:textId="77777777" w:rsidR="002D669C" w:rsidRPr="00366FDD" w:rsidRDefault="002D669C" w:rsidP="00D72036">
      <w:pPr>
        <w:tabs>
          <w:tab w:val="left" w:pos="284"/>
        </w:tabs>
        <w:spacing w:line="360" w:lineRule="auto"/>
        <w:ind w:right="-1"/>
        <w:contextualSpacing/>
        <w:rPr>
          <w:rFonts w:ascii="Verdana" w:hAnsi="Verdana" w:cs="Arial"/>
          <w:b/>
          <w:bCs/>
          <w:color w:val="000000"/>
          <w:sz w:val="32"/>
          <w:szCs w:val="32"/>
          <w:u w:val="single"/>
          <w:lang w:val="tr-TR"/>
        </w:rPr>
      </w:pPr>
    </w:p>
    <w:p w14:paraId="0EF25B6E" w14:textId="16B14CF4" w:rsidR="002D669C" w:rsidRPr="00366FDD" w:rsidRDefault="00534031" w:rsidP="4BBB0620">
      <w:pPr>
        <w:tabs>
          <w:tab w:val="left" w:pos="284"/>
        </w:tabs>
        <w:spacing w:line="360" w:lineRule="auto"/>
        <w:ind w:right="-1"/>
        <w:contextualSpacing/>
        <w:jc w:val="center"/>
        <w:rPr>
          <w:rFonts w:ascii="Verdana" w:hAnsi="Verdana" w:cs="Arial"/>
          <w:b/>
          <w:bCs/>
          <w:sz w:val="28"/>
          <w:szCs w:val="28"/>
          <w:lang w:val="tr-TR"/>
        </w:rPr>
      </w:pPr>
      <w:r>
        <w:rPr>
          <w:rFonts w:ascii="Verdana" w:hAnsi="Verdana" w:cs="Arial"/>
          <w:b/>
          <w:bCs/>
          <w:sz w:val="28"/>
          <w:szCs w:val="28"/>
          <w:lang w:val="tr-TR"/>
        </w:rPr>
        <w:t>Türk işverenler istihdamda vites yükseltiyor</w:t>
      </w:r>
    </w:p>
    <w:p w14:paraId="094A3AE2" w14:textId="77777777" w:rsidR="005355E6" w:rsidRPr="00366FDD" w:rsidRDefault="005355E6" w:rsidP="00F6602D">
      <w:pPr>
        <w:tabs>
          <w:tab w:val="left" w:pos="284"/>
        </w:tabs>
        <w:spacing w:line="360" w:lineRule="auto"/>
        <w:ind w:right="-1"/>
        <w:contextualSpacing/>
        <w:rPr>
          <w:rFonts w:ascii="Verdana" w:hAnsi="Verdana" w:cs="Arial"/>
          <w:b/>
          <w:bCs/>
          <w:color w:val="808080" w:themeColor="background1" w:themeShade="80"/>
          <w:sz w:val="24"/>
          <w:szCs w:val="24"/>
          <w:lang w:val="tr-TR"/>
        </w:rPr>
      </w:pPr>
    </w:p>
    <w:p w14:paraId="52A2C967" w14:textId="32494C49" w:rsidR="00035E16" w:rsidRPr="00366FDD" w:rsidRDefault="4BBB0620" w:rsidP="4BBB0620">
      <w:pPr>
        <w:tabs>
          <w:tab w:val="left" w:pos="284"/>
        </w:tabs>
        <w:spacing w:line="360" w:lineRule="auto"/>
        <w:ind w:right="-1"/>
        <w:contextualSpacing/>
        <w:jc w:val="center"/>
        <w:rPr>
          <w:rFonts w:ascii="Verdana" w:hAnsi="Verdana" w:cs="Arial"/>
          <w:b/>
          <w:bCs/>
          <w:sz w:val="24"/>
          <w:szCs w:val="24"/>
          <w:lang w:val="tr-TR"/>
        </w:rPr>
      </w:pPr>
      <w:r w:rsidRPr="4BBB0620">
        <w:rPr>
          <w:rFonts w:ascii="Verdana" w:hAnsi="Verdana" w:cs="Arial"/>
          <w:b/>
          <w:bCs/>
          <w:sz w:val="24"/>
          <w:szCs w:val="24"/>
          <w:lang w:val="tr-TR"/>
        </w:rPr>
        <w:t>ManpowerGroup İstihdama Genel Bakış Araştırması’na göre Türk işverenler önümüzdeki nisan-haziran dönemi için güçlü işe alım beklentileri bildiriyor. İşverenlerin %28'i istihdamda artış beklerken %5'i azalma öngörüyor ve %63'ü de değişiklik olmayacağını tahmin ediyor. İşe alım planları önceki çeyreğe göre yüzde 3 puan iyileşirken, 2017'nin ikinci çeyreğine göre yüzde 5 puan artıyor. İlaç sektörü +%29 istihdam beklentisiyle liderliğini bu çeyrekte de sürdürürken, bölge bazında en güçlü beklenti Marmara’dan, en düşük beklenti ise Akdeniz’den geliyor.</w:t>
      </w:r>
    </w:p>
    <w:p w14:paraId="343C90BE" w14:textId="77777777" w:rsidR="00F07254" w:rsidRDefault="00F07254" w:rsidP="00F07254">
      <w:pPr>
        <w:tabs>
          <w:tab w:val="left" w:pos="284"/>
        </w:tabs>
        <w:spacing w:line="360" w:lineRule="auto"/>
        <w:ind w:right="-1"/>
        <w:contextualSpacing/>
        <w:jc w:val="both"/>
        <w:rPr>
          <w:rFonts w:ascii="Verdana" w:hAnsi="Verdana" w:cs="Arial"/>
          <w:color w:val="000000"/>
          <w:lang w:val="tr-TR"/>
        </w:rPr>
      </w:pPr>
    </w:p>
    <w:p w14:paraId="0732B0C8" w14:textId="4751C59A" w:rsidR="000C6C74" w:rsidRPr="005E35AA"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ManpowerGroup 2018 ikinci çeyrek İstihdama Genel Bakış Araştırması, Türkiye'deki işverenleri temsil eden 1.003 kişilik bir örneklem ile görüşme yapılarak gerçekleştirildi. Araştırma sonuçlarına göre Türk işverenleri, önümüzdeki nisan-haziran dönemi için güçlü işe alım beklentileri bildiriyor. İşverenlerin %28'i istihdamda artış beklerken %5'i azalma öngörüyor ve %63'ü de değişiklik olmayacağını tahmin ediyor. Bunun sonucunda Net İstihdam Görünümü +%23'ü gösteriyor. Veriler mevsimsel dalgalanmalara izin verecek şekilde ayarlandığında görünüm +%16'yı gösteriyor. İşe alım planları önceki çeyreğe göre yüzde 3 puan iyileşirken, 2017'nin ikinci çeyreğine göre yüzde 5 puan artıyor. Önümüzdeki üç ayda 11 sektörün ve beş bölgenin tamamındaki işverenler, istihdam seviyelerinde artış öngörüyor. İstihdam görünümleri önceki çeyreğe göre dokuz sektörde ve dört bölgede güçleniyor. 2017’nin aynı dönemine göre ise 11 sektörün tamamında ve dört bölgede istihdam görünümleri artıyor.</w:t>
      </w:r>
    </w:p>
    <w:p w14:paraId="7842A7D8" w14:textId="1CF67553" w:rsidR="009F11BF" w:rsidRPr="00366FDD" w:rsidRDefault="009F11BF" w:rsidP="01125001">
      <w:pPr>
        <w:tabs>
          <w:tab w:val="left" w:pos="284"/>
        </w:tabs>
        <w:spacing w:line="360" w:lineRule="auto"/>
        <w:ind w:right="-1"/>
        <w:contextualSpacing/>
        <w:jc w:val="both"/>
        <w:rPr>
          <w:rFonts w:ascii="Verdana" w:hAnsi="Verdana" w:cs="Arial"/>
          <w:lang w:val="tr-TR"/>
        </w:rPr>
      </w:pPr>
    </w:p>
    <w:p w14:paraId="2DD24D93" w14:textId="6CA74835" w:rsidR="00BE7E0A" w:rsidRPr="00366FDD"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color w:val="000000" w:themeColor="text1"/>
          <w:lang w:val="tr-TR"/>
        </w:rPr>
        <w:t>Manpower Türkiye Genel Müdürü Feyza Narlı, Türkiye’nin istihdam görünümü hakkında şunları söyledi:</w:t>
      </w:r>
      <w:r w:rsidRPr="4BBB0620">
        <w:rPr>
          <w:rFonts w:ascii="Verdana" w:hAnsi="Verdana" w:cs="Arial"/>
          <w:lang w:val="tr-TR"/>
        </w:rPr>
        <w:t xml:space="preserve"> “Türkiye 2017’yi ihracat ve genel üretim artışı anlamında pozitif tamamladı. Ek büyüme ve yatırımlarla aynı trendin 2018’de de devam etmesi yönünde bir beklentimiz vardı. Araştırmamızın da işaret ettiği üzere, istihdam beklentilerinin bu çeyrekte de artmaya devam etmesi bu konuda yanılmadığımızı gösterdi. Ayrıca ilaç sektöründeki yatırımların artarak devam </w:t>
      </w:r>
      <w:r w:rsidRPr="4BBB0620">
        <w:rPr>
          <w:rFonts w:ascii="Verdana" w:hAnsi="Verdana" w:cs="Arial"/>
          <w:lang w:val="tr-TR"/>
        </w:rPr>
        <w:lastRenderedPageBreak/>
        <w:t>etmesinin kalifiye insan kaynaklarına duyulan ihtiyacı artırabileceğini ve dolayısıyla bu sektördeki pozitif istihdam trendinin devam edebileceğini düşünüyoruz. Ek olarak, elektrik, gaz ve su hizmetleri sektörü de Türkiye’nin büyümekte olan sektörlerinden biri olarak dikkat çekiyor. Bu sektörde de büyüme hızının artacağını tahmin ediyoruz.”</w:t>
      </w:r>
    </w:p>
    <w:p w14:paraId="35FFA561" w14:textId="489F6FDC" w:rsidR="009F11BF" w:rsidRPr="00366FDD"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2793236A" w14:textId="367D0CD8" w:rsidR="009F11BF" w:rsidRPr="00366FDD" w:rsidRDefault="4BBB0620" w:rsidP="4BBB0620">
      <w:pPr>
        <w:tabs>
          <w:tab w:val="left" w:pos="284"/>
        </w:tabs>
        <w:spacing w:line="360" w:lineRule="auto"/>
        <w:ind w:right="-1"/>
        <w:contextualSpacing/>
        <w:jc w:val="both"/>
        <w:rPr>
          <w:rFonts w:ascii="Verdana" w:hAnsi="Verdana" w:cs="Arial"/>
          <w:b/>
          <w:bCs/>
          <w:lang w:val="tr-TR"/>
        </w:rPr>
      </w:pPr>
      <w:r w:rsidRPr="4BBB0620">
        <w:rPr>
          <w:rFonts w:ascii="Verdana" w:hAnsi="Verdana" w:cs="Arial"/>
          <w:b/>
          <w:bCs/>
          <w:lang w:val="tr-TR"/>
        </w:rPr>
        <w:t>İlaç sektörü üç çeyrektir zirvede</w:t>
      </w:r>
    </w:p>
    <w:p w14:paraId="7F7155B8" w14:textId="77777777" w:rsidR="00981069" w:rsidRPr="00981069"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11 sektörün tamamında işverenler, 2018'in 2. çeyreğinde istihdam seviyelerinde artış öngörüyor. İlaç ile Elektrik, Gaz ve Su sektörlerinde, sırasıyla +%29 ve +%25 Net İstihdam Görünümüyle, sağlıklı istihdam artışı öngörülüyor. İnşaat sektörü işverenleri de, +%21'lik bir Görünüm ile aktif bir işe alım hızı bildirirken, Üretim sektörü +%20'lik bir işe alım hızı bildiriyor. İstihdam görünümü +%18 seviyesinde olan Tarım, Avcılık, Ormancılık ve Balıkçılık sektörü işverenleri, istikrarlı bir istihdam artışı bekliyor. Diğer yandan, hem Finans, Sigortacılık, Gayrimenkul ve Kurumsal Hizmetler sektörü hem de Madencilik sektöründe işverenler +%17 istihdam görünümü bildiriyor. Bu arada, en zayıf görünümü +%7 ile Restoran ve Otelcilik sektörü işverenleri bildiriyor.</w:t>
      </w:r>
    </w:p>
    <w:p w14:paraId="39F2813C" w14:textId="77777777" w:rsidR="00981069" w:rsidRPr="00981069" w:rsidRDefault="00981069" w:rsidP="00981069">
      <w:pPr>
        <w:tabs>
          <w:tab w:val="left" w:pos="284"/>
        </w:tabs>
        <w:spacing w:line="360" w:lineRule="auto"/>
        <w:ind w:right="-1"/>
        <w:contextualSpacing/>
        <w:jc w:val="both"/>
        <w:rPr>
          <w:rFonts w:ascii="Verdana" w:hAnsi="Verdana" w:cs="Arial"/>
          <w:lang w:val="tr-TR"/>
        </w:rPr>
      </w:pPr>
    </w:p>
    <w:p w14:paraId="2754AB59" w14:textId="77777777" w:rsidR="00981069" w:rsidRPr="00981069"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Önceki çeyreğe göre 11 sektörün dokuzunda işe alım planları güçleniyor. İnşaat sektöründe yüzde 13 puanlık önemli bir iyileşme kaydedilirken, Restoran ve Otelcilik sektöründeki işverenler yüzde 11 puanlık bir artış bildiriyor. Elektrik, Gaz ve Su sektörü ile Üretim sektörü işverenleri yüzde 10 puanlık iyileştirme bildirirken, Ulaştırma, Depolama ve İletişim sektörü işverenleri, yüzde 6 puanlık bir artış bildiriyor. Bununla birlikte, hem Finans, Sigortacılık, Gayrimenkul ve Kurumsal Hizmetler sektörü hem de Toptan ve Perakende Ticaret sektöründe işe alma beklentileri değişmiyor.</w:t>
      </w:r>
    </w:p>
    <w:p w14:paraId="763E32EC" w14:textId="77777777" w:rsidR="00981069" w:rsidRPr="00981069" w:rsidRDefault="00981069" w:rsidP="00981069">
      <w:pPr>
        <w:tabs>
          <w:tab w:val="left" w:pos="284"/>
        </w:tabs>
        <w:spacing w:line="360" w:lineRule="auto"/>
        <w:ind w:right="-1"/>
        <w:contextualSpacing/>
        <w:jc w:val="both"/>
        <w:rPr>
          <w:rFonts w:ascii="Verdana" w:hAnsi="Verdana" w:cs="Arial"/>
          <w:lang w:val="tr-TR"/>
        </w:rPr>
      </w:pPr>
    </w:p>
    <w:p w14:paraId="2DE9E6D9" w14:textId="4B346D69" w:rsidR="00911CE6"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Görünümler, geçen yılın aynı dönemine göre 11 sanayi sektörünün tamamında iyileşiyor. İnşaat sektöründe yüzde 21 puanlık keskin bir artış kaydedilirken, Üretim sektöründeki işverenler yüzde 11 puanlık önemli bir artış bildiriyor. Ulaştırma, Depolama ve İletişim sektörü yüzde 9 puanlık bir artış gösterirken, Tarım, Avcılık, Ormancılık ve Balıkçılık sektörü, Elektrik, Gaz ve Su sektörü, Restoran ve Otelcilik sektörü ve İlaç sektörü olmak üzere dört sektörde yüzde 8 puanlık artış kaydediliyor.</w:t>
      </w:r>
    </w:p>
    <w:p w14:paraId="4822906F" w14:textId="77777777" w:rsidR="00AF435A" w:rsidRDefault="00AF435A" w:rsidP="4BBB0620">
      <w:pPr>
        <w:tabs>
          <w:tab w:val="left" w:pos="284"/>
        </w:tabs>
        <w:spacing w:line="360" w:lineRule="auto"/>
        <w:ind w:right="-1"/>
        <w:contextualSpacing/>
        <w:jc w:val="both"/>
        <w:rPr>
          <w:rFonts w:ascii="Verdana" w:hAnsi="Verdana" w:cs="Arial"/>
          <w:lang w:val="tr-TR"/>
        </w:rPr>
      </w:pPr>
    </w:p>
    <w:p w14:paraId="710BD90C" w14:textId="77777777" w:rsidR="00AF435A" w:rsidRDefault="00AF435A" w:rsidP="4BBB0620">
      <w:pPr>
        <w:tabs>
          <w:tab w:val="left" w:pos="284"/>
        </w:tabs>
        <w:spacing w:line="360" w:lineRule="auto"/>
        <w:ind w:right="-1"/>
        <w:contextualSpacing/>
        <w:jc w:val="both"/>
        <w:rPr>
          <w:rFonts w:ascii="Verdana" w:hAnsi="Verdana" w:cs="Arial"/>
          <w:lang w:val="tr-TR"/>
        </w:rPr>
      </w:pPr>
    </w:p>
    <w:p w14:paraId="76D6E00C" w14:textId="77777777" w:rsidR="003D57B5" w:rsidRPr="00366FDD" w:rsidRDefault="003D57B5" w:rsidP="4BBB0620">
      <w:pPr>
        <w:tabs>
          <w:tab w:val="left" w:pos="284"/>
        </w:tabs>
        <w:spacing w:line="360" w:lineRule="auto"/>
        <w:ind w:right="-1"/>
        <w:contextualSpacing/>
        <w:jc w:val="both"/>
        <w:rPr>
          <w:rFonts w:ascii="Verdana" w:hAnsi="Verdana" w:cs="Arial"/>
          <w:lang w:val="tr-TR"/>
        </w:rPr>
      </w:pPr>
    </w:p>
    <w:p w14:paraId="325B6BAC" w14:textId="7B448136" w:rsidR="00D01A9D" w:rsidRPr="00366FDD" w:rsidRDefault="00D01A9D" w:rsidP="00D01A9D">
      <w:pPr>
        <w:tabs>
          <w:tab w:val="left" w:pos="284"/>
        </w:tabs>
        <w:spacing w:line="360" w:lineRule="auto"/>
        <w:ind w:right="-1"/>
        <w:contextualSpacing/>
        <w:jc w:val="both"/>
        <w:rPr>
          <w:rFonts w:ascii="Verdana" w:hAnsi="Verdana" w:cs="Arial"/>
          <w:lang w:val="tr-TR"/>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2410"/>
      </w:tblGrid>
      <w:tr w:rsidR="00911CE6" w:rsidRPr="00366FDD" w14:paraId="2F14E3B9" w14:textId="77777777" w:rsidTr="4BBB0620">
        <w:trPr>
          <w:trHeight w:val="718"/>
        </w:trPr>
        <w:tc>
          <w:tcPr>
            <w:tcW w:w="6095" w:type="dxa"/>
            <w:tcBorders>
              <w:top w:val="nil"/>
              <w:left w:val="nil"/>
              <w:bottom w:val="single" w:sz="4" w:space="0" w:color="auto"/>
              <w:right w:val="single" w:sz="4" w:space="0" w:color="auto"/>
            </w:tcBorders>
          </w:tcPr>
          <w:p w14:paraId="7CF66CFE" w14:textId="77777777" w:rsidR="00D01A9D" w:rsidRPr="00366FDD" w:rsidRDefault="00D01A9D" w:rsidP="00CF06E0">
            <w:pPr>
              <w:tabs>
                <w:tab w:val="left" w:pos="284"/>
              </w:tabs>
              <w:spacing w:line="360" w:lineRule="auto"/>
              <w:ind w:right="-1"/>
              <w:contextualSpacing/>
              <w:rPr>
                <w:rFonts w:ascii="Verdana" w:hAnsi="Verdana" w:cs="Arial"/>
                <w:lang w:val="tr-TR"/>
              </w:rPr>
            </w:pPr>
          </w:p>
        </w:tc>
        <w:tc>
          <w:tcPr>
            <w:tcW w:w="2410" w:type="dxa"/>
            <w:tcBorders>
              <w:top w:val="single" w:sz="4" w:space="0" w:color="auto"/>
              <w:left w:val="single" w:sz="4" w:space="0" w:color="auto"/>
              <w:bottom w:val="single" w:sz="4" w:space="0" w:color="auto"/>
              <w:right w:val="single" w:sz="4" w:space="0" w:color="auto"/>
            </w:tcBorders>
            <w:hideMark/>
          </w:tcPr>
          <w:p w14:paraId="14C0449C" w14:textId="5CA02AF9" w:rsidR="00D01A9D" w:rsidRPr="00366FDD" w:rsidRDefault="4BBB0620" w:rsidP="4BBB0620">
            <w:pPr>
              <w:tabs>
                <w:tab w:val="left" w:pos="284"/>
                <w:tab w:val="left" w:pos="1734"/>
                <w:tab w:val="left" w:pos="2018"/>
              </w:tabs>
              <w:spacing w:line="360" w:lineRule="auto"/>
              <w:ind w:right="-1"/>
              <w:contextualSpacing/>
              <w:jc w:val="center"/>
              <w:rPr>
                <w:rFonts w:ascii="Verdana" w:hAnsi="Verdana" w:cs="Arial"/>
                <w:b/>
                <w:bCs/>
                <w:lang w:val="tr-TR"/>
              </w:rPr>
            </w:pPr>
            <w:r w:rsidRPr="4BBB0620">
              <w:rPr>
                <w:rFonts w:ascii="Verdana" w:hAnsi="Verdana" w:cs="Arial"/>
                <w:b/>
                <w:bCs/>
                <w:color w:val="000000" w:themeColor="text1"/>
                <w:lang w:val="tr-TR"/>
              </w:rPr>
              <w:t>Net İstihdam Görünümü</w:t>
            </w:r>
            <w:r w:rsidRPr="4BBB0620">
              <w:rPr>
                <w:rFonts w:ascii="Verdana" w:hAnsi="Verdana" w:cs="Arial"/>
                <w:b/>
                <w:bCs/>
                <w:lang w:val="tr-TR"/>
              </w:rPr>
              <w:t xml:space="preserve"> (%)</w:t>
            </w:r>
          </w:p>
        </w:tc>
      </w:tr>
      <w:tr w:rsidR="00981069" w:rsidRPr="00366FDD" w14:paraId="7AF81EF5"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4F70FBE2" w14:textId="01E14362" w:rsidR="00981069" w:rsidRPr="00366FDD" w:rsidRDefault="4BBB0620" w:rsidP="4BBB0620">
            <w:pPr>
              <w:tabs>
                <w:tab w:val="left" w:pos="284"/>
              </w:tabs>
              <w:spacing w:line="360" w:lineRule="auto"/>
              <w:ind w:left="-392" w:right="-1" w:firstLine="392"/>
              <w:contextualSpacing/>
              <w:rPr>
                <w:rFonts w:ascii="Verdana" w:hAnsi="Verdana" w:cs="Arial"/>
                <w:lang w:val="tr-TR"/>
              </w:rPr>
            </w:pPr>
            <w:r w:rsidRPr="4BBB0620">
              <w:rPr>
                <w:rFonts w:ascii="Verdana" w:hAnsi="Verdana" w:cs="Arial"/>
                <w:lang w:val="tr-TR"/>
              </w:rPr>
              <w:t>Tarım, Ormancılık, Avcılık ve Balıkçılık</w:t>
            </w:r>
          </w:p>
        </w:tc>
        <w:tc>
          <w:tcPr>
            <w:tcW w:w="2410" w:type="dxa"/>
            <w:tcBorders>
              <w:top w:val="single" w:sz="4" w:space="0" w:color="auto"/>
              <w:left w:val="single" w:sz="4" w:space="0" w:color="auto"/>
              <w:bottom w:val="single" w:sz="4" w:space="0" w:color="auto"/>
              <w:right w:val="single" w:sz="4" w:space="0" w:color="auto"/>
            </w:tcBorders>
            <w:hideMark/>
          </w:tcPr>
          <w:p w14:paraId="3C7BF879" w14:textId="321F7410"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18</w:t>
            </w:r>
          </w:p>
        </w:tc>
      </w:tr>
      <w:tr w:rsidR="00981069" w:rsidRPr="00366FDD" w14:paraId="590E8CAB"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BC89784" w14:textId="4ACCDA25"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İnşaat</w:t>
            </w:r>
          </w:p>
        </w:tc>
        <w:tc>
          <w:tcPr>
            <w:tcW w:w="2410" w:type="dxa"/>
            <w:tcBorders>
              <w:top w:val="single" w:sz="4" w:space="0" w:color="auto"/>
              <w:left w:val="single" w:sz="4" w:space="0" w:color="auto"/>
              <w:bottom w:val="single" w:sz="4" w:space="0" w:color="auto"/>
              <w:right w:val="single" w:sz="4" w:space="0" w:color="auto"/>
            </w:tcBorders>
            <w:hideMark/>
          </w:tcPr>
          <w:p w14:paraId="796955D4" w14:textId="7BB45F4D"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21</w:t>
            </w:r>
          </w:p>
        </w:tc>
      </w:tr>
      <w:tr w:rsidR="00981069" w:rsidRPr="00366FDD" w14:paraId="1D603956"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E375045" w14:textId="4B2E4413"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Elektrik, Gaz ve Su Hizmetleri</w:t>
            </w:r>
          </w:p>
        </w:tc>
        <w:tc>
          <w:tcPr>
            <w:tcW w:w="2410" w:type="dxa"/>
            <w:tcBorders>
              <w:top w:val="single" w:sz="4" w:space="0" w:color="auto"/>
              <w:left w:val="single" w:sz="4" w:space="0" w:color="auto"/>
              <w:bottom w:val="single" w:sz="4" w:space="0" w:color="auto"/>
              <w:right w:val="single" w:sz="4" w:space="0" w:color="auto"/>
            </w:tcBorders>
            <w:hideMark/>
          </w:tcPr>
          <w:p w14:paraId="4B0F19DE" w14:textId="51B916D7"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25</w:t>
            </w:r>
          </w:p>
        </w:tc>
      </w:tr>
      <w:tr w:rsidR="00981069" w:rsidRPr="00366FDD" w14:paraId="5E8F54DB" w14:textId="77777777" w:rsidTr="4BBB0620">
        <w:trPr>
          <w:trHeight w:val="431"/>
        </w:trPr>
        <w:tc>
          <w:tcPr>
            <w:tcW w:w="6095" w:type="dxa"/>
            <w:tcBorders>
              <w:top w:val="single" w:sz="4" w:space="0" w:color="auto"/>
              <w:left w:val="single" w:sz="4" w:space="0" w:color="auto"/>
              <w:bottom w:val="single" w:sz="4" w:space="0" w:color="auto"/>
              <w:right w:val="single" w:sz="4" w:space="0" w:color="auto"/>
            </w:tcBorders>
            <w:vAlign w:val="bottom"/>
            <w:hideMark/>
          </w:tcPr>
          <w:p w14:paraId="0F8449FF" w14:textId="322EDD69"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Finans, Sigorta, Gayrimenkul ve Kurumsal Hizmetler</w:t>
            </w:r>
          </w:p>
        </w:tc>
        <w:tc>
          <w:tcPr>
            <w:tcW w:w="2410" w:type="dxa"/>
            <w:tcBorders>
              <w:top w:val="single" w:sz="4" w:space="0" w:color="auto"/>
              <w:left w:val="single" w:sz="4" w:space="0" w:color="auto"/>
              <w:bottom w:val="single" w:sz="4" w:space="0" w:color="auto"/>
              <w:right w:val="single" w:sz="4" w:space="0" w:color="auto"/>
            </w:tcBorders>
            <w:hideMark/>
          </w:tcPr>
          <w:p w14:paraId="6117867D" w14:textId="44AE1856"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17</w:t>
            </w:r>
          </w:p>
        </w:tc>
      </w:tr>
      <w:tr w:rsidR="00981069" w:rsidRPr="00366FDD" w14:paraId="10512B81"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BB74188" w14:textId="11C1C819"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Üretim</w:t>
            </w:r>
          </w:p>
        </w:tc>
        <w:tc>
          <w:tcPr>
            <w:tcW w:w="2410" w:type="dxa"/>
            <w:tcBorders>
              <w:top w:val="single" w:sz="4" w:space="0" w:color="auto"/>
              <w:left w:val="single" w:sz="4" w:space="0" w:color="auto"/>
              <w:bottom w:val="single" w:sz="4" w:space="0" w:color="auto"/>
              <w:right w:val="single" w:sz="4" w:space="0" w:color="auto"/>
            </w:tcBorders>
            <w:hideMark/>
          </w:tcPr>
          <w:p w14:paraId="0059CE6F" w14:textId="65E87A19"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20</w:t>
            </w:r>
          </w:p>
        </w:tc>
      </w:tr>
      <w:tr w:rsidR="00981069" w:rsidRPr="00366FDD" w14:paraId="3CE82CFF"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14FEA9AB" w14:textId="1C59C02A"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Madencilik</w:t>
            </w:r>
          </w:p>
        </w:tc>
        <w:tc>
          <w:tcPr>
            <w:tcW w:w="2410" w:type="dxa"/>
            <w:tcBorders>
              <w:top w:val="single" w:sz="4" w:space="0" w:color="auto"/>
              <w:left w:val="single" w:sz="4" w:space="0" w:color="auto"/>
              <w:bottom w:val="single" w:sz="4" w:space="0" w:color="auto"/>
              <w:right w:val="single" w:sz="4" w:space="0" w:color="auto"/>
            </w:tcBorders>
            <w:hideMark/>
          </w:tcPr>
          <w:p w14:paraId="08BFB0A4" w14:textId="22A10FA3"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17</w:t>
            </w:r>
          </w:p>
        </w:tc>
      </w:tr>
      <w:tr w:rsidR="00981069" w:rsidRPr="00366FDD" w14:paraId="1F7EE79F"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3212FF1F" w14:textId="0AC6C3C5"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Kamu ve Sosyal Hizmetler</w:t>
            </w:r>
          </w:p>
        </w:tc>
        <w:tc>
          <w:tcPr>
            <w:tcW w:w="2410" w:type="dxa"/>
            <w:tcBorders>
              <w:top w:val="single" w:sz="4" w:space="0" w:color="auto"/>
              <w:left w:val="single" w:sz="4" w:space="0" w:color="auto"/>
              <w:bottom w:val="single" w:sz="4" w:space="0" w:color="auto"/>
              <w:right w:val="single" w:sz="4" w:space="0" w:color="auto"/>
            </w:tcBorders>
            <w:hideMark/>
          </w:tcPr>
          <w:p w14:paraId="1DD21511" w14:textId="17E1B20A"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15</w:t>
            </w:r>
          </w:p>
        </w:tc>
      </w:tr>
      <w:tr w:rsidR="00981069" w:rsidRPr="00366FDD" w14:paraId="438839B8" w14:textId="77777777" w:rsidTr="4BBB0620">
        <w:trPr>
          <w:trHeight w:val="224"/>
        </w:trPr>
        <w:tc>
          <w:tcPr>
            <w:tcW w:w="6095" w:type="dxa"/>
            <w:tcBorders>
              <w:top w:val="single" w:sz="4" w:space="0" w:color="auto"/>
              <w:left w:val="single" w:sz="4" w:space="0" w:color="auto"/>
              <w:bottom w:val="single" w:sz="4" w:space="0" w:color="auto"/>
              <w:right w:val="single" w:sz="4" w:space="0" w:color="auto"/>
            </w:tcBorders>
            <w:vAlign w:val="center"/>
            <w:hideMark/>
          </w:tcPr>
          <w:p w14:paraId="62888C50" w14:textId="7042D7C2"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Restoran ve Otelcilik</w:t>
            </w:r>
          </w:p>
        </w:tc>
        <w:tc>
          <w:tcPr>
            <w:tcW w:w="2410" w:type="dxa"/>
            <w:tcBorders>
              <w:top w:val="single" w:sz="4" w:space="0" w:color="auto"/>
              <w:left w:val="single" w:sz="4" w:space="0" w:color="auto"/>
              <w:bottom w:val="single" w:sz="4" w:space="0" w:color="auto"/>
              <w:right w:val="single" w:sz="4" w:space="0" w:color="auto"/>
            </w:tcBorders>
            <w:hideMark/>
          </w:tcPr>
          <w:p w14:paraId="2B7BB2D4" w14:textId="4877EA98"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7</w:t>
            </w:r>
          </w:p>
        </w:tc>
      </w:tr>
      <w:tr w:rsidR="00981069" w:rsidRPr="00366FDD" w14:paraId="570B76EB" w14:textId="77777777" w:rsidTr="4BBB0620">
        <w:trPr>
          <w:trHeight w:val="391"/>
        </w:trPr>
        <w:tc>
          <w:tcPr>
            <w:tcW w:w="6095" w:type="dxa"/>
            <w:tcBorders>
              <w:top w:val="single" w:sz="4" w:space="0" w:color="auto"/>
              <w:left w:val="single" w:sz="4" w:space="0" w:color="auto"/>
              <w:bottom w:val="single" w:sz="4" w:space="0" w:color="auto"/>
              <w:right w:val="single" w:sz="4" w:space="0" w:color="auto"/>
            </w:tcBorders>
            <w:vAlign w:val="center"/>
            <w:hideMark/>
          </w:tcPr>
          <w:p w14:paraId="5C1B255A" w14:textId="1D06ACC2"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Ulaştırma, Depolama ve İletişim</w:t>
            </w:r>
          </w:p>
        </w:tc>
        <w:tc>
          <w:tcPr>
            <w:tcW w:w="2410" w:type="dxa"/>
            <w:tcBorders>
              <w:top w:val="single" w:sz="4" w:space="0" w:color="auto"/>
              <w:left w:val="single" w:sz="4" w:space="0" w:color="auto"/>
              <w:bottom w:val="single" w:sz="4" w:space="0" w:color="auto"/>
              <w:right w:val="single" w:sz="4" w:space="0" w:color="auto"/>
            </w:tcBorders>
            <w:hideMark/>
          </w:tcPr>
          <w:p w14:paraId="1874E1E9" w14:textId="6496DA6C"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14</w:t>
            </w:r>
          </w:p>
        </w:tc>
      </w:tr>
      <w:tr w:rsidR="00981069" w:rsidRPr="00366FDD" w14:paraId="3EBB766F"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center"/>
            <w:hideMark/>
          </w:tcPr>
          <w:p w14:paraId="6DDDF5F4" w14:textId="39CC08AE"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Toptan ve Perakende Ticaret</w:t>
            </w:r>
          </w:p>
        </w:tc>
        <w:tc>
          <w:tcPr>
            <w:tcW w:w="2410" w:type="dxa"/>
            <w:tcBorders>
              <w:top w:val="single" w:sz="4" w:space="0" w:color="auto"/>
              <w:left w:val="single" w:sz="4" w:space="0" w:color="auto"/>
              <w:bottom w:val="single" w:sz="4" w:space="0" w:color="auto"/>
              <w:right w:val="single" w:sz="4" w:space="0" w:color="auto"/>
            </w:tcBorders>
            <w:hideMark/>
          </w:tcPr>
          <w:p w14:paraId="773170A6" w14:textId="0A465155"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16</w:t>
            </w:r>
          </w:p>
        </w:tc>
      </w:tr>
      <w:tr w:rsidR="00981069" w:rsidRPr="00366FDD" w14:paraId="3E6C0178" w14:textId="77777777" w:rsidTr="4BBB0620">
        <w:trPr>
          <w:trHeight w:val="239"/>
        </w:trPr>
        <w:tc>
          <w:tcPr>
            <w:tcW w:w="6095" w:type="dxa"/>
            <w:tcBorders>
              <w:top w:val="single" w:sz="4" w:space="0" w:color="auto"/>
              <w:left w:val="single" w:sz="4" w:space="0" w:color="auto"/>
              <w:bottom w:val="single" w:sz="4" w:space="0" w:color="auto"/>
              <w:right w:val="single" w:sz="4" w:space="0" w:color="auto"/>
            </w:tcBorders>
            <w:vAlign w:val="bottom"/>
            <w:hideMark/>
          </w:tcPr>
          <w:p w14:paraId="38BB49FB" w14:textId="3B91F8DA" w:rsidR="00981069" w:rsidRPr="00366FDD" w:rsidRDefault="4BBB0620" w:rsidP="4BBB0620">
            <w:pPr>
              <w:tabs>
                <w:tab w:val="left" w:pos="284"/>
              </w:tabs>
              <w:spacing w:line="360" w:lineRule="auto"/>
              <w:ind w:right="-1"/>
              <w:contextualSpacing/>
              <w:rPr>
                <w:rFonts w:ascii="Verdana" w:hAnsi="Verdana" w:cs="Arial"/>
                <w:lang w:val="tr-TR"/>
              </w:rPr>
            </w:pPr>
            <w:r w:rsidRPr="4BBB0620">
              <w:rPr>
                <w:rFonts w:ascii="Verdana" w:hAnsi="Verdana" w:cs="Arial"/>
                <w:lang w:val="tr-TR"/>
              </w:rPr>
              <w:t>İlaç</w:t>
            </w:r>
          </w:p>
        </w:tc>
        <w:tc>
          <w:tcPr>
            <w:tcW w:w="2410" w:type="dxa"/>
            <w:tcBorders>
              <w:top w:val="single" w:sz="4" w:space="0" w:color="auto"/>
              <w:left w:val="single" w:sz="4" w:space="0" w:color="auto"/>
              <w:bottom w:val="single" w:sz="4" w:space="0" w:color="auto"/>
              <w:right w:val="single" w:sz="4" w:space="0" w:color="auto"/>
            </w:tcBorders>
            <w:hideMark/>
          </w:tcPr>
          <w:p w14:paraId="0411EADE" w14:textId="46AAD32A" w:rsidR="00981069" w:rsidRPr="00366FDD" w:rsidRDefault="4BBB0620" w:rsidP="4BBB0620">
            <w:pPr>
              <w:tabs>
                <w:tab w:val="left" w:pos="284"/>
                <w:tab w:val="left" w:pos="2018"/>
              </w:tabs>
              <w:spacing w:line="360" w:lineRule="auto"/>
              <w:ind w:right="-1"/>
              <w:contextualSpacing/>
              <w:jc w:val="center"/>
              <w:rPr>
                <w:rFonts w:ascii="Verdana" w:hAnsi="Verdana" w:cs="Arial"/>
                <w:lang w:val="tr-TR"/>
              </w:rPr>
            </w:pPr>
            <w:r w:rsidRPr="4BBB0620">
              <w:rPr>
                <w:rFonts w:ascii="Verdana" w:hAnsi="Verdana" w:cs="Arial"/>
                <w:lang w:val="tr-TR"/>
              </w:rPr>
              <w:t>29</w:t>
            </w:r>
          </w:p>
        </w:tc>
      </w:tr>
    </w:tbl>
    <w:p w14:paraId="33632104" w14:textId="77777777" w:rsidR="00D01A9D" w:rsidRPr="00366FDD" w:rsidRDefault="00D01A9D" w:rsidP="00D01A9D">
      <w:pPr>
        <w:tabs>
          <w:tab w:val="left" w:pos="284"/>
        </w:tabs>
        <w:spacing w:line="360" w:lineRule="auto"/>
        <w:ind w:right="-1"/>
        <w:contextualSpacing/>
        <w:jc w:val="both"/>
        <w:rPr>
          <w:rFonts w:ascii="Verdana" w:hAnsi="Verdana" w:cs="Arial"/>
          <w:color w:val="808080" w:themeColor="background1" w:themeShade="80"/>
          <w:lang w:val="tr-TR"/>
        </w:rPr>
      </w:pPr>
    </w:p>
    <w:p w14:paraId="530E2317" w14:textId="205A131A" w:rsidR="009F11BF" w:rsidRPr="00366FDD" w:rsidRDefault="009F11BF" w:rsidP="009F11BF">
      <w:pPr>
        <w:tabs>
          <w:tab w:val="left" w:pos="284"/>
        </w:tabs>
        <w:spacing w:line="360" w:lineRule="auto"/>
        <w:ind w:right="-1"/>
        <w:contextualSpacing/>
        <w:jc w:val="both"/>
        <w:rPr>
          <w:rFonts w:ascii="Verdana" w:hAnsi="Verdana" w:cs="Arial"/>
          <w:color w:val="808080" w:themeColor="background1" w:themeShade="80"/>
          <w:lang w:val="tr-TR"/>
        </w:rPr>
      </w:pPr>
    </w:p>
    <w:p w14:paraId="3A9B9E45" w14:textId="796AA61B" w:rsidR="00D01A9D" w:rsidRPr="00366FDD" w:rsidRDefault="4BBB0620" w:rsidP="4BBB0620">
      <w:pPr>
        <w:tabs>
          <w:tab w:val="left" w:pos="284"/>
        </w:tabs>
        <w:spacing w:line="360" w:lineRule="auto"/>
        <w:ind w:right="-1"/>
        <w:contextualSpacing/>
        <w:jc w:val="both"/>
        <w:rPr>
          <w:rFonts w:ascii="Verdana" w:hAnsi="Verdana" w:cs="Arial"/>
          <w:b/>
          <w:bCs/>
          <w:lang w:val="tr-TR"/>
        </w:rPr>
      </w:pPr>
      <w:r w:rsidRPr="4BBB0620">
        <w:rPr>
          <w:rFonts w:ascii="Verdana" w:hAnsi="Verdana" w:cs="Arial"/>
          <w:b/>
          <w:bCs/>
          <w:lang w:val="tr-TR"/>
        </w:rPr>
        <w:t>İkinci çeyreğin en güçlü istihdam görünümü Marmara’da</w:t>
      </w:r>
    </w:p>
    <w:p w14:paraId="3DB2C415" w14:textId="77777777" w:rsidR="00981069" w:rsidRPr="00981069"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İşverenler, beş bölgenin tamamında 2018 yılının 2. çeyreğinde istihdam seviyesinde artış öngörüyor. En güçlü istihdam piyasası, Net İstihdam Görünümü +%23 seviyesinde olan Marmara bölgesinde tahmin ediliyor. Ege'de işe alım planları +%20 ile olumlu seyrini korurken, Karadeniz ve İç Anadolu'da işverenler sırasıyla +%15 ve +%13'lük istikrarlı istihdam artışı öngörüyor. En zayıf bölgesel Görünümü, +%10 ile Akdeniz Bölgesi bildiriyor.</w:t>
      </w:r>
    </w:p>
    <w:p w14:paraId="0E194036" w14:textId="77777777" w:rsidR="00981069" w:rsidRPr="00981069" w:rsidRDefault="00981069" w:rsidP="00981069">
      <w:pPr>
        <w:tabs>
          <w:tab w:val="left" w:pos="284"/>
        </w:tabs>
        <w:spacing w:line="360" w:lineRule="auto"/>
        <w:ind w:right="-1"/>
        <w:contextualSpacing/>
        <w:jc w:val="both"/>
        <w:rPr>
          <w:rFonts w:ascii="Verdana" w:hAnsi="Verdana" w:cs="Arial"/>
          <w:lang w:val="tr-TR"/>
        </w:rPr>
      </w:pPr>
    </w:p>
    <w:p w14:paraId="79C0FE47" w14:textId="77777777" w:rsidR="00981069" w:rsidRPr="00981069"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Önceki çeyreğe göre, beş bölgenin dördünde işverenler daha güçlü işe alım beklentileri bildiriyor. Egeli işverenler yüzde 11 puanlık önemli bir artış bildirirken Akdenizli işverenlerin Görünümü yüzde 7 puan güçleniyor. Marmara'da işverenler yüzde 5 puanlık mütevazı bir artış bildirirken, Karadeniz için görünüm yüzde 4 puan artıyor. Bununla birlikte, İç Anadolu'da işverenler yüzde 4 puanlık hafif bir düşüş bildiriyor.</w:t>
      </w:r>
    </w:p>
    <w:tbl>
      <w:tblPr>
        <w:tblpPr w:leftFromText="180" w:rightFromText="180" w:vertAnchor="text" w:horzAnchor="margin" w:tblpXSpec="center" w:tblpY="90"/>
        <w:tblW w:w="7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8"/>
        <w:gridCol w:w="2902"/>
      </w:tblGrid>
      <w:tr w:rsidR="005C34AB" w:rsidRPr="00366FDD" w14:paraId="4B495564" w14:textId="77777777" w:rsidTr="005C34AB">
        <w:trPr>
          <w:trHeight w:val="642"/>
        </w:trPr>
        <w:tc>
          <w:tcPr>
            <w:tcW w:w="4148" w:type="dxa"/>
            <w:tcBorders>
              <w:top w:val="nil"/>
              <w:left w:val="nil"/>
              <w:bottom w:val="single" w:sz="4" w:space="0" w:color="auto"/>
              <w:right w:val="single" w:sz="4" w:space="0" w:color="auto"/>
            </w:tcBorders>
          </w:tcPr>
          <w:p w14:paraId="0249A4F3" w14:textId="77777777" w:rsidR="005C34AB" w:rsidRPr="00366FDD" w:rsidRDefault="005C34AB" w:rsidP="005C34AB">
            <w:pPr>
              <w:tabs>
                <w:tab w:val="left" w:pos="284"/>
              </w:tabs>
              <w:spacing w:line="360" w:lineRule="auto"/>
              <w:ind w:right="-1"/>
              <w:contextualSpacing/>
              <w:rPr>
                <w:rFonts w:ascii="Verdana" w:hAnsi="Verdana" w:cs="Arial"/>
                <w:lang w:val="tr-TR"/>
              </w:rPr>
            </w:pPr>
          </w:p>
        </w:tc>
        <w:tc>
          <w:tcPr>
            <w:tcW w:w="2902" w:type="dxa"/>
            <w:tcBorders>
              <w:top w:val="single" w:sz="4" w:space="0" w:color="auto"/>
              <w:left w:val="single" w:sz="4" w:space="0" w:color="auto"/>
              <w:bottom w:val="single" w:sz="4" w:space="0" w:color="auto"/>
              <w:right w:val="single" w:sz="4" w:space="0" w:color="auto"/>
            </w:tcBorders>
            <w:hideMark/>
          </w:tcPr>
          <w:p w14:paraId="5E49AB9C" w14:textId="77777777" w:rsidR="005C34AB" w:rsidRPr="00366FDD" w:rsidRDefault="005C34AB" w:rsidP="005C34AB">
            <w:pPr>
              <w:tabs>
                <w:tab w:val="left" w:pos="284"/>
              </w:tabs>
              <w:spacing w:line="360" w:lineRule="auto"/>
              <w:ind w:right="-1"/>
              <w:contextualSpacing/>
              <w:jc w:val="center"/>
              <w:rPr>
                <w:rFonts w:ascii="Verdana" w:hAnsi="Verdana" w:cs="Arial"/>
                <w:b/>
                <w:bCs/>
                <w:lang w:val="tr-TR"/>
              </w:rPr>
            </w:pPr>
            <w:r w:rsidRPr="4BBB0620">
              <w:rPr>
                <w:rFonts w:ascii="Verdana" w:hAnsi="Verdana" w:cs="Arial"/>
                <w:b/>
                <w:bCs/>
                <w:color w:val="000000" w:themeColor="text1"/>
                <w:lang w:val="tr-TR"/>
              </w:rPr>
              <w:t>Net İstihdam Görünümü (%)</w:t>
            </w:r>
          </w:p>
        </w:tc>
      </w:tr>
      <w:tr w:rsidR="005C34AB" w:rsidRPr="00366FDD" w14:paraId="108F1472" w14:textId="77777777" w:rsidTr="005C34AB">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575DC660" w14:textId="77777777" w:rsidR="005C34AB" w:rsidRPr="00366FDD" w:rsidRDefault="005C34AB" w:rsidP="005C34AB">
            <w:pPr>
              <w:tabs>
                <w:tab w:val="left" w:pos="284"/>
              </w:tabs>
              <w:spacing w:line="360" w:lineRule="auto"/>
              <w:ind w:right="-1"/>
              <w:contextualSpacing/>
              <w:rPr>
                <w:rFonts w:ascii="Verdana" w:hAnsi="Verdana" w:cs="Arial"/>
                <w:lang w:val="tr-TR"/>
              </w:rPr>
            </w:pPr>
            <w:r w:rsidRPr="4BBB0620">
              <w:rPr>
                <w:rFonts w:ascii="Verdana" w:hAnsi="Verdana" w:cs="Arial"/>
                <w:lang w:val="tr-TR"/>
              </w:rPr>
              <w:t>Ege</w:t>
            </w:r>
          </w:p>
        </w:tc>
        <w:tc>
          <w:tcPr>
            <w:tcW w:w="2902" w:type="dxa"/>
            <w:tcBorders>
              <w:top w:val="single" w:sz="4" w:space="0" w:color="auto"/>
              <w:left w:val="single" w:sz="4" w:space="0" w:color="auto"/>
              <w:bottom w:val="single" w:sz="4" w:space="0" w:color="auto"/>
              <w:right w:val="single" w:sz="4" w:space="0" w:color="auto"/>
            </w:tcBorders>
            <w:hideMark/>
          </w:tcPr>
          <w:p w14:paraId="4390440A" w14:textId="77777777" w:rsidR="005C34AB" w:rsidRPr="00366FDD" w:rsidRDefault="005C34AB" w:rsidP="005C34AB">
            <w:pPr>
              <w:tabs>
                <w:tab w:val="left" w:pos="284"/>
              </w:tabs>
              <w:spacing w:line="360" w:lineRule="auto"/>
              <w:ind w:right="-1"/>
              <w:contextualSpacing/>
              <w:jc w:val="center"/>
              <w:rPr>
                <w:rFonts w:ascii="Verdana" w:hAnsi="Verdana" w:cs="Arial"/>
                <w:lang w:val="tr-TR"/>
              </w:rPr>
            </w:pPr>
            <w:r w:rsidRPr="4BBB0620">
              <w:rPr>
                <w:rFonts w:ascii="Verdana" w:hAnsi="Verdana" w:cs="Arial"/>
                <w:lang w:val="tr-TR"/>
              </w:rPr>
              <w:t>20</w:t>
            </w:r>
          </w:p>
        </w:tc>
      </w:tr>
      <w:tr w:rsidR="005C34AB" w:rsidRPr="00366FDD" w14:paraId="64F329D2" w14:textId="77777777" w:rsidTr="005C34AB">
        <w:trPr>
          <w:trHeight w:val="252"/>
        </w:trPr>
        <w:tc>
          <w:tcPr>
            <w:tcW w:w="4148" w:type="dxa"/>
            <w:tcBorders>
              <w:top w:val="single" w:sz="4" w:space="0" w:color="auto"/>
              <w:left w:val="single" w:sz="4" w:space="0" w:color="auto"/>
              <w:bottom w:val="single" w:sz="4" w:space="0" w:color="auto"/>
              <w:right w:val="single" w:sz="4" w:space="0" w:color="auto"/>
            </w:tcBorders>
            <w:vAlign w:val="center"/>
            <w:hideMark/>
          </w:tcPr>
          <w:p w14:paraId="5C10009A" w14:textId="77777777" w:rsidR="005C34AB" w:rsidRPr="00366FDD" w:rsidRDefault="005C34AB" w:rsidP="005C34AB">
            <w:pPr>
              <w:tabs>
                <w:tab w:val="left" w:pos="284"/>
              </w:tabs>
              <w:spacing w:line="360" w:lineRule="auto"/>
              <w:ind w:right="-1"/>
              <w:contextualSpacing/>
              <w:rPr>
                <w:rFonts w:ascii="Verdana" w:hAnsi="Verdana" w:cs="Arial"/>
                <w:lang w:val="tr-TR"/>
              </w:rPr>
            </w:pPr>
            <w:r w:rsidRPr="4BBB0620">
              <w:rPr>
                <w:rFonts w:ascii="Verdana" w:hAnsi="Verdana" w:cs="Arial"/>
                <w:lang w:val="tr-TR"/>
              </w:rPr>
              <w:t>Karadeniz</w:t>
            </w:r>
          </w:p>
        </w:tc>
        <w:tc>
          <w:tcPr>
            <w:tcW w:w="2902" w:type="dxa"/>
            <w:tcBorders>
              <w:top w:val="single" w:sz="4" w:space="0" w:color="auto"/>
              <w:left w:val="single" w:sz="4" w:space="0" w:color="auto"/>
              <w:bottom w:val="single" w:sz="4" w:space="0" w:color="auto"/>
              <w:right w:val="single" w:sz="4" w:space="0" w:color="auto"/>
            </w:tcBorders>
            <w:hideMark/>
          </w:tcPr>
          <w:p w14:paraId="6CF3EDB5" w14:textId="77777777" w:rsidR="005C34AB" w:rsidRPr="00366FDD" w:rsidRDefault="005C34AB" w:rsidP="005C34AB">
            <w:pPr>
              <w:tabs>
                <w:tab w:val="left" w:pos="284"/>
              </w:tabs>
              <w:spacing w:line="360" w:lineRule="auto"/>
              <w:ind w:right="-1"/>
              <w:contextualSpacing/>
              <w:jc w:val="center"/>
              <w:rPr>
                <w:rFonts w:ascii="Verdana" w:hAnsi="Verdana" w:cs="Arial"/>
                <w:lang w:val="tr-TR"/>
              </w:rPr>
            </w:pPr>
            <w:r w:rsidRPr="4BBB0620">
              <w:rPr>
                <w:rFonts w:ascii="Verdana" w:hAnsi="Verdana" w:cs="Arial"/>
                <w:lang w:val="tr-TR"/>
              </w:rPr>
              <w:t>15</w:t>
            </w:r>
          </w:p>
        </w:tc>
      </w:tr>
      <w:tr w:rsidR="005C34AB" w:rsidRPr="00366FDD" w14:paraId="156AE152" w14:textId="77777777" w:rsidTr="005C34AB">
        <w:trPr>
          <w:trHeight w:val="318"/>
        </w:trPr>
        <w:tc>
          <w:tcPr>
            <w:tcW w:w="4148" w:type="dxa"/>
            <w:tcBorders>
              <w:top w:val="single" w:sz="4" w:space="0" w:color="auto"/>
              <w:left w:val="single" w:sz="4" w:space="0" w:color="auto"/>
              <w:bottom w:val="single" w:sz="4" w:space="0" w:color="auto"/>
              <w:right w:val="single" w:sz="4" w:space="0" w:color="auto"/>
            </w:tcBorders>
            <w:vAlign w:val="center"/>
            <w:hideMark/>
          </w:tcPr>
          <w:p w14:paraId="5F983ADF" w14:textId="77777777" w:rsidR="005C34AB" w:rsidRPr="00366FDD" w:rsidRDefault="005C34AB" w:rsidP="005C34AB">
            <w:pPr>
              <w:tabs>
                <w:tab w:val="left" w:pos="284"/>
              </w:tabs>
              <w:spacing w:line="360" w:lineRule="auto"/>
              <w:ind w:right="-1"/>
              <w:contextualSpacing/>
              <w:rPr>
                <w:rFonts w:ascii="Verdana" w:hAnsi="Verdana" w:cs="Arial"/>
                <w:lang w:val="tr-TR"/>
              </w:rPr>
            </w:pPr>
            <w:r w:rsidRPr="4BBB0620">
              <w:rPr>
                <w:rFonts w:ascii="Verdana" w:hAnsi="Verdana" w:cs="Arial"/>
                <w:lang w:val="tr-TR"/>
              </w:rPr>
              <w:t>İç Anadolu</w:t>
            </w:r>
          </w:p>
        </w:tc>
        <w:tc>
          <w:tcPr>
            <w:tcW w:w="2902" w:type="dxa"/>
            <w:tcBorders>
              <w:top w:val="single" w:sz="4" w:space="0" w:color="auto"/>
              <w:left w:val="single" w:sz="4" w:space="0" w:color="auto"/>
              <w:bottom w:val="single" w:sz="4" w:space="0" w:color="auto"/>
              <w:right w:val="single" w:sz="4" w:space="0" w:color="auto"/>
            </w:tcBorders>
            <w:hideMark/>
          </w:tcPr>
          <w:p w14:paraId="6E177831" w14:textId="77777777" w:rsidR="005C34AB" w:rsidRPr="00366FDD" w:rsidRDefault="005C34AB" w:rsidP="005C34AB">
            <w:pPr>
              <w:tabs>
                <w:tab w:val="left" w:pos="284"/>
              </w:tabs>
              <w:spacing w:line="360" w:lineRule="auto"/>
              <w:ind w:right="-1"/>
              <w:contextualSpacing/>
              <w:jc w:val="center"/>
              <w:rPr>
                <w:rFonts w:ascii="Verdana" w:hAnsi="Verdana" w:cs="Arial"/>
                <w:lang w:val="tr-TR"/>
              </w:rPr>
            </w:pPr>
            <w:r w:rsidRPr="4BBB0620">
              <w:rPr>
                <w:rFonts w:ascii="Verdana" w:hAnsi="Verdana" w:cs="Arial"/>
                <w:lang w:val="tr-TR"/>
              </w:rPr>
              <w:t>13</w:t>
            </w:r>
          </w:p>
        </w:tc>
      </w:tr>
      <w:tr w:rsidR="005C34AB" w:rsidRPr="00366FDD" w14:paraId="1170B5C5" w14:textId="77777777" w:rsidTr="005C34AB">
        <w:trPr>
          <w:trHeight w:val="300"/>
        </w:trPr>
        <w:tc>
          <w:tcPr>
            <w:tcW w:w="4148" w:type="dxa"/>
            <w:tcBorders>
              <w:top w:val="single" w:sz="4" w:space="0" w:color="auto"/>
              <w:left w:val="single" w:sz="4" w:space="0" w:color="auto"/>
              <w:bottom w:val="single" w:sz="4" w:space="0" w:color="auto"/>
              <w:right w:val="single" w:sz="4" w:space="0" w:color="auto"/>
            </w:tcBorders>
            <w:vAlign w:val="center"/>
            <w:hideMark/>
          </w:tcPr>
          <w:p w14:paraId="4052C175" w14:textId="77777777" w:rsidR="005C34AB" w:rsidRPr="00366FDD" w:rsidRDefault="005C34AB" w:rsidP="005C34AB">
            <w:pPr>
              <w:tabs>
                <w:tab w:val="left" w:pos="284"/>
              </w:tabs>
              <w:spacing w:line="360" w:lineRule="auto"/>
              <w:ind w:right="-1"/>
              <w:contextualSpacing/>
              <w:rPr>
                <w:rFonts w:ascii="Verdana" w:hAnsi="Verdana" w:cs="Arial"/>
                <w:lang w:val="tr-TR"/>
              </w:rPr>
            </w:pPr>
            <w:r w:rsidRPr="4BBB0620">
              <w:rPr>
                <w:rFonts w:ascii="Verdana" w:hAnsi="Verdana" w:cs="Arial"/>
                <w:lang w:val="tr-TR"/>
              </w:rPr>
              <w:t>Marmara</w:t>
            </w:r>
          </w:p>
        </w:tc>
        <w:tc>
          <w:tcPr>
            <w:tcW w:w="2902" w:type="dxa"/>
            <w:tcBorders>
              <w:top w:val="single" w:sz="4" w:space="0" w:color="auto"/>
              <w:left w:val="single" w:sz="4" w:space="0" w:color="auto"/>
              <w:bottom w:val="single" w:sz="4" w:space="0" w:color="auto"/>
              <w:right w:val="single" w:sz="4" w:space="0" w:color="auto"/>
            </w:tcBorders>
            <w:hideMark/>
          </w:tcPr>
          <w:p w14:paraId="41D487F6" w14:textId="77777777" w:rsidR="005C34AB" w:rsidRPr="00366FDD" w:rsidRDefault="005C34AB" w:rsidP="005C34AB">
            <w:pPr>
              <w:tabs>
                <w:tab w:val="left" w:pos="284"/>
              </w:tabs>
              <w:spacing w:line="360" w:lineRule="auto"/>
              <w:ind w:right="-1"/>
              <w:contextualSpacing/>
              <w:jc w:val="center"/>
              <w:rPr>
                <w:rFonts w:ascii="Verdana" w:hAnsi="Verdana" w:cs="Arial"/>
                <w:lang w:val="tr-TR"/>
              </w:rPr>
            </w:pPr>
            <w:r w:rsidRPr="4BBB0620">
              <w:rPr>
                <w:rFonts w:ascii="Verdana" w:hAnsi="Verdana" w:cs="Arial"/>
                <w:lang w:val="tr-TR"/>
              </w:rPr>
              <w:t>23</w:t>
            </w:r>
          </w:p>
        </w:tc>
      </w:tr>
      <w:tr w:rsidR="005C34AB" w:rsidRPr="00366FDD" w14:paraId="2F4D6CFA" w14:textId="77777777" w:rsidTr="005C34AB">
        <w:trPr>
          <w:trHeight w:val="338"/>
        </w:trPr>
        <w:tc>
          <w:tcPr>
            <w:tcW w:w="4148" w:type="dxa"/>
            <w:tcBorders>
              <w:top w:val="single" w:sz="4" w:space="0" w:color="auto"/>
              <w:left w:val="single" w:sz="4" w:space="0" w:color="auto"/>
              <w:bottom w:val="single" w:sz="4" w:space="0" w:color="auto"/>
              <w:right w:val="single" w:sz="4" w:space="0" w:color="auto"/>
            </w:tcBorders>
            <w:vAlign w:val="center"/>
            <w:hideMark/>
          </w:tcPr>
          <w:p w14:paraId="2BFA1265" w14:textId="77777777" w:rsidR="005C34AB" w:rsidRPr="00366FDD" w:rsidRDefault="005C34AB" w:rsidP="005C34AB">
            <w:pPr>
              <w:tabs>
                <w:tab w:val="left" w:pos="284"/>
              </w:tabs>
              <w:spacing w:line="360" w:lineRule="auto"/>
              <w:ind w:right="-1"/>
              <w:contextualSpacing/>
              <w:rPr>
                <w:rFonts w:ascii="Verdana" w:hAnsi="Verdana" w:cs="Arial"/>
                <w:lang w:val="tr-TR"/>
              </w:rPr>
            </w:pPr>
            <w:r w:rsidRPr="4BBB0620">
              <w:rPr>
                <w:rFonts w:ascii="Verdana" w:hAnsi="Verdana" w:cs="Arial"/>
                <w:lang w:val="tr-TR"/>
              </w:rPr>
              <w:t>Akdeniz</w:t>
            </w:r>
          </w:p>
        </w:tc>
        <w:tc>
          <w:tcPr>
            <w:tcW w:w="2902" w:type="dxa"/>
            <w:tcBorders>
              <w:top w:val="single" w:sz="4" w:space="0" w:color="auto"/>
              <w:left w:val="single" w:sz="4" w:space="0" w:color="auto"/>
              <w:bottom w:val="single" w:sz="4" w:space="0" w:color="auto"/>
              <w:right w:val="single" w:sz="4" w:space="0" w:color="auto"/>
            </w:tcBorders>
            <w:hideMark/>
          </w:tcPr>
          <w:p w14:paraId="33A07FA3" w14:textId="77777777" w:rsidR="005C34AB" w:rsidRPr="00366FDD" w:rsidRDefault="005C34AB" w:rsidP="005C34AB">
            <w:pPr>
              <w:tabs>
                <w:tab w:val="left" w:pos="284"/>
              </w:tabs>
              <w:spacing w:line="360" w:lineRule="auto"/>
              <w:ind w:right="-1"/>
              <w:contextualSpacing/>
              <w:jc w:val="center"/>
              <w:rPr>
                <w:rFonts w:ascii="Verdana" w:hAnsi="Verdana" w:cs="Arial"/>
                <w:lang w:val="tr-TR"/>
              </w:rPr>
            </w:pPr>
            <w:r w:rsidRPr="4BBB0620">
              <w:rPr>
                <w:rFonts w:ascii="Verdana" w:hAnsi="Verdana" w:cs="Arial"/>
                <w:lang w:val="tr-TR"/>
              </w:rPr>
              <w:t>10</w:t>
            </w:r>
          </w:p>
        </w:tc>
      </w:tr>
    </w:tbl>
    <w:p w14:paraId="7BE7DF81" w14:textId="77777777" w:rsidR="00981069" w:rsidRPr="00981069" w:rsidRDefault="00981069" w:rsidP="00981069">
      <w:pPr>
        <w:tabs>
          <w:tab w:val="left" w:pos="284"/>
        </w:tabs>
        <w:spacing w:line="360" w:lineRule="auto"/>
        <w:ind w:right="-1"/>
        <w:contextualSpacing/>
        <w:jc w:val="both"/>
        <w:rPr>
          <w:rFonts w:ascii="Verdana" w:hAnsi="Verdana" w:cs="Arial"/>
          <w:lang w:val="tr-TR"/>
        </w:rPr>
      </w:pPr>
    </w:p>
    <w:p w14:paraId="5415499A" w14:textId="77777777" w:rsidR="005C34AB" w:rsidRDefault="005C34AB" w:rsidP="4BBB0620">
      <w:pPr>
        <w:tabs>
          <w:tab w:val="left" w:pos="284"/>
        </w:tabs>
        <w:spacing w:line="360" w:lineRule="auto"/>
        <w:ind w:right="-1"/>
        <w:contextualSpacing/>
        <w:jc w:val="both"/>
        <w:rPr>
          <w:rFonts w:ascii="Verdana" w:hAnsi="Verdana" w:cs="Arial"/>
          <w:lang w:val="tr-TR"/>
        </w:rPr>
      </w:pPr>
    </w:p>
    <w:p w14:paraId="7F745584" w14:textId="77777777" w:rsidR="005C34AB" w:rsidRDefault="005C34AB" w:rsidP="4BBB0620">
      <w:pPr>
        <w:tabs>
          <w:tab w:val="left" w:pos="284"/>
        </w:tabs>
        <w:spacing w:line="360" w:lineRule="auto"/>
        <w:ind w:right="-1"/>
        <w:contextualSpacing/>
        <w:jc w:val="both"/>
        <w:rPr>
          <w:rFonts w:ascii="Verdana" w:hAnsi="Verdana" w:cs="Arial"/>
          <w:lang w:val="tr-TR"/>
        </w:rPr>
      </w:pPr>
    </w:p>
    <w:p w14:paraId="31FD09B6" w14:textId="77777777" w:rsidR="005C34AB" w:rsidRDefault="005C34AB" w:rsidP="4BBB0620">
      <w:pPr>
        <w:tabs>
          <w:tab w:val="left" w:pos="284"/>
        </w:tabs>
        <w:spacing w:line="360" w:lineRule="auto"/>
        <w:ind w:right="-1"/>
        <w:contextualSpacing/>
        <w:jc w:val="both"/>
        <w:rPr>
          <w:rFonts w:ascii="Verdana" w:hAnsi="Verdana" w:cs="Arial"/>
          <w:lang w:val="tr-TR"/>
        </w:rPr>
      </w:pPr>
    </w:p>
    <w:p w14:paraId="3481B33C" w14:textId="77777777" w:rsidR="005C34AB" w:rsidRDefault="005C34AB" w:rsidP="4BBB0620">
      <w:pPr>
        <w:tabs>
          <w:tab w:val="left" w:pos="284"/>
        </w:tabs>
        <w:spacing w:line="360" w:lineRule="auto"/>
        <w:ind w:right="-1"/>
        <w:contextualSpacing/>
        <w:jc w:val="both"/>
        <w:rPr>
          <w:rFonts w:ascii="Verdana" w:hAnsi="Verdana" w:cs="Arial"/>
          <w:lang w:val="tr-TR"/>
        </w:rPr>
      </w:pPr>
    </w:p>
    <w:p w14:paraId="38D27B30" w14:textId="77777777" w:rsidR="005C34AB" w:rsidRDefault="005C34AB" w:rsidP="4BBB0620">
      <w:pPr>
        <w:tabs>
          <w:tab w:val="left" w:pos="284"/>
        </w:tabs>
        <w:spacing w:line="360" w:lineRule="auto"/>
        <w:ind w:right="-1"/>
        <w:contextualSpacing/>
        <w:jc w:val="both"/>
        <w:rPr>
          <w:rFonts w:ascii="Verdana" w:hAnsi="Verdana" w:cs="Arial"/>
          <w:lang w:val="tr-TR"/>
        </w:rPr>
      </w:pPr>
    </w:p>
    <w:p w14:paraId="31B14BDD" w14:textId="77777777" w:rsidR="005C34AB" w:rsidRDefault="005C34AB" w:rsidP="4BBB0620">
      <w:pPr>
        <w:tabs>
          <w:tab w:val="left" w:pos="284"/>
        </w:tabs>
        <w:spacing w:line="360" w:lineRule="auto"/>
        <w:ind w:right="-1"/>
        <w:contextualSpacing/>
        <w:jc w:val="both"/>
        <w:rPr>
          <w:rFonts w:ascii="Verdana" w:hAnsi="Verdana" w:cs="Arial"/>
          <w:lang w:val="tr-TR"/>
        </w:rPr>
      </w:pPr>
    </w:p>
    <w:p w14:paraId="2916B018" w14:textId="6A3B073F" w:rsidR="005C34AB" w:rsidRDefault="005C34AB" w:rsidP="4BBB0620">
      <w:pPr>
        <w:tabs>
          <w:tab w:val="left" w:pos="284"/>
        </w:tabs>
        <w:spacing w:line="360" w:lineRule="auto"/>
        <w:ind w:right="-1"/>
        <w:contextualSpacing/>
        <w:jc w:val="both"/>
        <w:rPr>
          <w:rFonts w:ascii="Verdana" w:hAnsi="Verdana" w:cs="Arial"/>
          <w:lang w:val="tr-TR"/>
        </w:rPr>
      </w:pPr>
    </w:p>
    <w:p w14:paraId="7591FCAF" w14:textId="77777777" w:rsidR="005C34AB" w:rsidRDefault="005C34AB" w:rsidP="4BBB0620">
      <w:pPr>
        <w:tabs>
          <w:tab w:val="left" w:pos="284"/>
        </w:tabs>
        <w:spacing w:line="360" w:lineRule="auto"/>
        <w:ind w:right="-1"/>
        <w:contextualSpacing/>
        <w:jc w:val="both"/>
        <w:rPr>
          <w:rFonts w:ascii="Verdana" w:hAnsi="Verdana" w:cs="Arial"/>
          <w:lang w:val="tr-TR"/>
        </w:rPr>
      </w:pPr>
    </w:p>
    <w:p w14:paraId="09763F7E" w14:textId="2AD937B6" w:rsidR="00981069" w:rsidRPr="00981069" w:rsidRDefault="4BBB0620" w:rsidP="4BBB0620">
      <w:pPr>
        <w:tabs>
          <w:tab w:val="left" w:pos="284"/>
        </w:tabs>
        <w:spacing w:line="360" w:lineRule="auto"/>
        <w:ind w:right="-1"/>
        <w:contextualSpacing/>
        <w:jc w:val="both"/>
        <w:rPr>
          <w:rFonts w:ascii="Verdana" w:hAnsi="Verdana" w:cs="Arial"/>
          <w:lang w:val="tr-TR"/>
        </w:rPr>
      </w:pPr>
      <w:r w:rsidRPr="4BBB0620">
        <w:rPr>
          <w:rFonts w:ascii="Verdana" w:hAnsi="Verdana" w:cs="Arial"/>
          <w:lang w:val="tr-TR"/>
        </w:rPr>
        <w:t>Geçen yılın aynı dönemine göre, beş bölgeden üçünde işverenler, daha güçlü Görünüm bildiriyor. Ege ve Marmara bölgelerinde sırasıyla yüzde 14 ve 12'lik kayda değer bir artış bildiriliyor. Diğer yandan Akdeniz için Görünüm yüzde 9 puan artarken Karadeniz'deki işverenler de yüzde 3 puanlık bir iyileşme bildiriyor. Ancak İç Anadolu'da yüzde 5 puanlık hafif bir düşüş bildiriliyor.</w:t>
      </w:r>
    </w:p>
    <w:p w14:paraId="466C4C44" w14:textId="313447C9" w:rsidR="00911CE6" w:rsidRPr="00366FDD" w:rsidRDefault="00911CE6" w:rsidP="00911CE6">
      <w:pPr>
        <w:tabs>
          <w:tab w:val="left" w:pos="284"/>
        </w:tabs>
        <w:spacing w:line="360" w:lineRule="auto"/>
        <w:ind w:right="-1"/>
        <w:contextualSpacing/>
        <w:jc w:val="both"/>
        <w:rPr>
          <w:rFonts w:ascii="Verdana" w:hAnsi="Verdana" w:cs="Arial"/>
          <w:lang w:val="tr-TR"/>
        </w:rPr>
      </w:pPr>
    </w:p>
    <w:p w14:paraId="470C2AB2" w14:textId="77777777" w:rsidR="00981069" w:rsidRDefault="00981069" w:rsidP="4BBB0620">
      <w:pPr>
        <w:spacing w:line="276" w:lineRule="auto"/>
        <w:ind w:left="-142" w:right="-241"/>
        <w:jc w:val="both"/>
        <w:rPr>
          <w:rFonts w:ascii="Verdana" w:hAnsi="Verdana"/>
          <w:b/>
          <w:bCs/>
          <w:color w:val="000000" w:themeColor="text1"/>
          <w:sz w:val="18"/>
          <w:szCs w:val="18"/>
          <w:lang w:val="tr-TR"/>
        </w:rPr>
      </w:pPr>
      <w:bookmarkStart w:id="0" w:name="_GoBack"/>
      <w:bookmarkEnd w:id="0"/>
      <w:r w:rsidRPr="4BBB0620">
        <w:rPr>
          <w:rFonts w:ascii="Verdana" w:hAnsi="Verdana"/>
          <w:b/>
          <w:bCs/>
          <w:color w:val="000000"/>
          <w:sz w:val="18"/>
          <w:szCs w:val="18"/>
          <w:lang w:val="tr-TR"/>
        </w:rPr>
        <w:t xml:space="preserve">İlgili Kişi: </w:t>
      </w:r>
      <w:r>
        <w:rPr>
          <w:rFonts w:ascii="Verdana" w:hAnsi="Verdana"/>
          <w:b/>
          <w:bCs/>
          <w:color w:val="000000"/>
          <w:sz w:val="18"/>
          <w:lang w:val="tr-TR"/>
        </w:rPr>
        <w:tab/>
      </w:r>
    </w:p>
    <w:p w14:paraId="38CECD73" w14:textId="77777777" w:rsidR="00981069" w:rsidRDefault="4BBB0620" w:rsidP="4BBB0620">
      <w:pPr>
        <w:spacing w:line="276" w:lineRule="auto"/>
        <w:ind w:left="-142" w:right="-241"/>
        <w:jc w:val="both"/>
        <w:rPr>
          <w:rFonts w:ascii="Verdana" w:hAnsi="Verdana"/>
          <w:color w:val="000000" w:themeColor="text1"/>
          <w:sz w:val="18"/>
          <w:szCs w:val="18"/>
          <w:lang w:val="tr-TR"/>
        </w:rPr>
      </w:pPr>
      <w:r w:rsidRPr="4BBB0620">
        <w:rPr>
          <w:rFonts w:ascii="Verdana" w:hAnsi="Verdana"/>
          <w:color w:val="000000" w:themeColor="text1"/>
          <w:sz w:val="18"/>
          <w:szCs w:val="18"/>
          <w:lang w:val="tr-TR"/>
        </w:rPr>
        <w:t xml:space="preserve">Ceylan Naza </w:t>
      </w:r>
    </w:p>
    <w:p w14:paraId="70AC85FF" w14:textId="77777777" w:rsidR="00981069" w:rsidRDefault="00981069" w:rsidP="4BBB0620">
      <w:pPr>
        <w:spacing w:line="276" w:lineRule="auto"/>
        <w:ind w:left="-142" w:right="-241"/>
        <w:jc w:val="both"/>
        <w:rPr>
          <w:rFonts w:ascii="Verdana" w:hAnsi="Verdana"/>
          <w:color w:val="000000" w:themeColor="text1"/>
          <w:sz w:val="18"/>
          <w:szCs w:val="18"/>
          <w:lang w:val="tr-TR"/>
        </w:rPr>
      </w:pPr>
      <w:r w:rsidRPr="4BBB0620">
        <w:rPr>
          <w:rFonts w:ascii="Verdana" w:hAnsi="Verdana"/>
          <w:color w:val="000000"/>
          <w:sz w:val="18"/>
          <w:szCs w:val="18"/>
          <w:lang w:val="tr-TR"/>
        </w:rPr>
        <w:t>Marjinal Porter Novelli</w:t>
      </w:r>
      <w:r>
        <w:rPr>
          <w:rFonts w:ascii="Verdana" w:hAnsi="Verdana"/>
          <w:bCs/>
          <w:color w:val="000000"/>
          <w:sz w:val="18"/>
          <w:lang w:val="tr-TR"/>
        </w:rPr>
        <w:tab/>
      </w:r>
      <w:r>
        <w:rPr>
          <w:rFonts w:ascii="Verdana" w:hAnsi="Verdana"/>
          <w:bCs/>
          <w:color w:val="000000"/>
          <w:sz w:val="18"/>
          <w:lang w:val="tr-TR"/>
        </w:rPr>
        <w:tab/>
      </w:r>
    </w:p>
    <w:p w14:paraId="259D83F2" w14:textId="77777777" w:rsidR="00981069" w:rsidRDefault="4BBB0620" w:rsidP="4BBB0620">
      <w:pPr>
        <w:spacing w:line="276" w:lineRule="auto"/>
        <w:ind w:left="-142" w:right="-241"/>
        <w:jc w:val="both"/>
        <w:rPr>
          <w:rFonts w:ascii="Verdana" w:hAnsi="Verdana"/>
          <w:color w:val="000000" w:themeColor="text1"/>
          <w:sz w:val="18"/>
          <w:szCs w:val="18"/>
          <w:lang w:val="tr-TR"/>
        </w:rPr>
      </w:pPr>
      <w:r w:rsidRPr="4BBB0620">
        <w:rPr>
          <w:rFonts w:ascii="Verdana" w:hAnsi="Verdana"/>
          <w:color w:val="000000" w:themeColor="text1"/>
          <w:sz w:val="18"/>
          <w:szCs w:val="18"/>
          <w:lang w:val="tr-TR"/>
        </w:rPr>
        <w:t>0212 219 29 71</w:t>
      </w:r>
    </w:p>
    <w:p w14:paraId="26DB9B94" w14:textId="77777777" w:rsidR="00981069" w:rsidRDefault="009F6029" w:rsidP="00981069">
      <w:pPr>
        <w:spacing w:line="276" w:lineRule="auto"/>
        <w:ind w:left="-142" w:right="-241"/>
        <w:jc w:val="both"/>
        <w:rPr>
          <w:rFonts w:ascii="Verdana" w:hAnsi="Verdana"/>
          <w:b/>
          <w:bCs/>
          <w:color w:val="000000"/>
          <w:sz w:val="16"/>
          <w:szCs w:val="16"/>
          <w:lang w:val="tr-TR"/>
        </w:rPr>
      </w:pPr>
      <w:hyperlink r:id="rId11" w:history="1">
        <w:r w:rsidR="00981069">
          <w:rPr>
            <w:rStyle w:val="Kpr"/>
            <w:rFonts w:ascii="Verdana" w:hAnsi="Verdana" w:cstheme="minorBidi"/>
            <w:bCs/>
            <w:sz w:val="18"/>
            <w:lang w:val="tr-TR"/>
          </w:rPr>
          <w:t>ceylann@marjinal.com.tr</w:t>
        </w:r>
      </w:hyperlink>
    </w:p>
    <w:p w14:paraId="51EC4D3D" w14:textId="77777777" w:rsidR="00981069" w:rsidRDefault="00981069" w:rsidP="00981069">
      <w:pPr>
        <w:tabs>
          <w:tab w:val="left" w:pos="284"/>
        </w:tabs>
        <w:ind w:right="-1"/>
        <w:jc w:val="both"/>
        <w:rPr>
          <w:rFonts w:ascii="Verdana" w:hAnsi="Verdana" w:cs="Arial"/>
          <w:bCs/>
          <w:color w:val="444444"/>
          <w:sz w:val="16"/>
          <w:szCs w:val="16"/>
          <w:lang w:val="tr-TR"/>
        </w:rPr>
      </w:pPr>
    </w:p>
    <w:p w14:paraId="715BFA25" w14:textId="77777777" w:rsidR="00981069" w:rsidRDefault="00981069" w:rsidP="00981069">
      <w:pPr>
        <w:tabs>
          <w:tab w:val="left" w:pos="284"/>
        </w:tabs>
        <w:ind w:right="-1"/>
        <w:jc w:val="both"/>
        <w:rPr>
          <w:rFonts w:ascii="Verdana" w:hAnsi="Verdana"/>
          <w:sz w:val="16"/>
          <w:szCs w:val="16"/>
          <w:lang w:val="tr-TR"/>
        </w:rPr>
      </w:pPr>
    </w:p>
    <w:p w14:paraId="7098473D" w14:textId="44E5479D" w:rsidR="00981069" w:rsidRDefault="4BBB0620" w:rsidP="4BBB0620">
      <w:pPr>
        <w:spacing w:line="276" w:lineRule="auto"/>
        <w:ind w:left="-142" w:right="-241"/>
        <w:jc w:val="both"/>
        <w:rPr>
          <w:rFonts w:ascii="Verdana" w:hAnsi="Verdana"/>
          <w:b/>
          <w:bCs/>
          <w:color w:val="000000" w:themeColor="text1"/>
          <w:sz w:val="16"/>
          <w:szCs w:val="16"/>
          <w:lang w:val="tr-TR"/>
        </w:rPr>
      </w:pPr>
      <w:r w:rsidRPr="4BBB0620">
        <w:rPr>
          <w:rFonts w:ascii="Verdana" w:hAnsi="Verdana"/>
          <w:b/>
          <w:bCs/>
          <w:color w:val="000000" w:themeColor="text1"/>
          <w:sz w:val="16"/>
          <w:szCs w:val="16"/>
          <w:lang w:val="tr-TR"/>
        </w:rPr>
        <w:t>ManpowerGroup Hakkında</w:t>
      </w:r>
    </w:p>
    <w:p w14:paraId="51948A93" w14:textId="153804D9" w:rsidR="4BBB0620" w:rsidRDefault="4BBB0620" w:rsidP="4BBB0620">
      <w:pPr>
        <w:spacing w:after="160" w:line="276" w:lineRule="auto"/>
        <w:ind w:left="-142" w:right="-241"/>
        <w:jc w:val="both"/>
        <w:rPr>
          <w:rFonts w:ascii="Verdana" w:hAnsi="Verdana"/>
          <w:color w:val="000000" w:themeColor="text1"/>
          <w:sz w:val="16"/>
          <w:szCs w:val="16"/>
          <w:lang w:val="tr"/>
        </w:rPr>
      </w:pPr>
      <w:r w:rsidRPr="4BBB0620">
        <w:rPr>
          <w:rFonts w:ascii="Verdana" w:hAnsi="Verdana"/>
          <w:color w:val="000000" w:themeColor="text1"/>
          <w:sz w:val="16"/>
          <w:szCs w:val="16"/>
          <w:lang w:val="tr"/>
        </w:rPr>
        <w:t xml:space="preserve">Küresel iş gücü çözümlerinde lider bir kuruluş olan ManpowerGroup (NYSE: MAN), hızla değişen bir dünyada kurumların, kendilerine başarıyı getiren yetenekleri bulmasına, değerlendirmesine, geliştirmesine ve yönetmesine yardımcı olur. 400.000'den fazla müşteriye yenilikçi çözümler geliştirerek, 3 milyondan fazla insanı çok çeşitli sektör ve alanlarda anlamlı ve sürdürülebilir işlerle buluşturur. Manpower®, Experis®, Right Management® ve ManpowerGroup® Çözümleri gibi uzman şirketlerden oluşan ManpowerGroup 70 yıldır, 80 ülke ve bölgedeki adaylar ve müşteriler için çok daha fazla değer yaratmaktadır. ManpowerGroup 2018 yılında, üst üste sekizinci defa </w:t>
      </w:r>
      <w:r w:rsidRPr="4BBB0620">
        <w:rPr>
          <w:rFonts w:ascii="Verdana" w:eastAsia="Verdana" w:hAnsi="Verdana" w:cs="Verdana"/>
          <w:sz w:val="16"/>
          <w:szCs w:val="16"/>
          <w:lang w:val="tr"/>
        </w:rPr>
        <w:t xml:space="preserve">Dünyanın En Etik Şirketlerinden biri seçilerek ve Fortune Dergisi tarafından En Çok Beğenilen Şirketler arasında gösterilerek, sektörünün en çok güvenilen ve beğenilen markası olduğunu teyit etmiştir. </w:t>
      </w:r>
      <w:r w:rsidRPr="4BBB0620">
        <w:rPr>
          <w:rFonts w:ascii="Verdana" w:hAnsi="Verdana"/>
          <w:color w:val="000000" w:themeColor="text1"/>
          <w:sz w:val="16"/>
          <w:szCs w:val="16"/>
          <w:lang w:val="tr"/>
        </w:rPr>
        <w:t xml:space="preserve">ManpowerGroup'un geleceğe nasıl güç verdiğini görmek için: </w:t>
      </w:r>
      <w:hyperlink r:id="rId12">
        <w:r w:rsidRPr="4BBB0620">
          <w:rPr>
            <w:rStyle w:val="Kpr"/>
            <w:rFonts w:ascii="Verdana" w:hAnsi="Verdana"/>
            <w:color w:val="000000" w:themeColor="text1"/>
            <w:sz w:val="16"/>
            <w:szCs w:val="16"/>
            <w:lang w:val="tr"/>
          </w:rPr>
          <w:t>www.manpowergroup.com</w:t>
        </w:r>
      </w:hyperlink>
      <w:r w:rsidRPr="4BBB0620">
        <w:rPr>
          <w:rFonts w:ascii="Verdana" w:hAnsi="Verdana"/>
          <w:color w:val="000000" w:themeColor="text1"/>
          <w:sz w:val="16"/>
          <w:szCs w:val="16"/>
          <w:lang w:val="tr"/>
        </w:rPr>
        <w:t xml:space="preserve"> </w:t>
      </w:r>
    </w:p>
    <w:sectPr w:rsidR="4BBB0620" w:rsidSect="00DE3F3F">
      <w:headerReference w:type="default" r:id="rId13"/>
      <w:pgSz w:w="12240" w:h="15840" w:code="1"/>
      <w:pgMar w:top="1276" w:right="1325" w:bottom="1560" w:left="1276"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3401" w14:textId="77777777" w:rsidR="009F6029" w:rsidRDefault="009F6029">
      <w:r>
        <w:separator/>
      </w:r>
    </w:p>
  </w:endnote>
  <w:endnote w:type="continuationSeparator" w:id="0">
    <w:p w14:paraId="7608DE57" w14:textId="77777777" w:rsidR="009F6029" w:rsidRDefault="009F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F9A1" w14:textId="77777777" w:rsidR="009F6029" w:rsidRDefault="009F6029">
      <w:r>
        <w:separator/>
      </w:r>
    </w:p>
  </w:footnote>
  <w:footnote w:type="continuationSeparator" w:id="0">
    <w:p w14:paraId="29D373B0" w14:textId="77777777" w:rsidR="009F6029" w:rsidRDefault="009F6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4294" w14:textId="77777777" w:rsidR="00EA16B7" w:rsidRDefault="00EA16B7">
    <w:pPr>
      <w:pStyle w:val="stbilgi"/>
      <w:jc w:val="right"/>
    </w:pPr>
  </w:p>
  <w:p w14:paraId="30501324" w14:textId="77777777" w:rsidR="00EA16B7" w:rsidRDefault="00EA16B7">
    <w:pPr>
      <w:pStyle w:val="stbilgi"/>
      <w:jc w:val="right"/>
      <w:rPr>
        <w:rFonts w:ascii="Arial" w:hAnsi="Arial" w:cs="Arial"/>
      </w:rPr>
    </w:pPr>
  </w:p>
  <w:p w14:paraId="0AFB0AB9" w14:textId="77777777" w:rsidR="00EA16B7" w:rsidRDefault="00EA16B7">
    <w:pPr>
      <w:pStyle w:val="stbilgi"/>
      <w:ind w:right="1440"/>
      <w:jc w:val="right"/>
      <w:rPr>
        <w:rFonts w:ascii="Arial" w:hAnsi="Arial" w:cs="Arial"/>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76D25"/>
    <w:multiLevelType w:val="hybridMultilevel"/>
    <w:tmpl w:val="59C0B60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1253E4"/>
    <w:multiLevelType w:val="hybridMultilevel"/>
    <w:tmpl w:val="20BE8CAC"/>
    <w:lvl w:ilvl="0" w:tplc="E84AF94A">
      <w:numFmt w:val="bullet"/>
      <w:lvlText w:val="-"/>
      <w:lvlJc w:val="left"/>
      <w:pPr>
        <w:ind w:left="720" w:hanging="360"/>
      </w:pPr>
      <w:rPr>
        <w:rFonts w:ascii="Verdana" w:eastAsia="Times New Roman" w:hAnsi="Verdan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9C"/>
    <w:rsid w:val="00010699"/>
    <w:rsid w:val="00014F0E"/>
    <w:rsid w:val="00033A4D"/>
    <w:rsid w:val="00033E96"/>
    <w:rsid w:val="000349D9"/>
    <w:rsid w:val="00035E16"/>
    <w:rsid w:val="000C6C74"/>
    <w:rsid w:val="001062B9"/>
    <w:rsid w:val="00166365"/>
    <w:rsid w:val="00172C4F"/>
    <w:rsid w:val="00177C9F"/>
    <w:rsid w:val="001C42C5"/>
    <w:rsid w:val="001E72AD"/>
    <w:rsid w:val="001F57F2"/>
    <w:rsid w:val="001F78A2"/>
    <w:rsid w:val="00221CA1"/>
    <w:rsid w:val="0022575A"/>
    <w:rsid w:val="0023159F"/>
    <w:rsid w:val="00253F64"/>
    <w:rsid w:val="00265F30"/>
    <w:rsid w:val="002718B7"/>
    <w:rsid w:val="002D5FBD"/>
    <w:rsid w:val="002D669C"/>
    <w:rsid w:val="002F5A86"/>
    <w:rsid w:val="00305412"/>
    <w:rsid w:val="003361CA"/>
    <w:rsid w:val="00342029"/>
    <w:rsid w:val="00355226"/>
    <w:rsid w:val="00357B22"/>
    <w:rsid w:val="00363EE0"/>
    <w:rsid w:val="00366FDD"/>
    <w:rsid w:val="00370320"/>
    <w:rsid w:val="00374D44"/>
    <w:rsid w:val="00382AF8"/>
    <w:rsid w:val="003C011C"/>
    <w:rsid w:val="003D57B5"/>
    <w:rsid w:val="00485BA8"/>
    <w:rsid w:val="004931BE"/>
    <w:rsid w:val="004B6A6D"/>
    <w:rsid w:val="005208C7"/>
    <w:rsid w:val="00534031"/>
    <w:rsid w:val="005355E6"/>
    <w:rsid w:val="005506E2"/>
    <w:rsid w:val="0055790D"/>
    <w:rsid w:val="0056182D"/>
    <w:rsid w:val="00596003"/>
    <w:rsid w:val="005C34AB"/>
    <w:rsid w:val="005C6534"/>
    <w:rsid w:val="005D2113"/>
    <w:rsid w:val="005E35AA"/>
    <w:rsid w:val="005E407A"/>
    <w:rsid w:val="005E6032"/>
    <w:rsid w:val="0066750C"/>
    <w:rsid w:val="006C1EF2"/>
    <w:rsid w:val="006E70CF"/>
    <w:rsid w:val="00704B0B"/>
    <w:rsid w:val="00735528"/>
    <w:rsid w:val="0073582F"/>
    <w:rsid w:val="00774461"/>
    <w:rsid w:val="007869C8"/>
    <w:rsid w:val="0079640F"/>
    <w:rsid w:val="007B3DF5"/>
    <w:rsid w:val="007B54D2"/>
    <w:rsid w:val="007C0F41"/>
    <w:rsid w:val="007E561E"/>
    <w:rsid w:val="007F26EA"/>
    <w:rsid w:val="007F4058"/>
    <w:rsid w:val="00802B25"/>
    <w:rsid w:val="00824274"/>
    <w:rsid w:val="00863B47"/>
    <w:rsid w:val="008A2878"/>
    <w:rsid w:val="008D71B5"/>
    <w:rsid w:val="00904E98"/>
    <w:rsid w:val="00911CE6"/>
    <w:rsid w:val="009316B0"/>
    <w:rsid w:val="00981069"/>
    <w:rsid w:val="009D086D"/>
    <w:rsid w:val="009D1590"/>
    <w:rsid w:val="009D4ED3"/>
    <w:rsid w:val="009E0A36"/>
    <w:rsid w:val="009F11BF"/>
    <w:rsid w:val="009F6029"/>
    <w:rsid w:val="00A10176"/>
    <w:rsid w:val="00A43E87"/>
    <w:rsid w:val="00A91243"/>
    <w:rsid w:val="00AB57A2"/>
    <w:rsid w:val="00AB6A73"/>
    <w:rsid w:val="00AF435A"/>
    <w:rsid w:val="00B24DB5"/>
    <w:rsid w:val="00B43290"/>
    <w:rsid w:val="00B6090A"/>
    <w:rsid w:val="00BA65CE"/>
    <w:rsid w:val="00BB7738"/>
    <w:rsid w:val="00BC2402"/>
    <w:rsid w:val="00BD281D"/>
    <w:rsid w:val="00BD6E91"/>
    <w:rsid w:val="00BE1C27"/>
    <w:rsid w:val="00BE7E0A"/>
    <w:rsid w:val="00BF38FC"/>
    <w:rsid w:val="00C02F33"/>
    <w:rsid w:val="00C436C4"/>
    <w:rsid w:val="00C47FB0"/>
    <w:rsid w:val="00C63C2C"/>
    <w:rsid w:val="00CD20D4"/>
    <w:rsid w:val="00CD412E"/>
    <w:rsid w:val="00CD5608"/>
    <w:rsid w:val="00CE68B4"/>
    <w:rsid w:val="00D01A9D"/>
    <w:rsid w:val="00D34FC2"/>
    <w:rsid w:val="00D72036"/>
    <w:rsid w:val="00D92E4C"/>
    <w:rsid w:val="00DA56CA"/>
    <w:rsid w:val="00DB2A1B"/>
    <w:rsid w:val="00DB663C"/>
    <w:rsid w:val="00DD57AF"/>
    <w:rsid w:val="00DE3F3F"/>
    <w:rsid w:val="00DF560E"/>
    <w:rsid w:val="00EA16B7"/>
    <w:rsid w:val="00EA5992"/>
    <w:rsid w:val="00EB6BB9"/>
    <w:rsid w:val="00ED2F83"/>
    <w:rsid w:val="00EF0D02"/>
    <w:rsid w:val="00F07254"/>
    <w:rsid w:val="00F10043"/>
    <w:rsid w:val="00F55689"/>
    <w:rsid w:val="00F6602D"/>
    <w:rsid w:val="00F94971"/>
    <w:rsid w:val="00FD1E5C"/>
    <w:rsid w:val="00FD4407"/>
    <w:rsid w:val="01125001"/>
    <w:rsid w:val="4BBB06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79BB0"/>
  <w14:defaultImageDpi w14:val="32767"/>
  <w15:docId w15:val="{DF7558EB-92B1-4E25-83F3-DE029FC3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9C"/>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D669C"/>
    <w:pPr>
      <w:overflowPunct/>
      <w:autoSpaceDE/>
      <w:autoSpaceDN/>
      <w:adjustRightInd/>
      <w:textAlignment w:val="auto"/>
    </w:pPr>
    <w:rPr>
      <w:lang w:val="tr-TR" w:eastAsia="tr-TR"/>
    </w:rPr>
  </w:style>
  <w:style w:type="character" w:customStyle="1" w:styleId="GvdeMetniChar">
    <w:name w:val="Gövde Metni Char"/>
    <w:basedOn w:val="VarsaylanParagrafYazTipi"/>
    <w:link w:val="GvdeMetni"/>
    <w:uiPriority w:val="99"/>
    <w:rsid w:val="002D669C"/>
    <w:rPr>
      <w:rFonts w:ascii="Times New Roman" w:eastAsia="Times New Roman" w:hAnsi="Times New Roman" w:cs="Times New Roman"/>
      <w:sz w:val="20"/>
      <w:szCs w:val="20"/>
      <w:lang w:val="tr-TR" w:eastAsia="tr-TR"/>
    </w:rPr>
  </w:style>
  <w:style w:type="paragraph" w:styleId="stbilgi">
    <w:name w:val="header"/>
    <w:basedOn w:val="Normal"/>
    <w:link w:val="stbilgiChar"/>
    <w:uiPriority w:val="99"/>
    <w:rsid w:val="002D669C"/>
    <w:pPr>
      <w:tabs>
        <w:tab w:val="center" w:pos="4320"/>
        <w:tab w:val="right" w:pos="8640"/>
      </w:tabs>
    </w:pPr>
    <w:rPr>
      <w:lang w:val="tr-TR" w:eastAsia="tr-TR"/>
    </w:rPr>
  </w:style>
  <w:style w:type="character" w:customStyle="1" w:styleId="stbilgiChar">
    <w:name w:val="Üstbilgi Char"/>
    <w:basedOn w:val="VarsaylanParagrafYazTipi"/>
    <w:link w:val="stbilgi"/>
    <w:uiPriority w:val="99"/>
    <w:rsid w:val="002D669C"/>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5355E6"/>
    <w:rPr>
      <w:rFonts w:ascii="Tahoma" w:hAnsi="Tahoma" w:cs="Tahoma"/>
      <w:sz w:val="16"/>
      <w:szCs w:val="16"/>
    </w:rPr>
  </w:style>
  <w:style w:type="character" w:customStyle="1" w:styleId="BalonMetniChar">
    <w:name w:val="Balon Metni Char"/>
    <w:basedOn w:val="VarsaylanParagrafYazTipi"/>
    <w:link w:val="BalonMetni"/>
    <w:uiPriority w:val="99"/>
    <w:semiHidden/>
    <w:rsid w:val="005355E6"/>
    <w:rPr>
      <w:rFonts w:ascii="Tahoma" w:eastAsia="Times New Roman" w:hAnsi="Tahoma" w:cs="Tahoma"/>
      <w:sz w:val="16"/>
      <w:szCs w:val="16"/>
      <w:lang w:val="en-US"/>
    </w:rPr>
  </w:style>
  <w:style w:type="paragraph" w:styleId="GvdeMetni3">
    <w:name w:val="Body Text 3"/>
    <w:basedOn w:val="Normal"/>
    <w:link w:val="GvdeMetni3Char"/>
    <w:uiPriority w:val="99"/>
    <w:semiHidden/>
    <w:unhideWhenUsed/>
    <w:rsid w:val="00BF38FC"/>
    <w:pPr>
      <w:spacing w:after="120"/>
    </w:pPr>
    <w:rPr>
      <w:sz w:val="16"/>
      <w:szCs w:val="16"/>
    </w:rPr>
  </w:style>
  <w:style w:type="character" w:customStyle="1" w:styleId="GvdeMetni3Char">
    <w:name w:val="Gövde Metni 3 Char"/>
    <w:basedOn w:val="VarsaylanParagrafYazTipi"/>
    <w:link w:val="GvdeMetni3"/>
    <w:uiPriority w:val="99"/>
    <w:semiHidden/>
    <w:rsid w:val="00BF38FC"/>
    <w:rPr>
      <w:rFonts w:ascii="Times New Roman" w:eastAsia="Times New Roman" w:hAnsi="Times New Roman" w:cs="Times New Roman"/>
      <w:sz w:val="16"/>
      <w:szCs w:val="16"/>
      <w:lang w:val="en-US"/>
    </w:rPr>
  </w:style>
  <w:style w:type="paragraph" w:styleId="GvdeMetni2">
    <w:name w:val="Body Text 2"/>
    <w:basedOn w:val="Normal"/>
    <w:link w:val="GvdeMetni2Char"/>
    <w:uiPriority w:val="99"/>
    <w:semiHidden/>
    <w:unhideWhenUsed/>
    <w:rsid w:val="00BF38FC"/>
    <w:pPr>
      <w:spacing w:after="120" w:line="480" w:lineRule="auto"/>
    </w:pPr>
  </w:style>
  <w:style w:type="character" w:customStyle="1" w:styleId="GvdeMetni2Char">
    <w:name w:val="Gövde Metni 2 Char"/>
    <w:basedOn w:val="VarsaylanParagrafYazTipi"/>
    <w:link w:val="GvdeMetni2"/>
    <w:uiPriority w:val="99"/>
    <w:semiHidden/>
    <w:rsid w:val="00BF38FC"/>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9F11BF"/>
    <w:pPr>
      <w:ind w:left="720"/>
      <w:contextualSpacing/>
    </w:pPr>
  </w:style>
  <w:style w:type="character" w:styleId="AklamaBavurusu">
    <w:name w:val="annotation reference"/>
    <w:basedOn w:val="VarsaylanParagrafYazTipi"/>
    <w:uiPriority w:val="99"/>
    <w:semiHidden/>
    <w:unhideWhenUsed/>
    <w:rsid w:val="00DA56CA"/>
    <w:rPr>
      <w:sz w:val="16"/>
      <w:szCs w:val="16"/>
    </w:rPr>
  </w:style>
  <w:style w:type="paragraph" w:styleId="AklamaMetni">
    <w:name w:val="annotation text"/>
    <w:basedOn w:val="Normal"/>
    <w:link w:val="AklamaMetniChar"/>
    <w:uiPriority w:val="99"/>
    <w:semiHidden/>
    <w:unhideWhenUsed/>
    <w:rsid w:val="00DA56CA"/>
  </w:style>
  <w:style w:type="character" w:customStyle="1" w:styleId="AklamaMetniChar">
    <w:name w:val="Açıklama Metni Char"/>
    <w:basedOn w:val="VarsaylanParagrafYazTipi"/>
    <w:link w:val="AklamaMetni"/>
    <w:uiPriority w:val="99"/>
    <w:semiHidden/>
    <w:rsid w:val="00DA56CA"/>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DA56CA"/>
    <w:rPr>
      <w:b/>
      <w:bCs/>
    </w:rPr>
  </w:style>
  <w:style w:type="character" w:customStyle="1" w:styleId="AklamaKonusuChar">
    <w:name w:val="Açıklama Konusu Char"/>
    <w:basedOn w:val="AklamaMetniChar"/>
    <w:link w:val="AklamaKonusu"/>
    <w:uiPriority w:val="99"/>
    <w:semiHidden/>
    <w:rsid w:val="00DA56CA"/>
    <w:rPr>
      <w:rFonts w:ascii="Times New Roman" w:eastAsia="Times New Roman" w:hAnsi="Times New Roman" w:cs="Times New Roman"/>
      <w:b/>
      <w:bCs/>
      <w:sz w:val="20"/>
      <w:szCs w:val="20"/>
      <w:lang w:val="en-US"/>
    </w:rPr>
  </w:style>
  <w:style w:type="character" w:customStyle="1" w:styleId="spellingerror">
    <w:name w:val="spellingerror"/>
    <w:basedOn w:val="VarsaylanParagrafYazTipi"/>
    <w:rsid w:val="00FD1E5C"/>
  </w:style>
  <w:style w:type="character" w:customStyle="1" w:styleId="normaltextrun">
    <w:name w:val="normaltextrun"/>
    <w:basedOn w:val="VarsaylanParagrafYazTipi"/>
    <w:rsid w:val="00FD1E5C"/>
  </w:style>
  <w:style w:type="character" w:customStyle="1" w:styleId="eop">
    <w:name w:val="eop"/>
    <w:basedOn w:val="VarsaylanParagrafYazTipi"/>
    <w:rsid w:val="00FD1E5C"/>
  </w:style>
  <w:style w:type="character" w:styleId="Kpr">
    <w:name w:val="Hyperlink"/>
    <w:basedOn w:val="VarsaylanParagrafYazTipi"/>
    <w:uiPriority w:val="99"/>
    <w:unhideWhenUsed/>
    <w:rsid w:val="00981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6499">
      <w:bodyDiv w:val="1"/>
      <w:marLeft w:val="0"/>
      <w:marRight w:val="0"/>
      <w:marTop w:val="0"/>
      <w:marBottom w:val="0"/>
      <w:divBdr>
        <w:top w:val="none" w:sz="0" w:space="0" w:color="auto"/>
        <w:left w:val="none" w:sz="0" w:space="0" w:color="auto"/>
        <w:bottom w:val="none" w:sz="0" w:space="0" w:color="auto"/>
        <w:right w:val="none" w:sz="0" w:space="0" w:color="auto"/>
      </w:divBdr>
    </w:div>
    <w:div w:id="1467309192">
      <w:bodyDiv w:val="1"/>
      <w:marLeft w:val="0"/>
      <w:marRight w:val="0"/>
      <w:marTop w:val="0"/>
      <w:marBottom w:val="0"/>
      <w:divBdr>
        <w:top w:val="none" w:sz="0" w:space="0" w:color="auto"/>
        <w:left w:val="none" w:sz="0" w:space="0" w:color="auto"/>
        <w:bottom w:val="none" w:sz="0" w:space="0" w:color="auto"/>
        <w:right w:val="none" w:sz="0" w:space="0" w:color="auto"/>
      </w:divBdr>
    </w:div>
    <w:div w:id="1518422312">
      <w:bodyDiv w:val="1"/>
      <w:marLeft w:val="0"/>
      <w:marRight w:val="0"/>
      <w:marTop w:val="0"/>
      <w:marBottom w:val="0"/>
      <w:divBdr>
        <w:top w:val="none" w:sz="0" w:space="0" w:color="auto"/>
        <w:left w:val="none" w:sz="0" w:space="0" w:color="auto"/>
        <w:bottom w:val="none" w:sz="0" w:space="0" w:color="auto"/>
        <w:right w:val="none" w:sz="0" w:space="0" w:color="auto"/>
      </w:divBdr>
      <w:divsChild>
        <w:div w:id="1322388713">
          <w:marLeft w:val="0"/>
          <w:marRight w:val="0"/>
          <w:marTop w:val="0"/>
          <w:marBottom w:val="0"/>
          <w:divBdr>
            <w:top w:val="none" w:sz="0" w:space="0" w:color="auto"/>
            <w:left w:val="none" w:sz="0" w:space="0" w:color="auto"/>
            <w:bottom w:val="none" w:sz="0" w:space="0" w:color="auto"/>
            <w:right w:val="none" w:sz="0" w:space="0" w:color="auto"/>
          </w:divBdr>
          <w:divsChild>
            <w:div w:id="1286934124">
              <w:marLeft w:val="0"/>
              <w:marRight w:val="0"/>
              <w:marTop w:val="0"/>
              <w:marBottom w:val="0"/>
              <w:divBdr>
                <w:top w:val="none" w:sz="0" w:space="0" w:color="auto"/>
                <w:left w:val="none" w:sz="0" w:space="0" w:color="auto"/>
                <w:bottom w:val="none" w:sz="0" w:space="0" w:color="auto"/>
                <w:right w:val="none" w:sz="0" w:space="0" w:color="auto"/>
              </w:divBdr>
              <w:divsChild>
                <w:div w:id="1221405564">
                  <w:marLeft w:val="0"/>
                  <w:marRight w:val="0"/>
                  <w:marTop w:val="0"/>
                  <w:marBottom w:val="0"/>
                  <w:divBdr>
                    <w:top w:val="none" w:sz="0" w:space="0" w:color="auto"/>
                    <w:left w:val="none" w:sz="0" w:space="0" w:color="auto"/>
                    <w:bottom w:val="none" w:sz="0" w:space="0" w:color="auto"/>
                    <w:right w:val="none" w:sz="0" w:space="0" w:color="auto"/>
                  </w:divBdr>
                  <w:divsChild>
                    <w:div w:id="1195728227">
                      <w:marLeft w:val="0"/>
                      <w:marRight w:val="0"/>
                      <w:marTop w:val="0"/>
                      <w:marBottom w:val="0"/>
                      <w:divBdr>
                        <w:top w:val="none" w:sz="0" w:space="0" w:color="auto"/>
                        <w:left w:val="none" w:sz="0" w:space="0" w:color="auto"/>
                        <w:bottom w:val="none" w:sz="0" w:space="0" w:color="auto"/>
                        <w:right w:val="none" w:sz="0" w:space="0" w:color="auto"/>
                      </w:divBdr>
                      <w:divsChild>
                        <w:div w:id="1148940745">
                          <w:marLeft w:val="0"/>
                          <w:marRight w:val="0"/>
                          <w:marTop w:val="0"/>
                          <w:marBottom w:val="0"/>
                          <w:divBdr>
                            <w:top w:val="none" w:sz="0" w:space="0" w:color="auto"/>
                            <w:left w:val="none" w:sz="0" w:space="0" w:color="auto"/>
                            <w:bottom w:val="none" w:sz="0" w:space="0" w:color="auto"/>
                            <w:right w:val="none" w:sz="0" w:space="0" w:color="auto"/>
                          </w:divBdr>
                          <w:divsChild>
                            <w:div w:id="1813056121">
                              <w:marLeft w:val="15"/>
                              <w:marRight w:val="195"/>
                              <w:marTop w:val="0"/>
                              <w:marBottom w:val="0"/>
                              <w:divBdr>
                                <w:top w:val="none" w:sz="0" w:space="0" w:color="auto"/>
                                <w:left w:val="none" w:sz="0" w:space="0" w:color="auto"/>
                                <w:bottom w:val="none" w:sz="0" w:space="0" w:color="auto"/>
                                <w:right w:val="none" w:sz="0" w:space="0" w:color="auto"/>
                              </w:divBdr>
                              <w:divsChild>
                                <w:div w:id="645665499">
                                  <w:marLeft w:val="0"/>
                                  <w:marRight w:val="0"/>
                                  <w:marTop w:val="0"/>
                                  <w:marBottom w:val="0"/>
                                  <w:divBdr>
                                    <w:top w:val="none" w:sz="0" w:space="0" w:color="auto"/>
                                    <w:left w:val="none" w:sz="0" w:space="0" w:color="auto"/>
                                    <w:bottom w:val="none" w:sz="0" w:space="0" w:color="auto"/>
                                    <w:right w:val="none" w:sz="0" w:space="0" w:color="auto"/>
                                  </w:divBdr>
                                  <w:divsChild>
                                    <w:div w:id="598223412">
                                      <w:marLeft w:val="0"/>
                                      <w:marRight w:val="0"/>
                                      <w:marTop w:val="0"/>
                                      <w:marBottom w:val="0"/>
                                      <w:divBdr>
                                        <w:top w:val="none" w:sz="0" w:space="0" w:color="auto"/>
                                        <w:left w:val="none" w:sz="0" w:space="0" w:color="auto"/>
                                        <w:bottom w:val="none" w:sz="0" w:space="0" w:color="auto"/>
                                        <w:right w:val="none" w:sz="0" w:space="0" w:color="auto"/>
                                      </w:divBdr>
                                      <w:divsChild>
                                        <w:div w:id="2063678372">
                                          <w:marLeft w:val="0"/>
                                          <w:marRight w:val="0"/>
                                          <w:marTop w:val="0"/>
                                          <w:marBottom w:val="0"/>
                                          <w:divBdr>
                                            <w:top w:val="none" w:sz="0" w:space="0" w:color="auto"/>
                                            <w:left w:val="none" w:sz="0" w:space="0" w:color="auto"/>
                                            <w:bottom w:val="none" w:sz="0" w:space="0" w:color="auto"/>
                                            <w:right w:val="none" w:sz="0" w:space="0" w:color="auto"/>
                                          </w:divBdr>
                                          <w:divsChild>
                                            <w:div w:id="733313109">
                                              <w:marLeft w:val="0"/>
                                              <w:marRight w:val="0"/>
                                              <w:marTop w:val="0"/>
                                              <w:marBottom w:val="0"/>
                                              <w:divBdr>
                                                <w:top w:val="none" w:sz="0" w:space="0" w:color="auto"/>
                                                <w:left w:val="none" w:sz="0" w:space="0" w:color="auto"/>
                                                <w:bottom w:val="none" w:sz="0" w:space="0" w:color="auto"/>
                                                <w:right w:val="none" w:sz="0" w:space="0" w:color="auto"/>
                                              </w:divBdr>
                                              <w:divsChild>
                                                <w:div w:id="1219971915">
                                                  <w:marLeft w:val="0"/>
                                                  <w:marRight w:val="0"/>
                                                  <w:marTop w:val="0"/>
                                                  <w:marBottom w:val="0"/>
                                                  <w:divBdr>
                                                    <w:top w:val="none" w:sz="0" w:space="0" w:color="auto"/>
                                                    <w:left w:val="none" w:sz="0" w:space="0" w:color="auto"/>
                                                    <w:bottom w:val="none" w:sz="0" w:space="0" w:color="auto"/>
                                                    <w:right w:val="none" w:sz="0" w:space="0" w:color="auto"/>
                                                  </w:divBdr>
                                                  <w:divsChild>
                                                    <w:div w:id="227377106">
                                                      <w:marLeft w:val="0"/>
                                                      <w:marRight w:val="0"/>
                                                      <w:marTop w:val="0"/>
                                                      <w:marBottom w:val="0"/>
                                                      <w:divBdr>
                                                        <w:top w:val="none" w:sz="0" w:space="0" w:color="auto"/>
                                                        <w:left w:val="none" w:sz="0" w:space="0" w:color="auto"/>
                                                        <w:bottom w:val="none" w:sz="0" w:space="0" w:color="auto"/>
                                                        <w:right w:val="none" w:sz="0" w:space="0" w:color="auto"/>
                                                      </w:divBdr>
                                                      <w:divsChild>
                                                        <w:div w:id="465200769">
                                                          <w:marLeft w:val="0"/>
                                                          <w:marRight w:val="0"/>
                                                          <w:marTop w:val="0"/>
                                                          <w:marBottom w:val="0"/>
                                                          <w:divBdr>
                                                            <w:top w:val="none" w:sz="0" w:space="0" w:color="auto"/>
                                                            <w:left w:val="none" w:sz="0" w:space="0" w:color="auto"/>
                                                            <w:bottom w:val="none" w:sz="0" w:space="0" w:color="auto"/>
                                                            <w:right w:val="none" w:sz="0" w:space="0" w:color="auto"/>
                                                          </w:divBdr>
                                                          <w:divsChild>
                                                            <w:div w:id="271011733">
                                                              <w:marLeft w:val="0"/>
                                                              <w:marRight w:val="0"/>
                                                              <w:marTop w:val="0"/>
                                                              <w:marBottom w:val="0"/>
                                                              <w:divBdr>
                                                                <w:top w:val="none" w:sz="0" w:space="0" w:color="auto"/>
                                                                <w:left w:val="none" w:sz="0" w:space="0" w:color="auto"/>
                                                                <w:bottom w:val="none" w:sz="0" w:space="0" w:color="auto"/>
                                                                <w:right w:val="none" w:sz="0" w:space="0" w:color="auto"/>
                                                              </w:divBdr>
                                                              <w:divsChild>
                                                                <w:div w:id="1802570656">
                                                                  <w:marLeft w:val="0"/>
                                                                  <w:marRight w:val="0"/>
                                                                  <w:marTop w:val="0"/>
                                                                  <w:marBottom w:val="0"/>
                                                                  <w:divBdr>
                                                                    <w:top w:val="none" w:sz="0" w:space="0" w:color="auto"/>
                                                                    <w:left w:val="none" w:sz="0" w:space="0" w:color="auto"/>
                                                                    <w:bottom w:val="none" w:sz="0" w:space="0" w:color="auto"/>
                                                                    <w:right w:val="none" w:sz="0" w:space="0" w:color="auto"/>
                                                                  </w:divBdr>
                                                                  <w:divsChild>
                                                                    <w:div w:id="51078741">
                                                                      <w:marLeft w:val="405"/>
                                                                      <w:marRight w:val="0"/>
                                                                      <w:marTop w:val="0"/>
                                                                      <w:marBottom w:val="0"/>
                                                                      <w:divBdr>
                                                                        <w:top w:val="none" w:sz="0" w:space="0" w:color="auto"/>
                                                                        <w:left w:val="none" w:sz="0" w:space="0" w:color="auto"/>
                                                                        <w:bottom w:val="none" w:sz="0" w:space="0" w:color="auto"/>
                                                                        <w:right w:val="none" w:sz="0" w:space="0" w:color="auto"/>
                                                                      </w:divBdr>
                                                                      <w:divsChild>
                                                                        <w:div w:id="430127788">
                                                                          <w:marLeft w:val="0"/>
                                                                          <w:marRight w:val="0"/>
                                                                          <w:marTop w:val="0"/>
                                                                          <w:marBottom w:val="0"/>
                                                                          <w:divBdr>
                                                                            <w:top w:val="none" w:sz="0" w:space="0" w:color="auto"/>
                                                                            <w:left w:val="none" w:sz="0" w:space="0" w:color="auto"/>
                                                                            <w:bottom w:val="none" w:sz="0" w:space="0" w:color="auto"/>
                                                                            <w:right w:val="none" w:sz="0" w:space="0" w:color="auto"/>
                                                                          </w:divBdr>
                                                                          <w:divsChild>
                                                                            <w:div w:id="804810010">
                                                                              <w:marLeft w:val="0"/>
                                                                              <w:marRight w:val="0"/>
                                                                              <w:marTop w:val="0"/>
                                                                              <w:marBottom w:val="0"/>
                                                                              <w:divBdr>
                                                                                <w:top w:val="none" w:sz="0" w:space="0" w:color="auto"/>
                                                                                <w:left w:val="none" w:sz="0" w:space="0" w:color="auto"/>
                                                                                <w:bottom w:val="none" w:sz="0" w:space="0" w:color="auto"/>
                                                                                <w:right w:val="none" w:sz="0" w:space="0" w:color="auto"/>
                                                                              </w:divBdr>
                                                                              <w:divsChild>
                                                                                <w:div w:id="914244357">
                                                                                  <w:marLeft w:val="0"/>
                                                                                  <w:marRight w:val="0"/>
                                                                                  <w:marTop w:val="60"/>
                                                                                  <w:marBottom w:val="0"/>
                                                                                  <w:divBdr>
                                                                                    <w:top w:val="none" w:sz="0" w:space="0" w:color="auto"/>
                                                                                    <w:left w:val="none" w:sz="0" w:space="0" w:color="auto"/>
                                                                                    <w:bottom w:val="none" w:sz="0" w:space="0" w:color="auto"/>
                                                                                    <w:right w:val="none" w:sz="0" w:space="0" w:color="auto"/>
                                                                                  </w:divBdr>
                                                                                  <w:divsChild>
                                                                                    <w:div w:id="1475609051">
                                                                                      <w:marLeft w:val="0"/>
                                                                                      <w:marRight w:val="0"/>
                                                                                      <w:marTop w:val="0"/>
                                                                                      <w:marBottom w:val="0"/>
                                                                                      <w:divBdr>
                                                                                        <w:top w:val="none" w:sz="0" w:space="0" w:color="auto"/>
                                                                                        <w:left w:val="none" w:sz="0" w:space="0" w:color="auto"/>
                                                                                        <w:bottom w:val="none" w:sz="0" w:space="0" w:color="auto"/>
                                                                                        <w:right w:val="none" w:sz="0" w:space="0" w:color="auto"/>
                                                                                      </w:divBdr>
                                                                                      <w:divsChild>
                                                                                        <w:div w:id="1206673704">
                                                                                          <w:marLeft w:val="0"/>
                                                                                          <w:marRight w:val="0"/>
                                                                                          <w:marTop w:val="0"/>
                                                                                          <w:marBottom w:val="0"/>
                                                                                          <w:divBdr>
                                                                                            <w:top w:val="none" w:sz="0" w:space="0" w:color="auto"/>
                                                                                            <w:left w:val="none" w:sz="0" w:space="0" w:color="auto"/>
                                                                                            <w:bottom w:val="none" w:sz="0" w:space="0" w:color="auto"/>
                                                                                            <w:right w:val="none" w:sz="0" w:space="0" w:color="auto"/>
                                                                                          </w:divBdr>
                                                                                          <w:divsChild>
                                                                                            <w:div w:id="363679021">
                                                                                              <w:marLeft w:val="0"/>
                                                                                              <w:marRight w:val="0"/>
                                                                                              <w:marTop w:val="0"/>
                                                                                              <w:marBottom w:val="0"/>
                                                                                              <w:divBdr>
                                                                                                <w:top w:val="none" w:sz="0" w:space="0" w:color="auto"/>
                                                                                                <w:left w:val="none" w:sz="0" w:space="0" w:color="auto"/>
                                                                                                <w:bottom w:val="none" w:sz="0" w:space="0" w:color="auto"/>
                                                                                                <w:right w:val="none" w:sz="0" w:space="0" w:color="auto"/>
                                                                                              </w:divBdr>
                                                                                              <w:divsChild>
                                                                                                <w:div w:id="535855080">
                                                                                                  <w:marLeft w:val="0"/>
                                                                                                  <w:marRight w:val="0"/>
                                                                                                  <w:marTop w:val="0"/>
                                                                                                  <w:marBottom w:val="0"/>
                                                                                                  <w:divBdr>
                                                                                                    <w:top w:val="none" w:sz="0" w:space="0" w:color="auto"/>
                                                                                                    <w:left w:val="none" w:sz="0" w:space="0" w:color="auto"/>
                                                                                                    <w:bottom w:val="none" w:sz="0" w:space="0" w:color="auto"/>
                                                                                                    <w:right w:val="none" w:sz="0" w:space="0" w:color="auto"/>
                                                                                                  </w:divBdr>
                                                                                                  <w:divsChild>
                                                                                                    <w:div w:id="714933763">
                                                                                                      <w:marLeft w:val="0"/>
                                                                                                      <w:marRight w:val="0"/>
                                                                                                      <w:marTop w:val="0"/>
                                                                                                      <w:marBottom w:val="0"/>
                                                                                                      <w:divBdr>
                                                                                                        <w:top w:val="none" w:sz="0" w:space="0" w:color="auto"/>
                                                                                                        <w:left w:val="none" w:sz="0" w:space="0" w:color="auto"/>
                                                                                                        <w:bottom w:val="none" w:sz="0" w:space="0" w:color="auto"/>
                                                                                                        <w:right w:val="none" w:sz="0" w:space="0" w:color="auto"/>
                                                                                                      </w:divBdr>
                                                                                                      <w:divsChild>
                                                                                                        <w:div w:id="524443943">
                                                                                                          <w:marLeft w:val="0"/>
                                                                                                          <w:marRight w:val="0"/>
                                                                                                          <w:marTop w:val="0"/>
                                                                                                          <w:marBottom w:val="0"/>
                                                                                                          <w:divBdr>
                                                                                                            <w:top w:val="none" w:sz="0" w:space="0" w:color="auto"/>
                                                                                                            <w:left w:val="none" w:sz="0" w:space="0" w:color="auto"/>
                                                                                                            <w:bottom w:val="none" w:sz="0" w:space="0" w:color="auto"/>
                                                                                                            <w:right w:val="none" w:sz="0" w:space="0" w:color="auto"/>
                                                                                                          </w:divBdr>
                                                                                                          <w:divsChild>
                                                                                                            <w:div w:id="47265623">
                                                                                                              <w:marLeft w:val="0"/>
                                                                                                              <w:marRight w:val="0"/>
                                                                                                              <w:marTop w:val="0"/>
                                                                                                              <w:marBottom w:val="0"/>
                                                                                                              <w:divBdr>
                                                                                                                <w:top w:val="none" w:sz="0" w:space="0" w:color="auto"/>
                                                                                                                <w:left w:val="none" w:sz="0" w:space="0" w:color="auto"/>
                                                                                                                <w:bottom w:val="none" w:sz="0" w:space="0" w:color="auto"/>
                                                                                                                <w:right w:val="none" w:sz="0" w:space="0" w:color="auto"/>
                                                                                                              </w:divBdr>
                                                                                                              <w:divsChild>
                                                                                                                <w:div w:id="1695885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951143">
                                                                                                                      <w:marLeft w:val="0"/>
                                                                                                                      <w:marRight w:val="0"/>
                                                                                                                      <w:marTop w:val="0"/>
                                                                                                                      <w:marBottom w:val="0"/>
                                                                                                                      <w:divBdr>
                                                                                                                        <w:top w:val="none" w:sz="0" w:space="0" w:color="auto"/>
                                                                                                                        <w:left w:val="none" w:sz="0" w:space="0" w:color="auto"/>
                                                                                                                        <w:bottom w:val="none" w:sz="0" w:space="0" w:color="auto"/>
                                                                                                                        <w:right w:val="none" w:sz="0" w:space="0" w:color="auto"/>
                                                                                                                      </w:divBdr>
                                                                                                                      <w:divsChild>
                                                                                                                        <w:div w:id="8876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npower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ylann@marjinal.com.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899330-A692-4FDE-9C37-44E020140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BE57E-72ED-4296-B80A-EFE97977A5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35D26A-4B19-4BE1-80A6-06B89D289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Manpower</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Ceylan Naza</cp:lastModifiedBy>
  <cp:revision>6</cp:revision>
  <dcterms:created xsi:type="dcterms:W3CDTF">2018-03-05T15:22:00Z</dcterms:created>
  <dcterms:modified xsi:type="dcterms:W3CDTF">2018-03-15T08:01:00Z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