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F3F6" w14:textId="2519A781" w:rsidR="00EE326C" w:rsidRPr="00AF4DB7" w:rsidRDefault="00AF4DB7" w:rsidP="008547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353535"/>
          <w:sz w:val="32"/>
          <w:u w:val="single"/>
        </w:rPr>
      </w:pPr>
      <w:r w:rsidRPr="00AF4DB7">
        <w:rPr>
          <w:rFonts w:ascii="Verdana" w:hAnsi="Verdana" w:cs="Arial"/>
          <w:b/>
          <w:color w:val="353535"/>
          <w:sz w:val="32"/>
          <w:u w:val="single"/>
        </w:rPr>
        <w:t>BASIN BÜLTENİ</w:t>
      </w:r>
    </w:p>
    <w:p w14:paraId="74765D6B" w14:textId="77777777" w:rsidR="00607E29" w:rsidRDefault="00607E29" w:rsidP="00607E29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</w:p>
    <w:p w14:paraId="15C583A9" w14:textId="25B4D344" w:rsidR="002D47B6" w:rsidRPr="00607E29" w:rsidRDefault="002D47B6" w:rsidP="00607E29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proofErr w:type="spellStart"/>
      <w:r w:rsidRPr="00607E29">
        <w:rPr>
          <w:rFonts w:ascii="Verdana" w:hAnsi="Verdana"/>
          <w:b/>
          <w:sz w:val="28"/>
          <w:szCs w:val="28"/>
          <w:lang w:val="tr-TR"/>
        </w:rPr>
        <w:t>Fortinet</w:t>
      </w:r>
      <w:proofErr w:type="spellEnd"/>
      <w:r w:rsidR="00BA0329" w:rsidRPr="00607E29">
        <w:rPr>
          <w:rFonts w:ascii="Verdana" w:hAnsi="Verdana"/>
          <w:b/>
          <w:sz w:val="28"/>
          <w:szCs w:val="28"/>
          <w:lang w:val="tr-TR"/>
        </w:rPr>
        <w:t xml:space="preserve"> g</w:t>
      </w:r>
      <w:r w:rsidRPr="00607E29">
        <w:rPr>
          <w:rFonts w:ascii="Verdana" w:hAnsi="Verdana"/>
          <w:b/>
          <w:sz w:val="28"/>
          <w:szCs w:val="28"/>
          <w:lang w:val="tr-TR"/>
        </w:rPr>
        <w:t>eli</w:t>
      </w:r>
      <w:r w:rsidR="00BA0329" w:rsidRPr="00607E29">
        <w:rPr>
          <w:rFonts w:ascii="Verdana" w:hAnsi="Verdana"/>
          <w:b/>
          <w:sz w:val="28"/>
          <w:szCs w:val="28"/>
          <w:lang w:val="tr-TR"/>
        </w:rPr>
        <w:t>rlerini hızla artırmaya devam ederken</w:t>
      </w:r>
      <w:r w:rsidRPr="00607E29">
        <w:rPr>
          <w:rFonts w:ascii="Verdana" w:hAnsi="Verdana"/>
          <w:b/>
          <w:sz w:val="28"/>
          <w:szCs w:val="28"/>
          <w:lang w:val="tr-TR"/>
        </w:rPr>
        <w:t xml:space="preserve"> </w:t>
      </w:r>
      <w:r w:rsidR="00AF4DB7" w:rsidRPr="00607E29">
        <w:rPr>
          <w:rFonts w:ascii="Verdana" w:hAnsi="Verdana"/>
          <w:b/>
          <w:sz w:val="28"/>
          <w:szCs w:val="28"/>
          <w:lang w:val="tr-TR"/>
        </w:rPr>
        <w:t>g</w:t>
      </w:r>
      <w:r w:rsidRPr="00607E29">
        <w:rPr>
          <w:rFonts w:ascii="Verdana" w:hAnsi="Verdana"/>
          <w:b/>
          <w:sz w:val="28"/>
          <w:szCs w:val="28"/>
          <w:lang w:val="tr-TR"/>
        </w:rPr>
        <w:t xml:space="preserve">üvenlik </w:t>
      </w:r>
      <w:r w:rsidR="00AF4DB7" w:rsidRPr="00607E29">
        <w:rPr>
          <w:rFonts w:ascii="Verdana" w:hAnsi="Verdana"/>
          <w:b/>
          <w:sz w:val="28"/>
          <w:szCs w:val="28"/>
          <w:lang w:val="tr-TR"/>
        </w:rPr>
        <w:t>c</w:t>
      </w:r>
      <w:r w:rsidR="00BA0329" w:rsidRPr="00607E29">
        <w:rPr>
          <w:rFonts w:ascii="Verdana" w:hAnsi="Verdana"/>
          <w:b/>
          <w:sz w:val="28"/>
          <w:szCs w:val="28"/>
          <w:lang w:val="tr-TR"/>
        </w:rPr>
        <w:t>ihazları s</w:t>
      </w:r>
      <w:r w:rsidRPr="00607E29">
        <w:rPr>
          <w:rFonts w:ascii="Verdana" w:hAnsi="Verdana"/>
          <w:b/>
          <w:sz w:val="28"/>
          <w:szCs w:val="28"/>
          <w:lang w:val="tr-TR"/>
        </w:rPr>
        <w:t>atışlarında</w:t>
      </w:r>
      <w:r w:rsidR="00BA0329" w:rsidRPr="00607E29">
        <w:rPr>
          <w:rFonts w:ascii="Verdana" w:hAnsi="Verdana"/>
          <w:b/>
          <w:sz w:val="28"/>
          <w:szCs w:val="28"/>
          <w:lang w:val="tr-TR"/>
        </w:rPr>
        <w:t xml:space="preserve"> da liderliği elinden b</w:t>
      </w:r>
      <w:r w:rsidRPr="00607E29">
        <w:rPr>
          <w:rFonts w:ascii="Verdana" w:hAnsi="Verdana"/>
          <w:b/>
          <w:sz w:val="28"/>
          <w:szCs w:val="28"/>
          <w:lang w:val="tr-TR"/>
        </w:rPr>
        <w:t>ırakmıyor</w:t>
      </w:r>
    </w:p>
    <w:p w14:paraId="3857370D" w14:textId="5B8673FE" w:rsidR="00BD7807" w:rsidRPr="00854734" w:rsidRDefault="00BD7807" w:rsidP="00607E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color w:val="353535"/>
        </w:rPr>
      </w:pPr>
    </w:p>
    <w:p w14:paraId="43603699" w14:textId="38977B46" w:rsidR="00093ECB" w:rsidRPr="00607E29" w:rsidRDefault="00BA0329" w:rsidP="00607E29">
      <w:pPr>
        <w:spacing w:line="360" w:lineRule="auto"/>
        <w:jc w:val="center"/>
        <w:rPr>
          <w:rFonts w:ascii="Verdana" w:hAnsi="Verdana"/>
          <w:b/>
          <w:lang w:val="tr-TR"/>
        </w:rPr>
      </w:pPr>
      <w:r w:rsidRPr="00607E29">
        <w:rPr>
          <w:rFonts w:ascii="Verdana" w:hAnsi="Verdana"/>
          <w:b/>
          <w:lang w:val="tr-TR"/>
        </w:rPr>
        <w:t>Önde gelen bir analist</w:t>
      </w:r>
      <w:r w:rsidR="00093ECB" w:rsidRPr="00607E29">
        <w:rPr>
          <w:rFonts w:ascii="Verdana" w:hAnsi="Verdana"/>
          <w:b/>
          <w:lang w:val="tr-TR"/>
        </w:rPr>
        <w:t xml:space="preserve"> firmanın verilerin</w:t>
      </w:r>
      <w:r w:rsidRPr="00607E29">
        <w:rPr>
          <w:rFonts w:ascii="Verdana" w:hAnsi="Verdana"/>
          <w:b/>
          <w:lang w:val="tr-TR"/>
        </w:rPr>
        <w:t xml:space="preserve">e göre </w:t>
      </w:r>
      <w:proofErr w:type="spellStart"/>
      <w:r w:rsidRPr="00607E29">
        <w:rPr>
          <w:rFonts w:ascii="Verdana" w:hAnsi="Verdana"/>
          <w:b/>
          <w:lang w:val="tr-TR"/>
        </w:rPr>
        <w:t>Fortinet</w:t>
      </w:r>
      <w:proofErr w:type="spellEnd"/>
      <w:r w:rsidRPr="00607E29">
        <w:rPr>
          <w:rFonts w:ascii="Verdana" w:hAnsi="Verdana"/>
          <w:b/>
          <w:lang w:val="tr-TR"/>
        </w:rPr>
        <w:t xml:space="preserve"> satış hızını ar</w:t>
      </w:r>
      <w:r w:rsidR="00093ECB" w:rsidRPr="00607E29">
        <w:rPr>
          <w:rFonts w:ascii="Verdana" w:hAnsi="Verdana"/>
          <w:b/>
          <w:lang w:val="tr-TR"/>
        </w:rPr>
        <w:t>tırırken sektördeki diğer servis sağlayıcılarından daha çok güvenlik çözümü satıyor.</w:t>
      </w:r>
    </w:p>
    <w:p w14:paraId="7539B96E" w14:textId="77777777" w:rsidR="005E666C" w:rsidRPr="00854734" w:rsidRDefault="005E666C" w:rsidP="00093E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353535"/>
        </w:rPr>
      </w:pPr>
      <w:bookmarkStart w:id="0" w:name="_GoBack"/>
      <w:bookmarkEnd w:id="0"/>
    </w:p>
    <w:p w14:paraId="435FEF4C" w14:textId="67C570F6" w:rsidR="00093ECB" w:rsidRPr="0093206A" w:rsidRDefault="00093ECB" w:rsidP="00093ECB">
      <w:pPr>
        <w:spacing w:line="360" w:lineRule="auto"/>
        <w:jc w:val="both"/>
        <w:rPr>
          <w:rFonts w:ascii="Verdana" w:hAnsi="Verdana"/>
          <w:b/>
          <w:lang w:val="tr-TR"/>
        </w:rPr>
      </w:pPr>
      <w:r w:rsidRPr="0093206A">
        <w:rPr>
          <w:rFonts w:ascii="Verdana" w:hAnsi="Verdana"/>
          <w:b/>
          <w:lang w:val="tr-TR"/>
        </w:rPr>
        <w:t xml:space="preserve">John </w:t>
      </w:r>
      <w:proofErr w:type="spellStart"/>
      <w:r w:rsidRPr="0093206A">
        <w:rPr>
          <w:rFonts w:ascii="Verdana" w:hAnsi="Verdana"/>
          <w:b/>
          <w:lang w:val="tr-TR"/>
        </w:rPr>
        <w:t>Maddison</w:t>
      </w:r>
      <w:proofErr w:type="spellEnd"/>
      <w:r w:rsidRPr="0093206A">
        <w:rPr>
          <w:rFonts w:ascii="Verdana" w:hAnsi="Verdana"/>
          <w:b/>
          <w:lang w:val="tr-TR"/>
        </w:rPr>
        <w:t xml:space="preserve">, </w:t>
      </w:r>
      <w:proofErr w:type="spellStart"/>
      <w:r w:rsidRPr="0093206A">
        <w:rPr>
          <w:rFonts w:ascii="Verdana" w:hAnsi="Verdana"/>
          <w:b/>
          <w:lang w:val="tr-TR"/>
        </w:rPr>
        <w:t>Fortinet</w:t>
      </w:r>
      <w:proofErr w:type="spellEnd"/>
      <w:r w:rsidRPr="0093206A">
        <w:rPr>
          <w:rFonts w:ascii="Verdana" w:hAnsi="Verdana"/>
          <w:b/>
          <w:lang w:val="tr-TR"/>
        </w:rPr>
        <w:t xml:space="preserve"> Ürün ve</w:t>
      </w:r>
      <w:r w:rsidR="00BA0329">
        <w:rPr>
          <w:rFonts w:ascii="Verdana" w:hAnsi="Verdana"/>
          <w:b/>
          <w:lang w:val="tr-TR"/>
        </w:rPr>
        <w:t xml:space="preserve"> Çözümlerden Sorumlu </w:t>
      </w:r>
      <w:r w:rsidRPr="0093206A">
        <w:rPr>
          <w:rFonts w:ascii="Verdana" w:hAnsi="Verdana"/>
          <w:b/>
          <w:lang w:val="tr-TR"/>
        </w:rPr>
        <w:t xml:space="preserve">Kıdemli </w:t>
      </w:r>
      <w:r w:rsidR="00BA0329">
        <w:rPr>
          <w:rFonts w:ascii="Verdana" w:hAnsi="Verdana"/>
          <w:b/>
          <w:lang w:val="tr-TR"/>
        </w:rPr>
        <w:t>Başkan</w:t>
      </w:r>
      <w:r w:rsidRPr="0093206A">
        <w:rPr>
          <w:rFonts w:ascii="Verdana" w:hAnsi="Verdana"/>
          <w:b/>
          <w:lang w:val="tr-TR"/>
        </w:rPr>
        <w:t xml:space="preserve"> Yardımcısı</w:t>
      </w:r>
    </w:p>
    <w:p w14:paraId="5DAB6082" w14:textId="7900FA7F" w:rsidR="00093ECB" w:rsidRPr="0093206A" w:rsidRDefault="00093ECB" w:rsidP="00093ECB">
      <w:pPr>
        <w:spacing w:line="360" w:lineRule="auto"/>
        <w:jc w:val="both"/>
        <w:rPr>
          <w:rFonts w:ascii="Verdana" w:hAnsi="Verdana"/>
          <w:lang w:val="tr-TR"/>
        </w:rPr>
      </w:pPr>
      <w:r w:rsidRPr="0093206A">
        <w:rPr>
          <w:rFonts w:ascii="Verdana" w:hAnsi="Verdana"/>
          <w:b/>
          <w:lang w:val="tr-TR"/>
        </w:rPr>
        <w:t>“</w:t>
      </w:r>
      <w:r w:rsidR="00BA0329">
        <w:rPr>
          <w:rFonts w:ascii="Verdana" w:hAnsi="Verdana"/>
          <w:lang w:val="tr-TR"/>
        </w:rPr>
        <w:t xml:space="preserve">Yüksek talep gören </w:t>
      </w:r>
      <w:proofErr w:type="spellStart"/>
      <w:r w:rsidRPr="0093206A">
        <w:rPr>
          <w:rFonts w:ascii="Verdana" w:hAnsi="Verdana"/>
          <w:lang w:val="tr-TR"/>
        </w:rPr>
        <w:t>Fortinet</w:t>
      </w:r>
      <w:proofErr w:type="spellEnd"/>
      <w:r w:rsidRPr="0093206A">
        <w:rPr>
          <w:rFonts w:ascii="Verdana" w:hAnsi="Verdana"/>
          <w:lang w:val="tr-TR"/>
        </w:rPr>
        <w:t xml:space="preserve"> Security </w:t>
      </w:r>
      <w:proofErr w:type="spellStart"/>
      <w:r w:rsidRPr="0093206A">
        <w:rPr>
          <w:rFonts w:ascii="Verdana" w:hAnsi="Verdana"/>
          <w:lang w:val="tr-TR"/>
        </w:rPr>
        <w:t>Fabric</w:t>
      </w:r>
      <w:proofErr w:type="spellEnd"/>
      <w:r w:rsidRPr="0093206A">
        <w:rPr>
          <w:rFonts w:ascii="Verdana" w:hAnsi="Verdana"/>
          <w:lang w:val="tr-TR"/>
        </w:rPr>
        <w:t xml:space="preserve"> </w:t>
      </w:r>
      <w:r w:rsidR="00BA0329">
        <w:rPr>
          <w:rFonts w:ascii="Verdana" w:hAnsi="Verdana"/>
          <w:lang w:val="tr-TR"/>
        </w:rPr>
        <w:t xml:space="preserve">firmanın pazar payını artırırken </w:t>
      </w:r>
      <w:r w:rsidRPr="0093206A">
        <w:rPr>
          <w:rFonts w:ascii="Verdana" w:hAnsi="Verdana"/>
          <w:lang w:val="tr-TR"/>
        </w:rPr>
        <w:t>endüstrideki liderliğini</w:t>
      </w:r>
      <w:r w:rsidR="00BA0329">
        <w:rPr>
          <w:rFonts w:ascii="Verdana" w:hAnsi="Verdana"/>
          <w:lang w:val="tr-TR"/>
        </w:rPr>
        <w:t xml:space="preserve"> de</w:t>
      </w:r>
      <w:r w:rsidRPr="0093206A">
        <w:rPr>
          <w:rFonts w:ascii="Verdana" w:hAnsi="Verdana"/>
          <w:lang w:val="tr-TR"/>
        </w:rPr>
        <w:t xml:space="preserve"> pekiştiriyor. </w:t>
      </w:r>
      <w:r w:rsidRPr="0093206A">
        <w:rPr>
          <w:rFonts w:ascii="Verdana" w:hAnsi="Verdana"/>
          <w:b/>
          <w:lang w:val="tr-TR"/>
        </w:rPr>
        <w:t xml:space="preserve"> </w:t>
      </w:r>
      <w:r w:rsidR="00BA0329">
        <w:rPr>
          <w:rFonts w:ascii="Verdana" w:hAnsi="Verdana"/>
          <w:lang w:val="tr-TR"/>
        </w:rPr>
        <w:t xml:space="preserve">Nesnelerin </w:t>
      </w:r>
      <w:proofErr w:type="spellStart"/>
      <w:r w:rsidR="00BA0329">
        <w:rPr>
          <w:rFonts w:ascii="Verdana" w:hAnsi="Verdana"/>
          <w:lang w:val="tr-TR"/>
        </w:rPr>
        <w:t>İnterneti’nden</w:t>
      </w:r>
      <w:proofErr w:type="spellEnd"/>
      <w:r w:rsidR="00BA0329">
        <w:rPr>
          <w:rFonts w:ascii="Verdana" w:hAnsi="Verdana"/>
          <w:lang w:val="tr-TR"/>
        </w:rPr>
        <w:t xml:space="preserve"> (</w:t>
      </w:r>
      <w:proofErr w:type="spellStart"/>
      <w:r w:rsidR="00BA0329">
        <w:rPr>
          <w:rFonts w:ascii="Verdana" w:hAnsi="Verdana"/>
          <w:lang w:val="tr-TR"/>
        </w:rPr>
        <w:t>IoT</w:t>
      </w:r>
      <w:proofErr w:type="spellEnd"/>
      <w:r w:rsidR="00BA0329">
        <w:rPr>
          <w:rFonts w:ascii="Verdana" w:hAnsi="Verdana"/>
          <w:lang w:val="tr-TR"/>
        </w:rPr>
        <w:t>)</w:t>
      </w:r>
      <w:r w:rsidRPr="0093206A">
        <w:rPr>
          <w:rFonts w:ascii="Verdana" w:hAnsi="Verdana"/>
          <w:lang w:val="tr-TR"/>
        </w:rPr>
        <w:t xml:space="preserve"> bulut teknolojisine, fiziksel ve sanal ağlardan, kablolu ve kablosuz </w:t>
      </w:r>
      <w:r w:rsidR="00BA0329">
        <w:rPr>
          <w:rFonts w:ascii="Verdana" w:hAnsi="Verdana"/>
          <w:lang w:val="tr-TR"/>
        </w:rPr>
        <w:t>ortamlara</w:t>
      </w:r>
      <w:r w:rsidRPr="0093206A">
        <w:rPr>
          <w:rFonts w:ascii="Verdana" w:hAnsi="Verdana"/>
          <w:lang w:val="tr-TR"/>
        </w:rPr>
        <w:t xml:space="preserve"> </w:t>
      </w:r>
      <w:r w:rsidR="00BA0329">
        <w:rPr>
          <w:rFonts w:ascii="Verdana" w:hAnsi="Verdana"/>
          <w:lang w:val="tr-TR"/>
        </w:rPr>
        <w:t>sunduğumuz</w:t>
      </w:r>
      <w:r w:rsidRPr="0093206A">
        <w:rPr>
          <w:rFonts w:ascii="Verdana" w:hAnsi="Verdana"/>
          <w:lang w:val="tr-TR"/>
        </w:rPr>
        <w:t xml:space="preserve"> kapsamlı, güçlü ve hızlı Security </w:t>
      </w:r>
      <w:proofErr w:type="spellStart"/>
      <w:r w:rsidRPr="0093206A">
        <w:rPr>
          <w:rFonts w:ascii="Verdana" w:hAnsi="Verdana"/>
          <w:lang w:val="tr-TR"/>
        </w:rPr>
        <w:t>Fabric</w:t>
      </w:r>
      <w:proofErr w:type="spellEnd"/>
      <w:r w:rsidRPr="0093206A">
        <w:rPr>
          <w:rFonts w:ascii="Verdana" w:hAnsi="Verdana"/>
          <w:lang w:val="tr-TR"/>
        </w:rPr>
        <w:t xml:space="preserve"> ile bugün ve gelecekte </w:t>
      </w:r>
      <w:r w:rsidR="00BA0329">
        <w:rPr>
          <w:rFonts w:ascii="Verdana" w:hAnsi="Verdana"/>
          <w:lang w:val="tr-TR"/>
        </w:rPr>
        <w:t>müşterilerimizin</w:t>
      </w:r>
      <w:r w:rsidR="00BA0329" w:rsidRPr="0093206A">
        <w:rPr>
          <w:rFonts w:ascii="Verdana" w:hAnsi="Verdana"/>
          <w:lang w:val="tr-TR"/>
        </w:rPr>
        <w:t xml:space="preserve"> </w:t>
      </w:r>
      <w:r w:rsidRPr="0093206A">
        <w:rPr>
          <w:rFonts w:ascii="Verdana" w:hAnsi="Verdana"/>
          <w:lang w:val="tr-TR"/>
        </w:rPr>
        <w:t>karşılaşabilecekleri tehlikelere karşı kapsamlı bir hizmet sunuyoruz.”</w:t>
      </w:r>
    </w:p>
    <w:p w14:paraId="05FD7C19" w14:textId="77777777" w:rsidR="00C77035" w:rsidRPr="00093ECB" w:rsidRDefault="00C77035" w:rsidP="00093E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</w:p>
    <w:p w14:paraId="3FBBD4FA" w14:textId="77AA88B2" w:rsidR="00093ECB" w:rsidRPr="0093206A" w:rsidRDefault="00BA0329" w:rsidP="00093ECB">
      <w:pPr>
        <w:spacing w:line="360" w:lineRule="auto"/>
        <w:jc w:val="both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Son Gelişmelerin Özeti:</w:t>
      </w:r>
    </w:p>
    <w:p w14:paraId="23E65B7B" w14:textId="1AA4D7CF" w:rsidR="00093ECB" w:rsidRPr="0093206A" w:rsidRDefault="00093ECB" w:rsidP="00093ECB">
      <w:pPr>
        <w:spacing w:line="360" w:lineRule="auto"/>
        <w:jc w:val="both"/>
        <w:rPr>
          <w:rFonts w:ascii="Verdana" w:hAnsi="Verdana"/>
          <w:lang w:val="tr-TR"/>
        </w:rPr>
      </w:pPr>
      <w:r w:rsidRPr="0093206A">
        <w:rPr>
          <w:rFonts w:ascii="Verdana" w:hAnsi="Verdana"/>
          <w:lang w:val="tr-TR"/>
        </w:rPr>
        <w:t xml:space="preserve">Yüksek performanslı siber güvenlik çözümlerinde küresel lider olan </w:t>
      </w:r>
      <w:hyperlink r:id="rId7" w:history="1">
        <w:r w:rsidR="00BA0329" w:rsidRPr="00854734">
          <w:rPr>
            <w:rFonts w:ascii="Verdana" w:hAnsi="Verdana" w:cs="Arial"/>
          </w:rPr>
          <w:t>Fortinet</w:t>
        </w:r>
      </w:hyperlink>
      <w:r w:rsidR="00BA0329" w:rsidRPr="00854734">
        <w:rPr>
          <w:rFonts w:ascii="Verdana" w:hAnsi="Verdana" w:cs="Arial"/>
        </w:rPr>
        <w:t>® (NASDAQ: FTNT)</w:t>
      </w:r>
      <w:r w:rsidR="00BA0329">
        <w:rPr>
          <w:rFonts w:ascii="Verdana" w:hAnsi="Verdana" w:cs="Arial"/>
        </w:rPr>
        <w:t xml:space="preserve">, </w:t>
      </w:r>
      <w:r w:rsidRPr="0093206A">
        <w:rPr>
          <w:rFonts w:ascii="Verdana" w:hAnsi="Verdana"/>
          <w:lang w:val="tr-TR"/>
        </w:rPr>
        <w:t xml:space="preserve">bugün International Data </w:t>
      </w:r>
      <w:proofErr w:type="spellStart"/>
      <w:r w:rsidRPr="0093206A">
        <w:rPr>
          <w:rFonts w:ascii="Verdana" w:hAnsi="Verdana"/>
          <w:lang w:val="tr-TR"/>
        </w:rPr>
        <w:t>Corp</w:t>
      </w:r>
      <w:r w:rsidR="00BA0329">
        <w:rPr>
          <w:rFonts w:ascii="Verdana" w:hAnsi="Verdana"/>
          <w:lang w:val="tr-TR"/>
        </w:rPr>
        <w:t>ora</w:t>
      </w:r>
      <w:r w:rsidRPr="0093206A">
        <w:rPr>
          <w:rFonts w:ascii="Verdana" w:hAnsi="Verdana"/>
          <w:lang w:val="tr-TR"/>
        </w:rPr>
        <w:t>tion’ın</w:t>
      </w:r>
      <w:proofErr w:type="spellEnd"/>
      <w:r w:rsidRPr="0093206A">
        <w:rPr>
          <w:rFonts w:ascii="Verdana" w:hAnsi="Verdana"/>
          <w:lang w:val="tr-TR"/>
        </w:rPr>
        <w:t xml:space="preserve"> </w:t>
      </w:r>
      <w:proofErr w:type="spellStart"/>
      <w:r w:rsidRPr="0088611F">
        <w:rPr>
          <w:rFonts w:ascii="Verdana" w:hAnsi="Verdana"/>
          <w:lang w:val="tr-TR"/>
        </w:rPr>
        <w:t>Worldwide</w:t>
      </w:r>
      <w:proofErr w:type="spellEnd"/>
      <w:r w:rsidRPr="0088611F">
        <w:rPr>
          <w:rFonts w:ascii="Verdana" w:hAnsi="Verdana"/>
          <w:lang w:val="tr-TR"/>
        </w:rPr>
        <w:t xml:space="preserve"> </w:t>
      </w:r>
      <w:proofErr w:type="spellStart"/>
      <w:r w:rsidRPr="0088611F">
        <w:rPr>
          <w:rFonts w:ascii="Verdana" w:hAnsi="Verdana"/>
          <w:lang w:val="tr-TR"/>
        </w:rPr>
        <w:t>Quarterly</w:t>
      </w:r>
      <w:proofErr w:type="spellEnd"/>
      <w:r w:rsidRPr="0088611F">
        <w:rPr>
          <w:rFonts w:ascii="Verdana" w:hAnsi="Verdana"/>
          <w:lang w:val="tr-TR"/>
        </w:rPr>
        <w:t xml:space="preserve"> Security Appliance </w:t>
      </w:r>
      <w:proofErr w:type="spellStart"/>
      <w:r w:rsidRPr="0088611F">
        <w:rPr>
          <w:rFonts w:ascii="Verdana" w:hAnsi="Verdana"/>
          <w:lang w:val="tr-TR"/>
        </w:rPr>
        <w:t>Tracker</w:t>
      </w:r>
      <w:proofErr w:type="spellEnd"/>
      <w:r w:rsidRPr="0093206A">
        <w:rPr>
          <w:rFonts w:ascii="Verdana" w:hAnsi="Verdana"/>
          <w:lang w:val="tr-TR"/>
        </w:rPr>
        <w:t xml:space="preserve"> sonuçlarını açıkladı. </w:t>
      </w:r>
      <w:proofErr w:type="spellStart"/>
      <w:r w:rsidRPr="0093206A">
        <w:rPr>
          <w:rFonts w:ascii="Verdana" w:hAnsi="Verdana"/>
          <w:lang w:val="tr-TR"/>
        </w:rPr>
        <w:t>Fortinet</w:t>
      </w:r>
      <w:proofErr w:type="spellEnd"/>
      <w:r w:rsidRPr="0093206A">
        <w:rPr>
          <w:rFonts w:ascii="Verdana" w:hAnsi="Verdana"/>
          <w:lang w:val="tr-TR"/>
        </w:rPr>
        <w:t xml:space="preserve"> yıllardır süregelen ve 2017’nin ilk çeyreğinde de pekiştirdiği güvenlik çözümlerinde endüstri lideri konumunu çift haneli kar artışıyla taçlandırıyor. Rapora göre </w:t>
      </w:r>
      <w:proofErr w:type="spellStart"/>
      <w:r w:rsidRPr="0093206A">
        <w:rPr>
          <w:rFonts w:ascii="Verdana" w:hAnsi="Verdana"/>
          <w:lang w:val="tr-TR"/>
        </w:rPr>
        <w:t>Fortinet</w:t>
      </w:r>
      <w:proofErr w:type="spellEnd"/>
      <w:r w:rsidRPr="0093206A">
        <w:rPr>
          <w:rFonts w:ascii="Verdana" w:hAnsi="Verdana"/>
          <w:lang w:val="tr-TR"/>
        </w:rPr>
        <w:t xml:space="preserve"> en hızlı büyüyen Güvenlik Hizmetleri sağlayıcısı. </w:t>
      </w:r>
    </w:p>
    <w:p w14:paraId="57503D4C" w14:textId="77777777" w:rsidR="00093ECB" w:rsidRPr="0093206A" w:rsidRDefault="00093ECB" w:rsidP="00093ECB">
      <w:pPr>
        <w:tabs>
          <w:tab w:val="left" w:pos="5851"/>
        </w:tabs>
        <w:spacing w:line="360" w:lineRule="auto"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</w:p>
    <w:p w14:paraId="3C4C6E9E" w14:textId="3A946F61" w:rsidR="00093ECB" w:rsidRPr="0093206A" w:rsidRDefault="00093ECB" w:rsidP="00093ECB">
      <w:pPr>
        <w:spacing w:line="360" w:lineRule="auto"/>
        <w:jc w:val="both"/>
        <w:rPr>
          <w:rFonts w:ascii="Verdana" w:hAnsi="Verdana"/>
          <w:lang w:val="tr-TR"/>
        </w:rPr>
      </w:pPr>
      <w:proofErr w:type="spellStart"/>
      <w:r w:rsidRPr="0093206A">
        <w:rPr>
          <w:rFonts w:ascii="Verdana" w:hAnsi="Verdana"/>
          <w:lang w:val="tr-TR"/>
        </w:rPr>
        <w:lastRenderedPageBreak/>
        <w:t>IDC’nin</w:t>
      </w:r>
      <w:proofErr w:type="spellEnd"/>
      <w:r w:rsidRPr="0093206A">
        <w:rPr>
          <w:rFonts w:ascii="Verdana" w:hAnsi="Verdana"/>
          <w:lang w:val="tr-TR"/>
        </w:rPr>
        <w:t xml:space="preserve"> araştırmasına göre </w:t>
      </w:r>
      <w:proofErr w:type="spellStart"/>
      <w:r w:rsidRPr="0093206A">
        <w:rPr>
          <w:rFonts w:ascii="Verdana" w:hAnsi="Verdana"/>
          <w:lang w:val="tr-TR"/>
        </w:rPr>
        <w:t>Fortinet</w:t>
      </w:r>
      <w:proofErr w:type="spellEnd"/>
      <w:r w:rsidRPr="0093206A">
        <w:rPr>
          <w:rFonts w:ascii="Verdana" w:hAnsi="Verdana"/>
          <w:lang w:val="tr-TR"/>
        </w:rPr>
        <w:t xml:space="preserve"> bir önceki yılın </w:t>
      </w:r>
      <w:r w:rsidR="00421D7C">
        <w:rPr>
          <w:rFonts w:ascii="Verdana" w:hAnsi="Verdana"/>
          <w:lang w:val="tr-TR"/>
        </w:rPr>
        <w:t xml:space="preserve">aynı dönemine kıyasla gelirini yüzde 21 oranında artırırken sektördeki yüzde </w:t>
      </w:r>
      <w:r w:rsidRPr="0093206A">
        <w:rPr>
          <w:rFonts w:ascii="Verdana" w:hAnsi="Verdana"/>
          <w:lang w:val="tr-TR"/>
        </w:rPr>
        <w:t xml:space="preserve">9’luk </w:t>
      </w:r>
      <w:r w:rsidR="00421D7C">
        <w:rPr>
          <w:rFonts w:ascii="Verdana" w:hAnsi="Verdana"/>
          <w:lang w:val="tr-TR"/>
        </w:rPr>
        <w:t>ortalamanın</w:t>
      </w:r>
      <w:r w:rsidRPr="0093206A">
        <w:rPr>
          <w:rFonts w:ascii="Verdana" w:hAnsi="Verdana"/>
          <w:lang w:val="tr-TR"/>
        </w:rPr>
        <w:t xml:space="preserve"> çok </w:t>
      </w:r>
      <w:r w:rsidR="00421D7C">
        <w:rPr>
          <w:rFonts w:ascii="Verdana" w:hAnsi="Verdana"/>
          <w:lang w:val="tr-TR"/>
        </w:rPr>
        <w:t>üzerinde</w:t>
      </w:r>
      <w:r w:rsidR="00DD27F2">
        <w:rPr>
          <w:rFonts w:ascii="Verdana" w:hAnsi="Verdana"/>
          <w:lang w:val="tr-TR"/>
        </w:rPr>
        <w:t xml:space="preserve"> yer aldı. </w:t>
      </w:r>
      <w:proofErr w:type="spellStart"/>
      <w:r w:rsidR="00DD27F2">
        <w:rPr>
          <w:rFonts w:ascii="Verdana" w:hAnsi="Verdana"/>
          <w:lang w:val="tr-TR"/>
        </w:rPr>
        <w:t>Fortinet</w:t>
      </w:r>
      <w:proofErr w:type="spellEnd"/>
      <w:r w:rsidR="00DD27F2">
        <w:rPr>
          <w:rFonts w:ascii="Verdana" w:hAnsi="Verdana"/>
          <w:lang w:val="tr-TR"/>
        </w:rPr>
        <w:t xml:space="preserve"> ilk çeyrekte</w:t>
      </w:r>
      <w:r w:rsidR="00421D7C">
        <w:rPr>
          <w:rFonts w:ascii="Verdana" w:hAnsi="Verdana"/>
          <w:lang w:val="tr-TR"/>
        </w:rPr>
        <w:t xml:space="preserve"> yüzde </w:t>
      </w:r>
      <w:r w:rsidRPr="0093206A">
        <w:rPr>
          <w:rFonts w:ascii="Verdana" w:hAnsi="Verdana"/>
          <w:lang w:val="tr-TR"/>
        </w:rPr>
        <w:t xml:space="preserve">27’lik </w:t>
      </w:r>
      <w:r w:rsidR="00DD27F2">
        <w:rPr>
          <w:rFonts w:ascii="Verdana" w:hAnsi="Verdana"/>
          <w:lang w:val="tr-TR"/>
        </w:rPr>
        <w:t xml:space="preserve">birim pazar payı kazanarak 2017 cihaz sevkiyatında geçen yıla oranla bu çeyrekte yüzde 30’luk bir artış </w:t>
      </w:r>
      <w:r w:rsidR="00E102B3">
        <w:rPr>
          <w:rFonts w:ascii="Verdana" w:hAnsi="Verdana"/>
          <w:lang w:val="tr-TR"/>
        </w:rPr>
        <w:t>sağladı</w:t>
      </w:r>
      <w:r w:rsidRPr="0093206A">
        <w:rPr>
          <w:rFonts w:ascii="Verdana" w:hAnsi="Verdana"/>
          <w:lang w:val="tr-TR"/>
        </w:rPr>
        <w:t xml:space="preserve">. </w:t>
      </w:r>
      <w:r w:rsidR="00E102B3">
        <w:rPr>
          <w:rFonts w:ascii="Verdana" w:hAnsi="Verdana"/>
          <w:lang w:val="tr-TR"/>
        </w:rPr>
        <w:t>2017’de kendisine</w:t>
      </w:r>
      <w:r w:rsidRPr="0093206A">
        <w:rPr>
          <w:rFonts w:ascii="Verdana" w:hAnsi="Verdana"/>
          <w:lang w:val="tr-TR"/>
        </w:rPr>
        <w:t xml:space="preserve"> en yakın iki ra</w:t>
      </w:r>
      <w:r w:rsidR="00E102B3">
        <w:rPr>
          <w:rFonts w:ascii="Verdana" w:hAnsi="Verdana"/>
          <w:lang w:val="tr-TR"/>
        </w:rPr>
        <w:t xml:space="preserve">kibinin toplamından daha fazla birim sevkiyatı yapan </w:t>
      </w:r>
      <w:proofErr w:type="spellStart"/>
      <w:r w:rsidR="00E102B3">
        <w:rPr>
          <w:rFonts w:ascii="Verdana" w:hAnsi="Verdana"/>
          <w:lang w:val="tr-TR"/>
        </w:rPr>
        <w:t>Fortinet</w:t>
      </w:r>
      <w:proofErr w:type="spellEnd"/>
      <w:r w:rsidR="00E102B3">
        <w:rPr>
          <w:rFonts w:ascii="Verdana" w:hAnsi="Verdana"/>
          <w:lang w:val="tr-TR"/>
        </w:rPr>
        <w:t>, 2016 son çeyrek raporunun yayınlanmasından bu yana birim pazar payı liderliğinde yüzde 4’lük bir büyüme daha yakaladı.</w:t>
      </w:r>
    </w:p>
    <w:p w14:paraId="7AC2D35B" w14:textId="77777777" w:rsidR="00D528CF" w:rsidRPr="00854734" w:rsidRDefault="00D528CF" w:rsidP="008547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tbl>
      <w:tblPr>
        <w:tblW w:w="9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800"/>
        <w:gridCol w:w="1800"/>
        <w:gridCol w:w="1800"/>
        <w:gridCol w:w="2030"/>
      </w:tblGrid>
      <w:tr w:rsidR="00D528CF" w:rsidRPr="00854734" w14:paraId="2C72282A" w14:textId="77777777" w:rsidTr="00D528CF">
        <w:trPr>
          <w:trHeight w:val="600"/>
        </w:trPr>
        <w:tc>
          <w:tcPr>
            <w:tcW w:w="9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77777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E227F16" w14:textId="37179BCA" w:rsidR="00D528CF" w:rsidRPr="00854734" w:rsidRDefault="00D528CF" w:rsidP="00093ECB">
            <w:pPr>
              <w:pStyle w:val="NormalWeb"/>
              <w:spacing w:line="360" w:lineRule="auto"/>
              <w:jc w:val="both"/>
              <w:rPr>
                <w:rFonts w:ascii="Verdana" w:hAnsi="Verdana" w:cs="Arial"/>
                <w:kern w:val="0"/>
                <w:lang w:eastAsia="en-US"/>
              </w:rPr>
            </w:pPr>
            <w:r w:rsidRPr="0085473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Fortinet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Birim</w:t>
            </w:r>
            <w:proofErr w:type="spellEnd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Sevkiyat</w:t>
            </w:r>
            <w:r w:rsidR="00093ECB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ı</w:t>
            </w:r>
            <w:proofErr w:type="spellEnd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ve</w:t>
            </w:r>
            <w:proofErr w:type="spellEnd"/>
            <w:r w:rsidRPr="0085473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En</w:t>
            </w:r>
            <w:proofErr w:type="spellEnd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Yakın</w:t>
            </w:r>
            <w:proofErr w:type="spellEnd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Rakip</w:t>
            </w:r>
            <w:proofErr w:type="spellEnd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 xml:space="preserve"> </w:t>
            </w:r>
            <w:proofErr w:type="spellStart"/>
            <w:r w:rsidR="000D6894">
              <w:rPr>
                <w:rFonts w:ascii="Verdana" w:hAnsi="Verdana" w:cs="Calibri"/>
                <w:b/>
                <w:bCs/>
                <w:color w:val="FFFFFF"/>
                <w:kern w:val="24"/>
                <w:lang w:eastAsia="en-US"/>
              </w:rPr>
              <w:t>Karşılaştırması</w:t>
            </w:r>
            <w:proofErr w:type="spellEnd"/>
          </w:p>
        </w:tc>
      </w:tr>
      <w:tr w:rsidR="00D528CF" w:rsidRPr="00854734" w14:paraId="517AF1B4" w14:textId="77777777" w:rsidTr="00A861E3">
        <w:trPr>
          <w:trHeight w:val="561"/>
        </w:trPr>
        <w:tc>
          <w:tcPr>
            <w:tcW w:w="1890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327B9D70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2014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4B53A4C8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62E5775A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1820AAB7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2017Q1</w:t>
            </w:r>
          </w:p>
        </w:tc>
        <w:tc>
          <w:tcPr>
            <w:tcW w:w="2030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3841DAFD" w14:textId="315A7486" w:rsidR="00D528CF" w:rsidRPr="00854734" w:rsidRDefault="000D6894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proofErr w:type="spellStart"/>
            <w:r>
              <w:rPr>
                <w:rFonts w:ascii="Verdana" w:eastAsia="Times New Roman" w:hAnsi="Verdana" w:cs="Arial Narrow"/>
                <w:color w:val="000000"/>
                <w:kern w:val="24"/>
              </w:rPr>
              <w:t>Toplam</w:t>
            </w:r>
            <w:proofErr w:type="spellEnd"/>
          </w:p>
        </w:tc>
      </w:tr>
      <w:tr w:rsidR="00D528CF" w:rsidRPr="00854734" w14:paraId="307339C0" w14:textId="77777777" w:rsidTr="00A861E3">
        <w:trPr>
          <w:trHeight w:val="746"/>
        </w:trPr>
        <w:tc>
          <w:tcPr>
            <w:tcW w:w="189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74975F67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159%</w:t>
            </w:r>
          </w:p>
        </w:tc>
        <w:tc>
          <w:tcPr>
            <w:tcW w:w="180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6E33EA87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181%</w:t>
            </w:r>
          </w:p>
        </w:tc>
        <w:tc>
          <w:tcPr>
            <w:tcW w:w="180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58B91D79" w14:textId="77777777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209%</w:t>
            </w:r>
          </w:p>
        </w:tc>
        <w:tc>
          <w:tcPr>
            <w:tcW w:w="180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50ACA278" w14:textId="3C7AC945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19</w:t>
            </w:r>
            <w:r w:rsidR="0022710B" w:rsidRPr="00854734">
              <w:rPr>
                <w:rFonts w:ascii="Verdana" w:eastAsia="Times New Roman" w:hAnsi="Verdana" w:cs="Arial Narrow"/>
                <w:color w:val="000000"/>
                <w:kern w:val="24"/>
              </w:rPr>
              <w:t>1</w:t>
            </w: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%</w:t>
            </w:r>
          </w:p>
        </w:tc>
        <w:tc>
          <w:tcPr>
            <w:tcW w:w="203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vAlign w:val="center"/>
            <w:hideMark/>
          </w:tcPr>
          <w:p w14:paraId="09E1A492" w14:textId="4D883B00" w:rsidR="00D528CF" w:rsidRPr="00854734" w:rsidRDefault="00D528CF" w:rsidP="00854734">
            <w:pPr>
              <w:spacing w:line="360" w:lineRule="auto"/>
              <w:jc w:val="both"/>
              <w:rPr>
                <w:rFonts w:ascii="Verdana" w:eastAsia="Times New Roman" w:hAnsi="Verdana" w:cs="Arial"/>
              </w:rPr>
            </w:pP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18</w:t>
            </w:r>
            <w:r w:rsidR="0022710B" w:rsidRPr="00854734">
              <w:rPr>
                <w:rFonts w:ascii="Verdana" w:eastAsia="Times New Roman" w:hAnsi="Verdana" w:cs="Arial Narrow"/>
                <w:color w:val="000000"/>
                <w:kern w:val="24"/>
              </w:rPr>
              <w:t>5</w:t>
            </w:r>
            <w:r w:rsidRPr="00854734">
              <w:rPr>
                <w:rFonts w:ascii="Verdana" w:eastAsia="Times New Roman" w:hAnsi="Verdana" w:cs="Arial Narrow"/>
                <w:color w:val="000000"/>
                <w:kern w:val="24"/>
              </w:rPr>
              <w:t>%</w:t>
            </w:r>
          </w:p>
        </w:tc>
      </w:tr>
    </w:tbl>
    <w:p w14:paraId="26631BAA" w14:textId="0D59AD30" w:rsidR="001219CE" w:rsidRPr="00854734" w:rsidRDefault="001219CE" w:rsidP="008547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52A23D23" w14:textId="3B16D274" w:rsidR="00C1323B" w:rsidRPr="00854734" w:rsidRDefault="00831CC7" w:rsidP="008547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Calibri"/>
        </w:rPr>
      </w:pPr>
      <w:r w:rsidRPr="00854734">
        <w:rPr>
          <w:rFonts w:ascii="Verdana" w:eastAsia="Times New Roman" w:hAnsi="Verdana" w:cs="Calibri"/>
        </w:rPr>
        <w:t>(</w:t>
      </w:r>
      <w:proofErr w:type="spellStart"/>
      <w:r w:rsidR="00093ECB">
        <w:rPr>
          <w:rFonts w:ascii="Verdana" w:eastAsia="Times New Roman" w:hAnsi="Verdana" w:cs="Calibri"/>
        </w:rPr>
        <w:t>Kaynak</w:t>
      </w:r>
      <w:proofErr w:type="spellEnd"/>
      <w:r w:rsidR="0065536F" w:rsidRPr="00854734">
        <w:rPr>
          <w:rFonts w:ascii="Verdana" w:eastAsia="Times New Roman" w:hAnsi="Verdana" w:cs="Calibri"/>
        </w:rPr>
        <w:t>:</w:t>
      </w:r>
      <w:r w:rsidRPr="00854734">
        <w:rPr>
          <w:rFonts w:ascii="Verdana" w:eastAsia="Times New Roman" w:hAnsi="Verdana" w:cs="Calibri"/>
        </w:rPr>
        <w:t xml:space="preserve"> IDC Worldwide Security Appliance Tracker</w:t>
      </w:r>
      <w:r w:rsidR="0065536F" w:rsidRPr="00854734">
        <w:rPr>
          <w:rFonts w:ascii="Verdana" w:eastAsia="Times New Roman" w:hAnsi="Verdana" w:cs="Calibri"/>
        </w:rPr>
        <w:t>, 2017Q1</w:t>
      </w:r>
      <w:r w:rsidRPr="00854734">
        <w:rPr>
          <w:rFonts w:ascii="Verdana" w:eastAsia="Times New Roman" w:hAnsi="Verdana" w:cs="Calibri"/>
        </w:rPr>
        <w:t>)</w:t>
      </w:r>
    </w:p>
    <w:p w14:paraId="77C81336" w14:textId="3BB54928" w:rsidR="006B432C" w:rsidRPr="00854734" w:rsidRDefault="006B432C" w:rsidP="00854734">
      <w:pPr>
        <w:pStyle w:val="NormalWeb"/>
        <w:spacing w:line="360" w:lineRule="auto"/>
        <w:jc w:val="both"/>
        <w:rPr>
          <w:rFonts w:ascii="Verdana" w:hAnsi="Verdana" w:cs="Arial"/>
        </w:rPr>
      </w:pPr>
    </w:p>
    <w:p w14:paraId="46EED036" w14:textId="5DFBBED2" w:rsidR="00BD7807" w:rsidRPr="00854734" w:rsidRDefault="00093ECB" w:rsidP="008547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Ek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Kaynaklar</w:t>
      </w:r>
      <w:proofErr w:type="spellEnd"/>
    </w:p>
    <w:p w14:paraId="057BB9D0" w14:textId="7C5D727D" w:rsidR="00E40E91" w:rsidRPr="00854734" w:rsidRDefault="00093ECB" w:rsidP="0085473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Style w:val="Kpr"/>
          <w:rFonts w:ascii="Verdana" w:hAnsi="Verdana" w:cs="Arial"/>
          <w:color w:val="auto"/>
          <w:u w:val="none"/>
        </w:rPr>
      </w:pPr>
      <w:proofErr w:type="spellStart"/>
      <w:r>
        <w:rPr>
          <w:rFonts w:ascii="Verdana" w:hAnsi="Verdana" w:cs="Arial"/>
        </w:rPr>
        <w:t>Daha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fazla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bilgi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için</w:t>
      </w:r>
      <w:proofErr w:type="spellEnd"/>
      <w:r w:rsidR="00BD7807" w:rsidRPr="00854734">
        <w:rPr>
          <w:rFonts w:ascii="Verdana" w:hAnsi="Verdana" w:cs="Arial"/>
        </w:rPr>
        <w:t xml:space="preserve"> </w:t>
      </w:r>
      <w:hyperlink r:id="rId8" w:history="1">
        <w:r w:rsidR="00E40E91" w:rsidRPr="00854734">
          <w:rPr>
            <w:rStyle w:val="Kpr"/>
            <w:rFonts w:ascii="Verdana" w:hAnsi="Verdana" w:cs="Arial"/>
          </w:rPr>
          <w:t>Fortinet</w:t>
        </w:r>
      </w:hyperlink>
      <w:r w:rsidR="00BD7807" w:rsidRPr="00854734">
        <w:rPr>
          <w:rFonts w:ascii="Verdana" w:hAnsi="Verdana" w:cs="Arial"/>
        </w:rPr>
        <w:t xml:space="preserve"> </w:t>
      </w:r>
      <w:proofErr w:type="spellStart"/>
      <w:r>
        <w:rPr>
          <w:rStyle w:val="Kpr"/>
          <w:rFonts w:ascii="Verdana" w:hAnsi="Verdana" w:cs="Arial"/>
          <w:color w:val="auto"/>
          <w:u w:val="none"/>
        </w:rPr>
        <w:t>anasayfasını</w:t>
      </w:r>
      <w:proofErr w:type="spellEnd"/>
      <w:r>
        <w:rPr>
          <w:rStyle w:val="Kpr"/>
          <w:rFonts w:ascii="Verdana" w:hAnsi="Verdana" w:cs="Arial"/>
          <w:color w:val="auto"/>
          <w:u w:val="none"/>
        </w:rPr>
        <w:t xml:space="preserve"> </w:t>
      </w:r>
      <w:proofErr w:type="spellStart"/>
      <w:r>
        <w:rPr>
          <w:rStyle w:val="Kpr"/>
          <w:rFonts w:ascii="Verdana" w:hAnsi="Verdana" w:cs="Arial"/>
          <w:color w:val="auto"/>
          <w:u w:val="none"/>
        </w:rPr>
        <w:t>ziyaret</w:t>
      </w:r>
      <w:proofErr w:type="spellEnd"/>
      <w:r>
        <w:rPr>
          <w:rStyle w:val="Kpr"/>
          <w:rFonts w:ascii="Verdana" w:hAnsi="Verdana" w:cs="Arial"/>
          <w:color w:val="auto"/>
          <w:u w:val="none"/>
        </w:rPr>
        <w:t xml:space="preserve"> </w:t>
      </w:r>
      <w:proofErr w:type="spellStart"/>
      <w:r>
        <w:rPr>
          <w:rStyle w:val="Kpr"/>
          <w:rFonts w:ascii="Verdana" w:hAnsi="Verdana" w:cs="Arial"/>
          <w:color w:val="auto"/>
          <w:u w:val="none"/>
        </w:rPr>
        <w:t>edebilirsiniz</w:t>
      </w:r>
      <w:proofErr w:type="spellEnd"/>
      <w:r>
        <w:rPr>
          <w:rStyle w:val="Kpr"/>
          <w:rFonts w:ascii="Verdana" w:hAnsi="Verdana" w:cs="Arial"/>
          <w:color w:val="auto"/>
          <w:u w:val="none"/>
        </w:rPr>
        <w:t>.</w:t>
      </w:r>
      <w:r w:rsidR="00BD7807" w:rsidRPr="00854734">
        <w:rPr>
          <w:rStyle w:val="Kpr"/>
          <w:rFonts w:ascii="Verdana" w:hAnsi="Verdana" w:cs="Arial"/>
          <w:color w:val="auto"/>
          <w:u w:val="none"/>
        </w:rPr>
        <w:t xml:space="preserve"> </w:t>
      </w:r>
    </w:p>
    <w:p w14:paraId="416B5654" w14:textId="25A707F2" w:rsidR="00BD7807" w:rsidRPr="00854734" w:rsidRDefault="00BD7807" w:rsidP="00854734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proofErr w:type="spellStart"/>
      <w:r w:rsidRPr="00854734">
        <w:rPr>
          <w:rFonts w:ascii="Verdana" w:hAnsi="Verdana" w:cs="Arial"/>
        </w:rPr>
        <w:t>Fortinet</w:t>
      </w:r>
      <w:r w:rsidR="00093ECB">
        <w:rPr>
          <w:rFonts w:ascii="Verdana" w:hAnsi="Verdana" w:cs="Arial"/>
        </w:rPr>
        <w:t>’i</w:t>
      </w:r>
      <w:proofErr w:type="spellEnd"/>
      <w:r w:rsidRPr="00854734">
        <w:rPr>
          <w:rFonts w:ascii="Verdana" w:hAnsi="Verdana" w:cs="Arial"/>
        </w:rPr>
        <w:t xml:space="preserve"> </w:t>
      </w:r>
      <w:hyperlink r:id="rId9" w:history="1">
        <w:r w:rsidRPr="00854734">
          <w:rPr>
            <w:rStyle w:val="Kpr"/>
            <w:rFonts w:ascii="Verdana" w:hAnsi="Verdana" w:cs="Arial"/>
          </w:rPr>
          <w:t>Twitter</w:t>
        </w:r>
      </w:hyperlink>
      <w:r w:rsidR="00093ECB">
        <w:rPr>
          <w:rFonts w:ascii="Verdana" w:hAnsi="Verdana" w:cs="Arial"/>
        </w:rPr>
        <w:t xml:space="preserve">, </w:t>
      </w:r>
      <w:hyperlink r:id="rId10" w:history="1">
        <w:r w:rsidRPr="00854734">
          <w:rPr>
            <w:rStyle w:val="Kpr"/>
            <w:rFonts w:ascii="Verdana" w:hAnsi="Verdana" w:cs="Arial"/>
          </w:rPr>
          <w:t>LinkedIn</w:t>
        </w:r>
      </w:hyperlink>
      <w:r w:rsidRPr="00854734">
        <w:rPr>
          <w:rFonts w:ascii="Verdana" w:hAnsi="Verdana" w:cs="Arial"/>
        </w:rPr>
        <w:t xml:space="preserve">, </w:t>
      </w:r>
      <w:proofErr w:type="spellStart"/>
      <w:r w:rsidR="00093ECB">
        <w:rPr>
          <w:rFonts w:ascii="Verdana" w:hAnsi="Verdana" w:cs="Arial"/>
        </w:rPr>
        <w:t>ve</w:t>
      </w:r>
      <w:proofErr w:type="spellEnd"/>
      <w:r w:rsidRPr="00854734">
        <w:rPr>
          <w:rFonts w:ascii="Verdana" w:hAnsi="Verdana" w:cs="Arial"/>
        </w:rPr>
        <w:t xml:space="preserve"> </w:t>
      </w:r>
      <w:hyperlink r:id="rId11" w:history="1">
        <w:proofErr w:type="spellStart"/>
        <w:r w:rsidRPr="00854734">
          <w:rPr>
            <w:rStyle w:val="Kpr"/>
            <w:rFonts w:ascii="Verdana" w:hAnsi="Verdana" w:cs="Arial"/>
          </w:rPr>
          <w:t>Facebook</w:t>
        </w:r>
      </w:hyperlink>
      <w:r w:rsidR="00093ECB">
        <w:rPr>
          <w:rFonts w:ascii="Verdana" w:hAnsi="Verdana" w:cs="Arial"/>
        </w:rPr>
        <w:t>’tan</w:t>
      </w:r>
      <w:proofErr w:type="spellEnd"/>
      <w:r w:rsidR="00093ECB">
        <w:rPr>
          <w:rFonts w:ascii="Verdana" w:hAnsi="Verdana" w:cs="Arial"/>
        </w:rPr>
        <w:t xml:space="preserve"> </w:t>
      </w:r>
      <w:proofErr w:type="spellStart"/>
      <w:r w:rsidR="00093ECB">
        <w:rPr>
          <w:rFonts w:ascii="Verdana" w:hAnsi="Verdana" w:cs="Arial"/>
        </w:rPr>
        <w:t>takip</w:t>
      </w:r>
      <w:proofErr w:type="spellEnd"/>
      <w:r w:rsidR="00093ECB">
        <w:rPr>
          <w:rFonts w:ascii="Verdana" w:hAnsi="Verdana" w:cs="Arial"/>
        </w:rPr>
        <w:t xml:space="preserve"> </w:t>
      </w:r>
      <w:proofErr w:type="spellStart"/>
      <w:r w:rsidR="00093ECB">
        <w:rPr>
          <w:rFonts w:ascii="Verdana" w:hAnsi="Verdana" w:cs="Arial"/>
        </w:rPr>
        <w:t>edebilirsiniz</w:t>
      </w:r>
      <w:proofErr w:type="spellEnd"/>
      <w:r w:rsidR="00093ECB">
        <w:rPr>
          <w:rFonts w:ascii="Verdana" w:hAnsi="Verdana" w:cs="Arial"/>
        </w:rPr>
        <w:t>.</w:t>
      </w:r>
    </w:p>
    <w:p w14:paraId="37905243" w14:textId="18CCD9C3" w:rsidR="00BC3975" w:rsidRPr="00854734" w:rsidRDefault="00387C82" w:rsidP="00854734">
      <w:pPr>
        <w:pStyle w:val="ListeParagraf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hyperlink r:id="rId12" w:history="1">
        <w:r w:rsidR="00BD7807" w:rsidRPr="00854734">
          <w:rPr>
            <w:rStyle w:val="Kpr"/>
            <w:rFonts w:ascii="Verdana" w:hAnsi="Verdana" w:cs="Arial"/>
          </w:rPr>
          <w:t>Fortinet blog</w:t>
        </w:r>
      </w:hyperlink>
      <w:r w:rsidR="00093ECB">
        <w:rPr>
          <w:rFonts w:ascii="Verdana" w:hAnsi="Verdana" w:cs="Arial"/>
        </w:rPr>
        <w:t xml:space="preserve"> </w:t>
      </w:r>
      <w:proofErr w:type="spellStart"/>
      <w:r w:rsidR="00093ECB">
        <w:rPr>
          <w:rFonts w:ascii="Verdana" w:hAnsi="Verdana" w:cs="Arial"/>
        </w:rPr>
        <w:t>ile</w:t>
      </w:r>
      <w:proofErr w:type="spellEnd"/>
      <w:r w:rsidR="00093ECB">
        <w:rPr>
          <w:rFonts w:ascii="Verdana" w:hAnsi="Verdana" w:cs="Arial"/>
        </w:rPr>
        <w:t xml:space="preserve"> </w:t>
      </w:r>
      <w:proofErr w:type="spellStart"/>
      <w:r w:rsidR="00093ECB">
        <w:rPr>
          <w:rFonts w:ascii="Verdana" w:hAnsi="Verdana" w:cs="Arial"/>
        </w:rPr>
        <w:t>tartışmalara</w:t>
      </w:r>
      <w:proofErr w:type="spellEnd"/>
      <w:r w:rsidR="00093ECB">
        <w:rPr>
          <w:rFonts w:ascii="Verdana" w:hAnsi="Verdana" w:cs="Arial"/>
        </w:rPr>
        <w:t xml:space="preserve"> </w:t>
      </w:r>
      <w:proofErr w:type="spellStart"/>
      <w:r w:rsidR="00093ECB">
        <w:rPr>
          <w:rFonts w:ascii="Verdana" w:hAnsi="Verdana" w:cs="Arial"/>
        </w:rPr>
        <w:t>katılabilirsiniz</w:t>
      </w:r>
      <w:proofErr w:type="spellEnd"/>
      <w:r w:rsidR="00093ECB">
        <w:rPr>
          <w:rFonts w:ascii="Verdana" w:hAnsi="Verdana" w:cs="Arial"/>
        </w:rPr>
        <w:t>.</w:t>
      </w:r>
    </w:p>
    <w:p w14:paraId="388F77CA" w14:textId="77777777" w:rsidR="000D6894" w:rsidRDefault="000D6894" w:rsidP="00854734">
      <w:pPr>
        <w:pStyle w:val="NormalWeb"/>
        <w:spacing w:line="360" w:lineRule="auto"/>
        <w:jc w:val="both"/>
        <w:rPr>
          <w:rFonts w:ascii="Verdana" w:hAnsi="Verdana" w:cs="Arial"/>
        </w:rPr>
      </w:pPr>
    </w:p>
    <w:p w14:paraId="09F577F3" w14:textId="77777777" w:rsidR="000D6894" w:rsidRPr="000D6894" w:rsidRDefault="000D6894" w:rsidP="000D6894">
      <w:pPr>
        <w:pStyle w:val="NormalWeb"/>
        <w:spacing w:line="360" w:lineRule="auto"/>
        <w:jc w:val="both"/>
        <w:rPr>
          <w:rFonts w:ascii="Verdana" w:hAnsi="Verdana" w:cs="Arial"/>
          <w:b/>
          <w:sz w:val="21"/>
          <w:lang w:val="en-GB"/>
        </w:rPr>
      </w:pPr>
      <w:r w:rsidRPr="000D6894">
        <w:rPr>
          <w:rFonts w:ascii="Verdana" w:hAnsi="Verdana" w:cs="Arial"/>
          <w:b/>
          <w:sz w:val="21"/>
          <w:lang w:val="en-GB"/>
        </w:rPr>
        <w:t xml:space="preserve">Fortinet </w:t>
      </w:r>
      <w:proofErr w:type="spellStart"/>
      <w:r w:rsidRPr="000D6894">
        <w:rPr>
          <w:rFonts w:ascii="Verdana" w:hAnsi="Verdana" w:cs="Arial"/>
          <w:b/>
          <w:sz w:val="21"/>
          <w:lang w:val="en-GB"/>
        </w:rPr>
        <w:t>hakkında</w:t>
      </w:r>
      <w:proofErr w:type="spellEnd"/>
    </w:p>
    <w:p w14:paraId="29075AB4" w14:textId="6C839A98" w:rsidR="0092351E" w:rsidRPr="000D6894" w:rsidRDefault="000D6894" w:rsidP="0092351E">
      <w:pPr>
        <w:pStyle w:val="NormalWeb"/>
        <w:jc w:val="both"/>
        <w:rPr>
          <w:rFonts w:ascii="Verdana" w:hAnsi="Verdana"/>
          <w:sz w:val="16"/>
        </w:rPr>
      </w:pPr>
      <w:r w:rsidRPr="000D6894">
        <w:rPr>
          <w:rFonts w:ascii="Verdana" w:hAnsi="Verdana" w:cs="Arial"/>
          <w:sz w:val="16"/>
          <w:lang w:val="en-GB"/>
        </w:rPr>
        <w:t xml:space="preserve">Fortinet (NASDAQ: FTNT) </w:t>
      </w:r>
      <w:proofErr w:type="spellStart"/>
      <w:r w:rsidRPr="000D6894">
        <w:rPr>
          <w:rFonts w:ascii="Verdana" w:hAnsi="Verdana" w:cs="Arial"/>
          <w:sz w:val="16"/>
          <w:lang w:val="en-GB"/>
        </w:rPr>
        <w:t>dünya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genelinde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büyük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ölçekli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şirketlere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, </w:t>
      </w:r>
      <w:proofErr w:type="spellStart"/>
      <w:r w:rsidRPr="000D6894">
        <w:rPr>
          <w:rFonts w:ascii="Verdana" w:hAnsi="Verdana" w:cs="Arial"/>
          <w:sz w:val="16"/>
          <w:lang w:val="en-GB"/>
        </w:rPr>
        <w:t>servis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sağlayıcılarına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ve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kamu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kurumlarına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güvenlik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sunar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. Fortinet, her </w:t>
      </w:r>
      <w:proofErr w:type="spellStart"/>
      <w:r w:rsidRPr="000D6894">
        <w:rPr>
          <w:rFonts w:ascii="Verdana" w:hAnsi="Verdana" w:cs="Arial"/>
          <w:sz w:val="16"/>
          <w:lang w:val="en-GB"/>
        </w:rPr>
        <w:t>geçen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gün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artan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sanal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saldırılara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karşı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müşterilerine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akıllı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ve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sorunsuz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koruma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sağlar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, </w:t>
      </w:r>
      <w:proofErr w:type="spellStart"/>
      <w:r w:rsidRPr="000D6894">
        <w:rPr>
          <w:rFonts w:ascii="Verdana" w:hAnsi="Verdana" w:cs="Arial"/>
          <w:sz w:val="16"/>
          <w:lang w:val="en-GB"/>
        </w:rPr>
        <w:t>sınırların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ortadan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kalktığı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ağların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artan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performans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ihtiyaçlarını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karşılar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. </w:t>
      </w:r>
      <w:proofErr w:type="spellStart"/>
      <w:r w:rsidRPr="000D6894">
        <w:rPr>
          <w:rFonts w:ascii="Verdana" w:hAnsi="Verdana" w:cs="Arial"/>
          <w:sz w:val="16"/>
          <w:lang w:val="en-GB"/>
        </w:rPr>
        <w:t>Ağlardaki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uygulamaların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, </w:t>
      </w:r>
      <w:proofErr w:type="spellStart"/>
      <w:r w:rsidRPr="000D6894">
        <w:rPr>
          <w:rFonts w:ascii="Verdana" w:hAnsi="Verdana" w:cs="Arial"/>
          <w:sz w:val="16"/>
          <w:lang w:val="en-GB"/>
        </w:rPr>
        <w:t>bulut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sistemlerinin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ve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mobil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cihazların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karşılaştığı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en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kritik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güvenlik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sorunlarına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karşı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performanstan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ödün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vermeden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güvenlik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sunan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tek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çözüm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sadece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Fortinet’in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Security Fabri</w:t>
      </w:r>
      <w:r w:rsidR="00441B0F">
        <w:rPr>
          <w:rFonts w:ascii="Verdana" w:hAnsi="Verdana" w:cs="Arial"/>
          <w:sz w:val="16"/>
          <w:lang w:val="en-GB"/>
        </w:rPr>
        <w:t xml:space="preserve">c </w:t>
      </w:r>
      <w:proofErr w:type="spellStart"/>
      <w:r w:rsidR="00441B0F">
        <w:rPr>
          <w:rFonts w:ascii="Verdana" w:hAnsi="Verdana" w:cs="Arial"/>
          <w:sz w:val="16"/>
          <w:lang w:val="en-GB"/>
        </w:rPr>
        <w:t>mimarisidir</w:t>
      </w:r>
      <w:proofErr w:type="spellEnd"/>
      <w:r w:rsidR="00441B0F">
        <w:rPr>
          <w:rFonts w:ascii="Verdana" w:hAnsi="Verdana" w:cs="Arial"/>
          <w:sz w:val="16"/>
          <w:lang w:val="en-GB"/>
        </w:rPr>
        <w:t xml:space="preserve">. </w:t>
      </w:r>
      <w:proofErr w:type="spellStart"/>
      <w:r w:rsidR="00441B0F">
        <w:rPr>
          <w:rFonts w:ascii="Verdana" w:hAnsi="Verdana" w:cs="Arial"/>
          <w:sz w:val="16"/>
          <w:lang w:val="en-GB"/>
        </w:rPr>
        <w:t>Dünya</w:t>
      </w:r>
      <w:proofErr w:type="spellEnd"/>
      <w:r w:rsidR="00441B0F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="00441B0F">
        <w:rPr>
          <w:rFonts w:ascii="Verdana" w:hAnsi="Verdana" w:cs="Arial"/>
          <w:sz w:val="16"/>
          <w:lang w:val="en-GB"/>
        </w:rPr>
        <w:t>genelinde</w:t>
      </w:r>
      <w:proofErr w:type="spellEnd"/>
      <w:r w:rsidR="00441B0F">
        <w:rPr>
          <w:rFonts w:ascii="Verdana" w:hAnsi="Verdana" w:cs="Arial"/>
          <w:sz w:val="16"/>
          <w:lang w:val="en-GB"/>
        </w:rPr>
        <w:t xml:space="preserve"> 31</w:t>
      </w:r>
      <w:r w:rsidRPr="000D6894">
        <w:rPr>
          <w:rFonts w:ascii="Verdana" w:hAnsi="Verdana" w:cs="Arial"/>
          <w:sz w:val="16"/>
          <w:lang w:val="en-GB"/>
        </w:rPr>
        <w:t xml:space="preserve">0 </w:t>
      </w:r>
      <w:proofErr w:type="spellStart"/>
      <w:r w:rsidRPr="000D6894">
        <w:rPr>
          <w:rFonts w:ascii="Verdana" w:hAnsi="Verdana" w:cs="Arial"/>
          <w:sz w:val="16"/>
          <w:lang w:val="en-GB"/>
        </w:rPr>
        <w:t>binden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fazla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müşteri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ticari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faaliyetlerini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korumak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için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Fortinet’e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güveniyor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. </w:t>
      </w:r>
      <w:proofErr w:type="spellStart"/>
      <w:r w:rsidRPr="000D6894">
        <w:rPr>
          <w:rFonts w:ascii="Verdana" w:hAnsi="Verdana" w:cs="Arial"/>
          <w:sz w:val="16"/>
          <w:lang w:val="en-GB"/>
        </w:rPr>
        <w:t>Daha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fazla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bilgi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için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: http://www.fortinet.com, Fortinet Blog </w:t>
      </w:r>
      <w:proofErr w:type="spellStart"/>
      <w:r w:rsidRPr="000D6894">
        <w:rPr>
          <w:rFonts w:ascii="Verdana" w:hAnsi="Verdana" w:cs="Arial"/>
          <w:sz w:val="16"/>
          <w:lang w:val="en-GB"/>
        </w:rPr>
        <w:t>sayfası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veya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</w:t>
      </w:r>
      <w:proofErr w:type="spellStart"/>
      <w:r w:rsidRPr="000D6894">
        <w:rPr>
          <w:rFonts w:ascii="Verdana" w:hAnsi="Verdana" w:cs="Arial"/>
          <w:sz w:val="16"/>
          <w:lang w:val="en-GB"/>
        </w:rPr>
        <w:t>FortiGuard</w:t>
      </w:r>
      <w:proofErr w:type="spellEnd"/>
      <w:r w:rsidRPr="000D6894">
        <w:rPr>
          <w:rFonts w:ascii="Verdana" w:hAnsi="Verdana" w:cs="Arial"/>
          <w:sz w:val="16"/>
          <w:lang w:val="en-GB"/>
        </w:rPr>
        <w:t xml:space="preserve"> Labs.</w:t>
      </w:r>
    </w:p>
    <w:p w14:paraId="7DE22440" w14:textId="6BCBAD9B" w:rsidR="008962B5" w:rsidRPr="000D6894" w:rsidRDefault="00093ECB" w:rsidP="000D6894">
      <w:pPr>
        <w:jc w:val="both"/>
        <w:rPr>
          <w:rFonts w:ascii="Verdana" w:hAnsi="Verdana"/>
          <w:sz w:val="16"/>
          <w:lang w:val="tr-TR"/>
        </w:rPr>
      </w:pPr>
      <w:r w:rsidRPr="000D6894">
        <w:rPr>
          <w:rFonts w:ascii="Verdana" w:hAnsi="Verdana"/>
          <w:sz w:val="16"/>
        </w:rPr>
        <w:t xml:space="preserve"> </w:t>
      </w:r>
    </w:p>
    <w:sectPr w:rsidR="008962B5" w:rsidRPr="000D6894" w:rsidSect="005E17D9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A2E7" w14:textId="77777777" w:rsidR="00387C82" w:rsidRDefault="00387C82" w:rsidP="00C73F02">
      <w:r>
        <w:separator/>
      </w:r>
    </w:p>
  </w:endnote>
  <w:endnote w:type="continuationSeparator" w:id="0">
    <w:p w14:paraId="26528E31" w14:textId="77777777" w:rsidR="00387C82" w:rsidRDefault="00387C82" w:rsidP="00C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35F0" w14:textId="77777777" w:rsidR="00387C82" w:rsidRDefault="00387C82" w:rsidP="00C73F02">
      <w:r>
        <w:separator/>
      </w:r>
    </w:p>
  </w:footnote>
  <w:footnote w:type="continuationSeparator" w:id="0">
    <w:p w14:paraId="45C8B1E6" w14:textId="77777777" w:rsidR="00387C82" w:rsidRDefault="00387C82" w:rsidP="00C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F8ED" w14:textId="77777777" w:rsidR="00BA318B" w:rsidRDefault="00BA318B">
    <w:pPr>
      <w:pStyle w:val="stBilgi"/>
    </w:pPr>
    <w:r>
      <w:rPr>
        <w:rFonts w:ascii="Helvetica" w:eastAsia="MS Mincho" w:hAnsi="Helvetica" w:cs="Times New Roman"/>
        <w:b/>
        <w:noProof/>
        <w:color w:val="FF0000"/>
        <w:lang w:val="en-GB" w:eastAsia="en-GB"/>
      </w:rPr>
      <w:drawing>
        <wp:anchor distT="0" distB="0" distL="114300" distR="114300" simplePos="0" relativeHeight="251658240" behindDoc="0" locked="0" layoutInCell="1" allowOverlap="1" wp14:anchorId="0487FCB5" wp14:editId="6FF65FFA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A48EC"/>
    <w:multiLevelType w:val="hybridMultilevel"/>
    <w:tmpl w:val="82A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426"/>
    <w:multiLevelType w:val="hybridMultilevel"/>
    <w:tmpl w:val="6C4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DD7"/>
    <w:multiLevelType w:val="hybridMultilevel"/>
    <w:tmpl w:val="0F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50D9"/>
    <w:multiLevelType w:val="hybridMultilevel"/>
    <w:tmpl w:val="B06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D7E"/>
    <w:multiLevelType w:val="hybridMultilevel"/>
    <w:tmpl w:val="8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331D"/>
    <w:multiLevelType w:val="hybridMultilevel"/>
    <w:tmpl w:val="5F5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42B04"/>
    <w:multiLevelType w:val="hybridMultilevel"/>
    <w:tmpl w:val="E00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355F3"/>
    <w:multiLevelType w:val="hybridMultilevel"/>
    <w:tmpl w:val="2DD6F4BA"/>
    <w:lvl w:ilvl="0" w:tplc="24E60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902E9"/>
    <w:multiLevelType w:val="hybridMultilevel"/>
    <w:tmpl w:val="838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A353A"/>
    <w:multiLevelType w:val="hybridMultilevel"/>
    <w:tmpl w:val="0E1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17"/>
    <w:rsid w:val="00001EB4"/>
    <w:rsid w:val="00026E57"/>
    <w:rsid w:val="00031673"/>
    <w:rsid w:val="00047F6E"/>
    <w:rsid w:val="000600EF"/>
    <w:rsid w:val="000740AC"/>
    <w:rsid w:val="00074D1E"/>
    <w:rsid w:val="00086FA7"/>
    <w:rsid w:val="00093ECB"/>
    <w:rsid w:val="000A5F4E"/>
    <w:rsid w:val="000B03AB"/>
    <w:rsid w:val="000C62A7"/>
    <w:rsid w:val="000C6A37"/>
    <w:rsid w:val="000D4C52"/>
    <w:rsid w:val="000D52CE"/>
    <w:rsid w:val="000D6894"/>
    <w:rsid w:val="000F2ECF"/>
    <w:rsid w:val="000F50ED"/>
    <w:rsid w:val="00111742"/>
    <w:rsid w:val="00117F32"/>
    <w:rsid w:val="001219CE"/>
    <w:rsid w:val="001312F5"/>
    <w:rsid w:val="00141917"/>
    <w:rsid w:val="001455DF"/>
    <w:rsid w:val="00157E82"/>
    <w:rsid w:val="00194783"/>
    <w:rsid w:val="001B6D14"/>
    <w:rsid w:val="001D55B0"/>
    <w:rsid w:val="001E28E5"/>
    <w:rsid w:val="001E4C83"/>
    <w:rsid w:val="001E790D"/>
    <w:rsid w:val="001E7FB4"/>
    <w:rsid w:val="001F0E15"/>
    <w:rsid w:val="00207C71"/>
    <w:rsid w:val="00220A4F"/>
    <w:rsid w:val="0022710B"/>
    <w:rsid w:val="002669AA"/>
    <w:rsid w:val="002718E7"/>
    <w:rsid w:val="002915E1"/>
    <w:rsid w:val="00294D02"/>
    <w:rsid w:val="002A06BC"/>
    <w:rsid w:val="002B3E52"/>
    <w:rsid w:val="002B7F1D"/>
    <w:rsid w:val="002D0FBC"/>
    <w:rsid w:val="002D1512"/>
    <w:rsid w:val="002D47B6"/>
    <w:rsid w:val="002F53BF"/>
    <w:rsid w:val="002F7CDA"/>
    <w:rsid w:val="00301EF9"/>
    <w:rsid w:val="003040EF"/>
    <w:rsid w:val="00304ACD"/>
    <w:rsid w:val="00311A5C"/>
    <w:rsid w:val="0032782D"/>
    <w:rsid w:val="00355CB5"/>
    <w:rsid w:val="003641C6"/>
    <w:rsid w:val="00367678"/>
    <w:rsid w:val="00381CE4"/>
    <w:rsid w:val="0038388B"/>
    <w:rsid w:val="00386B3A"/>
    <w:rsid w:val="00387C82"/>
    <w:rsid w:val="003919A2"/>
    <w:rsid w:val="00394490"/>
    <w:rsid w:val="003B2468"/>
    <w:rsid w:val="003B2AA3"/>
    <w:rsid w:val="003C29EB"/>
    <w:rsid w:val="003D747D"/>
    <w:rsid w:val="003E2A0A"/>
    <w:rsid w:val="0041086A"/>
    <w:rsid w:val="00415749"/>
    <w:rsid w:val="00416933"/>
    <w:rsid w:val="00421D7C"/>
    <w:rsid w:val="00433234"/>
    <w:rsid w:val="004357BD"/>
    <w:rsid w:val="00440CE6"/>
    <w:rsid w:val="00441B0F"/>
    <w:rsid w:val="00447778"/>
    <w:rsid w:val="00452E7C"/>
    <w:rsid w:val="00457F09"/>
    <w:rsid w:val="00460022"/>
    <w:rsid w:val="00466258"/>
    <w:rsid w:val="004742A8"/>
    <w:rsid w:val="00496AB1"/>
    <w:rsid w:val="004A19CB"/>
    <w:rsid w:val="004A470D"/>
    <w:rsid w:val="004A6A93"/>
    <w:rsid w:val="004B1DEB"/>
    <w:rsid w:val="004B3804"/>
    <w:rsid w:val="004B4665"/>
    <w:rsid w:val="004B4D7C"/>
    <w:rsid w:val="004C27E0"/>
    <w:rsid w:val="004C63B9"/>
    <w:rsid w:val="004C6C44"/>
    <w:rsid w:val="004D1913"/>
    <w:rsid w:val="004D1EDF"/>
    <w:rsid w:val="004D2C31"/>
    <w:rsid w:val="0050337A"/>
    <w:rsid w:val="00504935"/>
    <w:rsid w:val="00516CD7"/>
    <w:rsid w:val="0052554B"/>
    <w:rsid w:val="005363C8"/>
    <w:rsid w:val="00546535"/>
    <w:rsid w:val="005505D8"/>
    <w:rsid w:val="00564383"/>
    <w:rsid w:val="005647E0"/>
    <w:rsid w:val="005649F6"/>
    <w:rsid w:val="005670EC"/>
    <w:rsid w:val="00574475"/>
    <w:rsid w:val="00587644"/>
    <w:rsid w:val="00595447"/>
    <w:rsid w:val="00596330"/>
    <w:rsid w:val="005A12AF"/>
    <w:rsid w:val="005A6F76"/>
    <w:rsid w:val="005B2850"/>
    <w:rsid w:val="005B7F02"/>
    <w:rsid w:val="005C17FF"/>
    <w:rsid w:val="005E17D9"/>
    <w:rsid w:val="005E666C"/>
    <w:rsid w:val="005F1632"/>
    <w:rsid w:val="005F65F0"/>
    <w:rsid w:val="00607E29"/>
    <w:rsid w:val="0063174E"/>
    <w:rsid w:val="00641964"/>
    <w:rsid w:val="0065536F"/>
    <w:rsid w:val="006656AA"/>
    <w:rsid w:val="006733FC"/>
    <w:rsid w:val="00673BF8"/>
    <w:rsid w:val="00686587"/>
    <w:rsid w:val="00696078"/>
    <w:rsid w:val="006A740C"/>
    <w:rsid w:val="006B432C"/>
    <w:rsid w:val="006C7188"/>
    <w:rsid w:val="006D2E3C"/>
    <w:rsid w:val="006D6A7F"/>
    <w:rsid w:val="006D7C4F"/>
    <w:rsid w:val="006F0B81"/>
    <w:rsid w:val="006F111C"/>
    <w:rsid w:val="006F1511"/>
    <w:rsid w:val="00700374"/>
    <w:rsid w:val="007113A6"/>
    <w:rsid w:val="00714EC6"/>
    <w:rsid w:val="00721F95"/>
    <w:rsid w:val="00723528"/>
    <w:rsid w:val="00744627"/>
    <w:rsid w:val="00750248"/>
    <w:rsid w:val="00774ED8"/>
    <w:rsid w:val="00787D5D"/>
    <w:rsid w:val="007914B8"/>
    <w:rsid w:val="007A1417"/>
    <w:rsid w:val="007A27D9"/>
    <w:rsid w:val="007B54CA"/>
    <w:rsid w:val="007D3C32"/>
    <w:rsid w:val="007E65FA"/>
    <w:rsid w:val="00804BB1"/>
    <w:rsid w:val="00807B76"/>
    <w:rsid w:val="00817A57"/>
    <w:rsid w:val="008304CD"/>
    <w:rsid w:val="00830979"/>
    <w:rsid w:val="00830A02"/>
    <w:rsid w:val="00831CC7"/>
    <w:rsid w:val="00836C00"/>
    <w:rsid w:val="00836EB2"/>
    <w:rsid w:val="00844955"/>
    <w:rsid w:val="00850C80"/>
    <w:rsid w:val="0085295F"/>
    <w:rsid w:val="00854734"/>
    <w:rsid w:val="00854769"/>
    <w:rsid w:val="00856481"/>
    <w:rsid w:val="00870282"/>
    <w:rsid w:val="008713FB"/>
    <w:rsid w:val="008807A9"/>
    <w:rsid w:val="008830A0"/>
    <w:rsid w:val="00885719"/>
    <w:rsid w:val="0088611F"/>
    <w:rsid w:val="008962B5"/>
    <w:rsid w:val="008A2B9A"/>
    <w:rsid w:val="008A6788"/>
    <w:rsid w:val="008B79A1"/>
    <w:rsid w:val="008D16A5"/>
    <w:rsid w:val="008D6D20"/>
    <w:rsid w:val="008E37B6"/>
    <w:rsid w:val="008E442D"/>
    <w:rsid w:val="008F578E"/>
    <w:rsid w:val="0090098E"/>
    <w:rsid w:val="0092325A"/>
    <w:rsid w:val="0092351E"/>
    <w:rsid w:val="00923AD1"/>
    <w:rsid w:val="009425DE"/>
    <w:rsid w:val="00944002"/>
    <w:rsid w:val="00944573"/>
    <w:rsid w:val="0095751A"/>
    <w:rsid w:val="00957DB9"/>
    <w:rsid w:val="009779F1"/>
    <w:rsid w:val="00995900"/>
    <w:rsid w:val="00997DFD"/>
    <w:rsid w:val="009C693C"/>
    <w:rsid w:val="009D398B"/>
    <w:rsid w:val="009E0A94"/>
    <w:rsid w:val="00A06949"/>
    <w:rsid w:val="00A101BF"/>
    <w:rsid w:val="00A14120"/>
    <w:rsid w:val="00A645B5"/>
    <w:rsid w:val="00A660FC"/>
    <w:rsid w:val="00A7606C"/>
    <w:rsid w:val="00A8158D"/>
    <w:rsid w:val="00A861E3"/>
    <w:rsid w:val="00AA6996"/>
    <w:rsid w:val="00AB3A75"/>
    <w:rsid w:val="00AC4054"/>
    <w:rsid w:val="00AC6210"/>
    <w:rsid w:val="00AC6242"/>
    <w:rsid w:val="00AE4DA5"/>
    <w:rsid w:val="00AE7D24"/>
    <w:rsid w:val="00AF1205"/>
    <w:rsid w:val="00AF1768"/>
    <w:rsid w:val="00AF2C04"/>
    <w:rsid w:val="00AF4DB7"/>
    <w:rsid w:val="00AF5E5D"/>
    <w:rsid w:val="00B015CD"/>
    <w:rsid w:val="00B02315"/>
    <w:rsid w:val="00B0314A"/>
    <w:rsid w:val="00B066CA"/>
    <w:rsid w:val="00B17B20"/>
    <w:rsid w:val="00B302E1"/>
    <w:rsid w:val="00B35898"/>
    <w:rsid w:val="00B53848"/>
    <w:rsid w:val="00B54529"/>
    <w:rsid w:val="00B664FE"/>
    <w:rsid w:val="00B665F7"/>
    <w:rsid w:val="00B7432C"/>
    <w:rsid w:val="00B90A69"/>
    <w:rsid w:val="00BA0329"/>
    <w:rsid w:val="00BA318B"/>
    <w:rsid w:val="00BB5267"/>
    <w:rsid w:val="00BC3975"/>
    <w:rsid w:val="00BD7807"/>
    <w:rsid w:val="00BE2EC0"/>
    <w:rsid w:val="00BF008A"/>
    <w:rsid w:val="00C117B7"/>
    <w:rsid w:val="00C1323B"/>
    <w:rsid w:val="00C23014"/>
    <w:rsid w:val="00C24A47"/>
    <w:rsid w:val="00C51B55"/>
    <w:rsid w:val="00C56A66"/>
    <w:rsid w:val="00C579B9"/>
    <w:rsid w:val="00C64DFC"/>
    <w:rsid w:val="00C73F02"/>
    <w:rsid w:val="00C77035"/>
    <w:rsid w:val="00C91829"/>
    <w:rsid w:val="00C96E2B"/>
    <w:rsid w:val="00C9795B"/>
    <w:rsid w:val="00C97FCA"/>
    <w:rsid w:val="00CA1733"/>
    <w:rsid w:val="00CC4168"/>
    <w:rsid w:val="00CC42FD"/>
    <w:rsid w:val="00CE70BC"/>
    <w:rsid w:val="00CE7AAF"/>
    <w:rsid w:val="00D01304"/>
    <w:rsid w:val="00D01CA4"/>
    <w:rsid w:val="00D32AF2"/>
    <w:rsid w:val="00D3732B"/>
    <w:rsid w:val="00D43781"/>
    <w:rsid w:val="00D44FA8"/>
    <w:rsid w:val="00D4572F"/>
    <w:rsid w:val="00D461F3"/>
    <w:rsid w:val="00D51925"/>
    <w:rsid w:val="00D528CF"/>
    <w:rsid w:val="00DA41BF"/>
    <w:rsid w:val="00DB4B63"/>
    <w:rsid w:val="00DB4FA8"/>
    <w:rsid w:val="00DC4417"/>
    <w:rsid w:val="00DD151C"/>
    <w:rsid w:val="00DD27F2"/>
    <w:rsid w:val="00DE20BD"/>
    <w:rsid w:val="00DE59C6"/>
    <w:rsid w:val="00DE6690"/>
    <w:rsid w:val="00DF0E4D"/>
    <w:rsid w:val="00DF1FE0"/>
    <w:rsid w:val="00E102B3"/>
    <w:rsid w:val="00E3027C"/>
    <w:rsid w:val="00E40E91"/>
    <w:rsid w:val="00E466A2"/>
    <w:rsid w:val="00E47A6A"/>
    <w:rsid w:val="00E656ED"/>
    <w:rsid w:val="00E720E8"/>
    <w:rsid w:val="00E95989"/>
    <w:rsid w:val="00EA7D0C"/>
    <w:rsid w:val="00EB01BE"/>
    <w:rsid w:val="00EB1E86"/>
    <w:rsid w:val="00EB485C"/>
    <w:rsid w:val="00EC3783"/>
    <w:rsid w:val="00ED0618"/>
    <w:rsid w:val="00EE326C"/>
    <w:rsid w:val="00EF2E18"/>
    <w:rsid w:val="00F17A23"/>
    <w:rsid w:val="00F23BE5"/>
    <w:rsid w:val="00F3052D"/>
    <w:rsid w:val="00F34B2B"/>
    <w:rsid w:val="00F42436"/>
    <w:rsid w:val="00F50032"/>
    <w:rsid w:val="00F52A81"/>
    <w:rsid w:val="00F54CA0"/>
    <w:rsid w:val="00F83422"/>
    <w:rsid w:val="00FA5314"/>
    <w:rsid w:val="00FA5472"/>
    <w:rsid w:val="00FC7F53"/>
    <w:rsid w:val="00FD5922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9041B"/>
  <w14:defaultImageDpi w14:val="330"/>
  <w15:docId w15:val="{FF2464DA-8276-45B7-A0EE-3C3F764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55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6B3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73F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F02"/>
  </w:style>
  <w:style w:type="paragraph" w:styleId="AltBilgi">
    <w:name w:val="footer"/>
    <w:basedOn w:val="Normal"/>
    <w:link w:val="AltBilgiChar"/>
    <w:uiPriority w:val="99"/>
    <w:unhideWhenUsed/>
    <w:rsid w:val="00C73F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F02"/>
  </w:style>
  <w:style w:type="paragraph" w:styleId="BalonMetni">
    <w:name w:val="Balloon Text"/>
    <w:basedOn w:val="Normal"/>
    <w:link w:val="BalonMetniChar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7D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7D5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7D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7D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7D5D"/>
    <w:rPr>
      <w:b/>
      <w:bCs/>
      <w:sz w:val="20"/>
      <w:szCs w:val="20"/>
    </w:rPr>
  </w:style>
  <w:style w:type="paragraph" w:styleId="NormalWeb">
    <w:name w:val="Normal (Web)"/>
    <w:basedOn w:val="Normal"/>
    <w:rsid w:val="003919A2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paragraph" w:styleId="Dzeltme">
    <w:name w:val="Revision"/>
    <w:hidden/>
    <w:uiPriority w:val="99"/>
    <w:semiHidden/>
    <w:rsid w:val="00DF0E4D"/>
  </w:style>
  <w:style w:type="character" w:customStyle="1" w:styleId="Mention1">
    <w:name w:val="Mention1"/>
    <w:basedOn w:val="VarsaylanParagrafYazTipi"/>
    <w:uiPriority w:val="99"/>
    <w:semiHidden/>
    <w:unhideWhenUsed/>
    <w:rsid w:val="00E40E9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inet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tt.marketwire.com/?release=11G067974-001&amp;id=7377526&amp;type=0&amp;url=http%3a%2f%2fwww.fortinet.com" TargetMode="External"/><Relationship Id="rId12" Type="http://schemas.openxmlformats.org/officeDocument/2006/relationships/hyperlink" Target="http://blog.forti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orti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forti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orti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Fortinet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Welton</dc:creator>
  <cp:lastModifiedBy>Cagla Sunar</cp:lastModifiedBy>
  <cp:revision>16</cp:revision>
  <cp:lastPrinted>2017-06-20T18:38:00Z</cp:lastPrinted>
  <dcterms:created xsi:type="dcterms:W3CDTF">2017-06-26T08:22:00Z</dcterms:created>
  <dcterms:modified xsi:type="dcterms:W3CDTF">2017-07-05T12:26:00Z</dcterms:modified>
</cp:coreProperties>
</file>