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7918" w14:textId="2EE83D39" w:rsidR="00D322B8" w:rsidRPr="00353D49" w:rsidRDefault="00D322B8" w:rsidP="00202FA3">
      <w:pPr>
        <w:pStyle w:val="Balk2"/>
        <w:rPr>
          <w:rFonts w:eastAsia="Tahoma"/>
        </w:rPr>
      </w:pPr>
      <w:r w:rsidRPr="00353D49">
        <w:rPr>
          <w:rFonts w:eastAsia="Tahoma"/>
        </w:rPr>
        <w:t>BASIN BÜLTENİ</w:t>
      </w:r>
      <w:r w:rsidRPr="00353D49">
        <w:rPr>
          <w:rFonts w:eastAsia="Tahoma"/>
        </w:rPr>
        <w:tab/>
      </w:r>
      <w:r w:rsidRPr="00353D49">
        <w:rPr>
          <w:rFonts w:eastAsia="Tahoma"/>
        </w:rPr>
        <w:tab/>
      </w:r>
      <w:r w:rsidRPr="00353D49">
        <w:rPr>
          <w:rFonts w:eastAsia="Tahoma"/>
        </w:rPr>
        <w:tab/>
      </w:r>
      <w:r w:rsidRPr="00353D49">
        <w:rPr>
          <w:rFonts w:eastAsia="Tahoma"/>
        </w:rPr>
        <w:tab/>
      </w:r>
      <w:r w:rsidRPr="00353D49">
        <w:rPr>
          <w:rFonts w:eastAsia="Tahoma"/>
        </w:rPr>
        <w:tab/>
        <w:t xml:space="preserve">                                   </w:t>
      </w:r>
      <w:r>
        <w:rPr>
          <w:rFonts w:eastAsia="Tahoma"/>
        </w:rPr>
        <w:t xml:space="preserve">         </w:t>
      </w:r>
      <w:r w:rsidR="0017112D" w:rsidRPr="0017112D">
        <w:rPr>
          <w:rFonts w:eastAsia="Tahoma"/>
        </w:rPr>
        <w:t>04</w:t>
      </w:r>
      <w:r w:rsidRPr="0017112D">
        <w:rPr>
          <w:rFonts w:eastAsia="Tahoma"/>
        </w:rPr>
        <w:t>.</w:t>
      </w:r>
      <w:r w:rsidR="001B55F3" w:rsidRPr="0017112D">
        <w:rPr>
          <w:rFonts w:eastAsia="Tahoma"/>
        </w:rPr>
        <w:t>0</w:t>
      </w:r>
      <w:r w:rsidR="00F9029E" w:rsidRPr="0017112D">
        <w:rPr>
          <w:rFonts w:eastAsia="Tahoma"/>
        </w:rPr>
        <w:t>8</w:t>
      </w:r>
      <w:r w:rsidRPr="0017112D">
        <w:rPr>
          <w:rFonts w:eastAsia="Tahoma"/>
        </w:rPr>
        <w:t>.2022</w:t>
      </w:r>
    </w:p>
    <w:p w14:paraId="335CEAF7" w14:textId="77777777" w:rsidR="00D322B8" w:rsidRDefault="00D322B8" w:rsidP="00FB099A">
      <w:pPr>
        <w:rPr>
          <w:rFonts w:ascii="Arial" w:hAnsi="Arial" w:cs="Arial"/>
          <w:b/>
          <w:bCs/>
        </w:rPr>
      </w:pPr>
    </w:p>
    <w:p w14:paraId="1A244E73" w14:textId="2FBCE19E" w:rsidR="008D3988" w:rsidRPr="00F9029E" w:rsidRDefault="008D3988" w:rsidP="004A399D">
      <w:pPr>
        <w:spacing w:after="0" w:line="300" w:lineRule="auto"/>
        <w:contextualSpacing/>
        <w:jc w:val="center"/>
        <w:rPr>
          <w:rFonts w:ascii="Arial" w:hAnsi="Arial" w:cs="Arial"/>
          <w:b/>
          <w:bCs/>
          <w:sz w:val="24"/>
          <w:szCs w:val="24"/>
        </w:rPr>
      </w:pPr>
      <w:r w:rsidRPr="00F9029E">
        <w:rPr>
          <w:rFonts w:ascii="Arial" w:hAnsi="Arial" w:cs="Arial"/>
          <w:b/>
          <w:bCs/>
          <w:sz w:val="24"/>
          <w:szCs w:val="24"/>
        </w:rPr>
        <w:t xml:space="preserve">KPMG’nin 2022 yılı “Sigorta Sektörel Bakış” raporu yayımlandı </w:t>
      </w:r>
    </w:p>
    <w:p w14:paraId="7DE252BD" w14:textId="3EAE76A8" w:rsidR="008D3988" w:rsidRPr="00F9029E" w:rsidRDefault="008D3988" w:rsidP="008D3988">
      <w:pPr>
        <w:spacing w:after="0" w:line="300" w:lineRule="auto"/>
        <w:contextualSpacing/>
        <w:jc w:val="center"/>
        <w:rPr>
          <w:rFonts w:ascii="Arial" w:hAnsi="Arial" w:cs="Arial"/>
          <w:b/>
          <w:bCs/>
          <w:sz w:val="40"/>
          <w:szCs w:val="40"/>
        </w:rPr>
      </w:pPr>
      <w:r w:rsidRPr="00F9029E">
        <w:rPr>
          <w:rFonts w:ascii="Arial" w:hAnsi="Arial" w:cs="Arial"/>
          <w:b/>
          <w:bCs/>
          <w:sz w:val="40"/>
          <w:szCs w:val="40"/>
        </w:rPr>
        <w:t>Türkiye sigorta sektörünün büyüklüğü 400 milyar TL’yi aştı</w:t>
      </w:r>
    </w:p>
    <w:p w14:paraId="0704C3D2" w14:textId="77777777" w:rsidR="00D322B8" w:rsidRPr="006B46D0" w:rsidRDefault="00D322B8" w:rsidP="00D322B8">
      <w:pPr>
        <w:spacing w:after="0" w:line="300" w:lineRule="auto"/>
        <w:contextualSpacing/>
        <w:jc w:val="both"/>
        <w:rPr>
          <w:rFonts w:ascii="Arial" w:hAnsi="Arial" w:cs="Arial"/>
          <w:highlight w:val="yellow"/>
        </w:rPr>
      </w:pPr>
    </w:p>
    <w:p w14:paraId="4893DA5F" w14:textId="2EFF40E2" w:rsidR="00FB099A" w:rsidRPr="004A399D" w:rsidRDefault="00376117" w:rsidP="00D811CA">
      <w:pPr>
        <w:spacing w:after="0" w:line="300" w:lineRule="auto"/>
        <w:contextualSpacing/>
        <w:jc w:val="center"/>
        <w:rPr>
          <w:rFonts w:ascii="Arial" w:hAnsi="Arial" w:cs="Arial"/>
          <w:b/>
          <w:bCs/>
          <w:sz w:val="28"/>
          <w:szCs w:val="28"/>
        </w:rPr>
      </w:pPr>
      <w:r w:rsidRPr="00D811CA">
        <w:rPr>
          <w:rFonts w:ascii="Arial" w:hAnsi="Arial" w:cs="Arial"/>
          <w:b/>
          <w:bCs/>
          <w:sz w:val="28"/>
          <w:szCs w:val="28"/>
        </w:rPr>
        <w:t xml:space="preserve">KPMG’nin yayımladığı </w:t>
      </w:r>
      <w:r w:rsidR="00D811CA" w:rsidRPr="00D811CA">
        <w:rPr>
          <w:rFonts w:ascii="Arial" w:hAnsi="Arial" w:cs="Arial"/>
          <w:b/>
          <w:bCs/>
          <w:sz w:val="28"/>
          <w:szCs w:val="28"/>
        </w:rPr>
        <w:t>2022 yılı “Sigorta Sektörel Bakış” raporuna göre 2021 yıl sonu itibarıyla 400 milyar TL sınırını aşan büyüklüğü ile Türkiye sigorta sektörü, gelişen ülke dinamiklerine paralel olarak yüksek büyüme potansiyelini koruyor. 2021 yılında toplam aktiflerini yüzde 38 oranında arttırmayı başaran sektörde brüt prim üretiminin 2022 itibarı ile 100 milyar TL’yi aşacağı tahmin ediliyor.</w:t>
      </w:r>
    </w:p>
    <w:p w14:paraId="78FFFAB0" w14:textId="77777777" w:rsidR="00D322B8" w:rsidRPr="000C46F9" w:rsidRDefault="00D322B8" w:rsidP="004A399D">
      <w:pPr>
        <w:spacing w:after="0" w:line="300" w:lineRule="auto"/>
        <w:contextualSpacing/>
        <w:jc w:val="both"/>
        <w:rPr>
          <w:rFonts w:ascii="Arial" w:hAnsi="Arial" w:cs="Arial"/>
        </w:rPr>
      </w:pPr>
    </w:p>
    <w:p w14:paraId="4110131E" w14:textId="1C3B6DB2" w:rsidR="00FC5AB3" w:rsidRDefault="004A399D" w:rsidP="00FC5AB3">
      <w:pPr>
        <w:spacing w:after="0" w:line="300" w:lineRule="auto"/>
        <w:contextualSpacing/>
        <w:jc w:val="both"/>
        <w:rPr>
          <w:rFonts w:ascii="Arial" w:hAnsi="Arial" w:cs="Arial"/>
        </w:rPr>
      </w:pPr>
      <w:r w:rsidRPr="04A32E60">
        <w:rPr>
          <w:rFonts w:ascii="Arial" w:hAnsi="Arial" w:cs="Arial"/>
        </w:rPr>
        <w:t>KPMG</w:t>
      </w:r>
      <w:r w:rsidR="00FC5AB3">
        <w:rPr>
          <w:rFonts w:ascii="Arial" w:hAnsi="Arial" w:cs="Arial"/>
        </w:rPr>
        <w:t xml:space="preserve">’nin dünyada ve Türkiye’de sigorta sektörünün </w:t>
      </w:r>
      <w:r w:rsidR="00E73E62">
        <w:rPr>
          <w:rFonts w:ascii="Arial" w:hAnsi="Arial" w:cs="Arial"/>
        </w:rPr>
        <w:t xml:space="preserve">geçmiş yıllarını </w:t>
      </w:r>
      <w:r w:rsidR="00FC5AB3">
        <w:rPr>
          <w:rFonts w:ascii="Arial" w:hAnsi="Arial" w:cs="Arial"/>
        </w:rPr>
        <w:t xml:space="preserve">değerlendirdiği ve </w:t>
      </w:r>
      <w:proofErr w:type="gramStart"/>
      <w:r w:rsidR="00FC5AB3">
        <w:rPr>
          <w:rFonts w:ascii="Arial" w:hAnsi="Arial" w:cs="Arial"/>
        </w:rPr>
        <w:t>gelecekle</w:t>
      </w:r>
      <w:proofErr w:type="gramEnd"/>
      <w:r w:rsidR="00FC5AB3">
        <w:rPr>
          <w:rFonts w:ascii="Arial" w:hAnsi="Arial" w:cs="Arial"/>
        </w:rPr>
        <w:t xml:space="preserve"> ilgili öngörülerde bulunduğu 2022 yılı “</w:t>
      </w:r>
      <w:r w:rsidR="00FC5AB3" w:rsidRPr="00FC5AB3">
        <w:rPr>
          <w:rFonts w:ascii="Arial" w:hAnsi="Arial" w:cs="Arial"/>
        </w:rPr>
        <w:t>Sigorta Sektörel Bakış</w:t>
      </w:r>
      <w:r w:rsidR="00FC5AB3">
        <w:rPr>
          <w:rFonts w:ascii="Arial" w:hAnsi="Arial" w:cs="Arial"/>
        </w:rPr>
        <w:t xml:space="preserve">” raporuna göre </w:t>
      </w:r>
      <w:r w:rsidR="00E73E62">
        <w:rPr>
          <w:rFonts w:ascii="Arial" w:hAnsi="Arial" w:cs="Arial"/>
        </w:rPr>
        <w:t xml:space="preserve">küresel çapta, </w:t>
      </w:r>
      <w:r w:rsidR="00FC5AB3" w:rsidRPr="00FC5AB3">
        <w:rPr>
          <w:rFonts w:ascii="Arial" w:hAnsi="Arial" w:cs="Arial"/>
        </w:rPr>
        <w:t>2019 yılına göre 2020 yılında hayat dışı sigorta primleri</w:t>
      </w:r>
      <w:r w:rsidR="00E73E62">
        <w:rPr>
          <w:rFonts w:ascii="Arial" w:hAnsi="Arial" w:cs="Arial"/>
        </w:rPr>
        <w:t xml:space="preserve"> </w:t>
      </w:r>
      <w:r w:rsidR="00FC5AB3" w:rsidRPr="00FC5AB3">
        <w:rPr>
          <w:rFonts w:ascii="Arial" w:hAnsi="Arial" w:cs="Arial"/>
        </w:rPr>
        <w:t>%2,8 oranında artarak 3,40 milyar dolardan 3,49 milyara</w:t>
      </w:r>
      <w:r w:rsidR="00E73E62">
        <w:rPr>
          <w:rFonts w:ascii="Arial" w:hAnsi="Arial" w:cs="Arial"/>
        </w:rPr>
        <w:t xml:space="preserve"> </w:t>
      </w:r>
      <w:r w:rsidR="00FC5AB3" w:rsidRPr="00FC5AB3">
        <w:rPr>
          <w:rFonts w:ascii="Arial" w:hAnsi="Arial" w:cs="Arial"/>
        </w:rPr>
        <w:t>ulaşmasına karşın hayat sigortası primleri %3,1 azalarak</w:t>
      </w:r>
      <w:r w:rsidR="00E73E62">
        <w:rPr>
          <w:rFonts w:ascii="Arial" w:hAnsi="Arial" w:cs="Arial"/>
        </w:rPr>
        <w:t xml:space="preserve"> </w:t>
      </w:r>
      <w:r w:rsidR="00FC5AB3" w:rsidRPr="00FC5AB3">
        <w:rPr>
          <w:rFonts w:ascii="Arial" w:hAnsi="Arial" w:cs="Arial"/>
        </w:rPr>
        <w:t xml:space="preserve">2,89 milyar dolardan 2,80 milyar dolara </w:t>
      </w:r>
      <w:r w:rsidR="00E73E62">
        <w:rPr>
          <w:rFonts w:ascii="Arial" w:hAnsi="Arial" w:cs="Arial"/>
        </w:rPr>
        <w:t>geriledi</w:t>
      </w:r>
      <w:r w:rsidR="00FC5AB3" w:rsidRPr="00FC5AB3">
        <w:rPr>
          <w:rFonts w:ascii="Arial" w:hAnsi="Arial" w:cs="Arial"/>
        </w:rPr>
        <w:t>.</w:t>
      </w:r>
      <w:r w:rsidR="00E73E62">
        <w:rPr>
          <w:rFonts w:ascii="Arial" w:hAnsi="Arial" w:cs="Arial"/>
        </w:rPr>
        <w:t xml:space="preserve"> </w:t>
      </w:r>
      <w:r w:rsidR="00FC5AB3" w:rsidRPr="00FC5AB3">
        <w:rPr>
          <w:rFonts w:ascii="Arial" w:hAnsi="Arial" w:cs="Arial"/>
        </w:rPr>
        <w:t>Hayat dışı ve hayat sigortalarında yaşanan bu değişimler</w:t>
      </w:r>
      <w:r w:rsidR="00E73E62">
        <w:rPr>
          <w:rFonts w:ascii="Arial" w:hAnsi="Arial" w:cs="Arial"/>
        </w:rPr>
        <w:t xml:space="preserve"> </w:t>
      </w:r>
      <w:r w:rsidR="00FC5AB3" w:rsidRPr="00FC5AB3">
        <w:rPr>
          <w:rFonts w:ascii="Arial" w:hAnsi="Arial" w:cs="Arial"/>
        </w:rPr>
        <w:t>sonucunda dünya sigorta sektörü</w:t>
      </w:r>
      <w:r w:rsidR="00E73E62">
        <w:rPr>
          <w:rFonts w:ascii="Arial" w:hAnsi="Arial" w:cs="Arial"/>
        </w:rPr>
        <w:t xml:space="preserve"> </w:t>
      </w:r>
      <w:r w:rsidR="00FC5AB3" w:rsidRPr="00FC5AB3">
        <w:rPr>
          <w:rFonts w:ascii="Arial" w:hAnsi="Arial" w:cs="Arial"/>
        </w:rPr>
        <w:t>prim üretimi 2020</w:t>
      </w:r>
      <w:r w:rsidR="00E73E62">
        <w:rPr>
          <w:rFonts w:ascii="Arial" w:hAnsi="Arial" w:cs="Arial"/>
        </w:rPr>
        <w:t xml:space="preserve"> </w:t>
      </w:r>
      <w:r w:rsidR="00FC5AB3" w:rsidRPr="00FC5AB3">
        <w:rPr>
          <w:rFonts w:ascii="Arial" w:hAnsi="Arial" w:cs="Arial"/>
        </w:rPr>
        <w:t>yılında stabil bir yol izleyerek 6,29 milyar dolar seviyesinde</w:t>
      </w:r>
      <w:r w:rsidR="00E73E62">
        <w:rPr>
          <w:rFonts w:ascii="Arial" w:hAnsi="Arial" w:cs="Arial"/>
        </w:rPr>
        <w:t xml:space="preserve"> kaldı. </w:t>
      </w:r>
      <w:r w:rsidR="00FC5AB3" w:rsidRPr="00FC5AB3">
        <w:rPr>
          <w:rFonts w:ascii="Arial" w:hAnsi="Arial" w:cs="Arial"/>
        </w:rPr>
        <w:t>Hayat sigortası primlerindeki bu düşüş, COVID-19</w:t>
      </w:r>
      <w:r w:rsidR="00E73E62">
        <w:rPr>
          <w:rFonts w:ascii="Arial" w:hAnsi="Arial" w:cs="Arial"/>
        </w:rPr>
        <w:t xml:space="preserve"> </w:t>
      </w:r>
      <w:r w:rsidR="00FC5AB3" w:rsidRPr="00FC5AB3">
        <w:rPr>
          <w:rFonts w:ascii="Arial" w:hAnsi="Arial" w:cs="Arial"/>
        </w:rPr>
        <w:t>salgınının yarattığı ekonomik sıkıntılara bağlı olarak iş</w:t>
      </w:r>
      <w:r w:rsidR="00E73E62">
        <w:rPr>
          <w:rFonts w:ascii="Arial" w:hAnsi="Arial" w:cs="Arial"/>
        </w:rPr>
        <w:t xml:space="preserve"> </w:t>
      </w:r>
      <w:r w:rsidR="00FC5AB3" w:rsidRPr="00FC5AB3">
        <w:rPr>
          <w:rFonts w:ascii="Arial" w:hAnsi="Arial" w:cs="Arial"/>
        </w:rPr>
        <w:t>gücü</w:t>
      </w:r>
      <w:r w:rsidR="00E73E62">
        <w:rPr>
          <w:rFonts w:ascii="Arial" w:hAnsi="Arial" w:cs="Arial"/>
        </w:rPr>
        <w:t xml:space="preserve"> </w:t>
      </w:r>
      <w:r w:rsidR="00FC5AB3" w:rsidRPr="00FC5AB3">
        <w:rPr>
          <w:rFonts w:ascii="Arial" w:hAnsi="Arial" w:cs="Arial"/>
        </w:rPr>
        <w:t>piyasasındaki daralma nedeniyle hane halkı gelirlerindeki</w:t>
      </w:r>
      <w:r w:rsidR="00E73E62">
        <w:rPr>
          <w:rFonts w:ascii="Arial" w:hAnsi="Arial" w:cs="Arial"/>
        </w:rPr>
        <w:t xml:space="preserve"> </w:t>
      </w:r>
      <w:r w:rsidR="00FC5AB3" w:rsidRPr="00FC5AB3">
        <w:rPr>
          <w:rFonts w:ascii="Arial" w:hAnsi="Arial" w:cs="Arial"/>
        </w:rPr>
        <w:t xml:space="preserve">gerilemeden </w:t>
      </w:r>
      <w:r w:rsidR="00E73E62">
        <w:rPr>
          <w:rFonts w:ascii="Arial" w:hAnsi="Arial" w:cs="Arial"/>
        </w:rPr>
        <w:t>kaynaklandı</w:t>
      </w:r>
      <w:r w:rsidR="00FC5AB3" w:rsidRPr="00FC5AB3">
        <w:rPr>
          <w:rFonts w:ascii="Arial" w:hAnsi="Arial" w:cs="Arial"/>
        </w:rPr>
        <w:t>.</w:t>
      </w:r>
      <w:r w:rsidR="00E73E62">
        <w:rPr>
          <w:rFonts w:ascii="Arial" w:hAnsi="Arial" w:cs="Arial"/>
        </w:rPr>
        <w:t xml:space="preserve"> </w:t>
      </w:r>
      <w:r w:rsidR="00FC5AB3" w:rsidRPr="00FC5AB3">
        <w:rPr>
          <w:rFonts w:ascii="Arial" w:hAnsi="Arial" w:cs="Arial"/>
        </w:rPr>
        <w:t xml:space="preserve">2021 yıl sonu değerleri </w:t>
      </w:r>
      <w:r w:rsidR="00E73E62">
        <w:rPr>
          <w:rFonts w:ascii="Arial" w:hAnsi="Arial" w:cs="Arial"/>
        </w:rPr>
        <w:t xml:space="preserve">henüz </w:t>
      </w:r>
      <w:r w:rsidR="00FC5AB3" w:rsidRPr="00FC5AB3">
        <w:rPr>
          <w:rFonts w:ascii="Arial" w:hAnsi="Arial" w:cs="Arial"/>
        </w:rPr>
        <w:t>açıklanmamış</w:t>
      </w:r>
      <w:r w:rsidR="00E73E62">
        <w:rPr>
          <w:rFonts w:ascii="Arial" w:hAnsi="Arial" w:cs="Arial"/>
        </w:rPr>
        <w:t xml:space="preserve"> </w:t>
      </w:r>
      <w:r w:rsidR="00FC5AB3" w:rsidRPr="00FC5AB3">
        <w:rPr>
          <w:rFonts w:ascii="Arial" w:hAnsi="Arial" w:cs="Arial"/>
        </w:rPr>
        <w:t>olmasına karşın ülkelerin yürürlüğe koyduğu mali destek</w:t>
      </w:r>
      <w:r w:rsidR="00E73E62">
        <w:rPr>
          <w:rFonts w:ascii="Arial" w:hAnsi="Arial" w:cs="Arial"/>
        </w:rPr>
        <w:t xml:space="preserve"> </w:t>
      </w:r>
      <w:r w:rsidR="00FC5AB3" w:rsidRPr="00FC5AB3">
        <w:rPr>
          <w:rFonts w:ascii="Arial" w:hAnsi="Arial" w:cs="Arial"/>
        </w:rPr>
        <w:t>paketleri ile ekonomik kesintilerin azalması, iş</w:t>
      </w:r>
      <w:r w:rsidR="00E73E62">
        <w:rPr>
          <w:rFonts w:ascii="Arial" w:hAnsi="Arial" w:cs="Arial"/>
        </w:rPr>
        <w:t xml:space="preserve"> </w:t>
      </w:r>
      <w:r w:rsidR="00FC5AB3" w:rsidRPr="00FC5AB3">
        <w:rPr>
          <w:rFonts w:ascii="Arial" w:hAnsi="Arial" w:cs="Arial"/>
        </w:rPr>
        <w:t>gücü</w:t>
      </w:r>
      <w:r w:rsidR="00E73E62">
        <w:rPr>
          <w:rFonts w:ascii="Arial" w:hAnsi="Arial" w:cs="Arial"/>
        </w:rPr>
        <w:t xml:space="preserve"> </w:t>
      </w:r>
      <w:r w:rsidR="00FC5AB3" w:rsidRPr="00FC5AB3">
        <w:rPr>
          <w:rFonts w:ascii="Arial" w:hAnsi="Arial" w:cs="Arial"/>
        </w:rPr>
        <w:t>piyasasındaki düşüşün sonlanması ve hayat sigortası</w:t>
      </w:r>
      <w:r w:rsidR="00E73E62">
        <w:rPr>
          <w:rFonts w:ascii="Arial" w:hAnsi="Arial" w:cs="Arial"/>
        </w:rPr>
        <w:t xml:space="preserve"> </w:t>
      </w:r>
      <w:r w:rsidR="00FC5AB3" w:rsidRPr="00FC5AB3">
        <w:rPr>
          <w:rFonts w:ascii="Arial" w:hAnsi="Arial" w:cs="Arial"/>
        </w:rPr>
        <w:t xml:space="preserve">primlerinin toparlanması </w:t>
      </w:r>
      <w:r w:rsidR="00E73E62">
        <w:rPr>
          <w:rFonts w:ascii="Arial" w:hAnsi="Arial" w:cs="Arial"/>
        </w:rPr>
        <w:t>bekleniyor</w:t>
      </w:r>
      <w:r w:rsidR="00FC5AB3" w:rsidRPr="00FC5AB3">
        <w:rPr>
          <w:rFonts w:ascii="Arial" w:hAnsi="Arial" w:cs="Arial"/>
        </w:rPr>
        <w:t xml:space="preserve">. </w:t>
      </w:r>
      <w:r w:rsidR="00E73E62">
        <w:rPr>
          <w:rFonts w:ascii="Arial" w:hAnsi="Arial" w:cs="Arial"/>
        </w:rPr>
        <w:t xml:space="preserve">Bu nedenle </w:t>
      </w:r>
      <w:r w:rsidR="00FC5AB3" w:rsidRPr="00FC5AB3">
        <w:rPr>
          <w:rFonts w:ascii="Arial" w:hAnsi="Arial" w:cs="Arial"/>
        </w:rPr>
        <w:t>2022 ve 2023 yıllarında dünya toplam sigorta primlerindeki artışın ortalama %3,2</w:t>
      </w:r>
      <w:r w:rsidR="00E73E62">
        <w:rPr>
          <w:rFonts w:ascii="Arial" w:hAnsi="Arial" w:cs="Arial"/>
        </w:rPr>
        <w:t xml:space="preserve">’yi </w:t>
      </w:r>
      <w:r w:rsidR="00FC5AB3" w:rsidRPr="00FC5AB3">
        <w:rPr>
          <w:rFonts w:ascii="Arial" w:hAnsi="Arial" w:cs="Arial"/>
        </w:rPr>
        <w:t xml:space="preserve">bulması </w:t>
      </w:r>
      <w:r w:rsidR="00E73E62">
        <w:rPr>
          <w:rFonts w:ascii="Arial" w:hAnsi="Arial" w:cs="Arial"/>
        </w:rPr>
        <w:t>bekleniyor</w:t>
      </w:r>
      <w:r w:rsidR="00FC5AB3" w:rsidRPr="00FC5AB3">
        <w:rPr>
          <w:rFonts w:ascii="Arial" w:hAnsi="Arial" w:cs="Arial"/>
        </w:rPr>
        <w:t>.</w:t>
      </w:r>
    </w:p>
    <w:p w14:paraId="56EBFD18" w14:textId="36596A18" w:rsidR="00BE042F" w:rsidRDefault="00BE042F" w:rsidP="00FC5AB3">
      <w:pPr>
        <w:spacing w:after="0" w:line="300" w:lineRule="auto"/>
        <w:contextualSpacing/>
        <w:jc w:val="both"/>
        <w:rPr>
          <w:rFonts w:ascii="Arial" w:hAnsi="Arial" w:cs="Arial"/>
        </w:rPr>
      </w:pPr>
    </w:p>
    <w:p w14:paraId="1F47F589" w14:textId="19CCC876" w:rsidR="00BE042F" w:rsidRPr="00FC5AB3" w:rsidRDefault="00BE042F" w:rsidP="00FC5AB3">
      <w:pPr>
        <w:spacing w:after="0" w:line="300" w:lineRule="auto"/>
        <w:contextualSpacing/>
        <w:jc w:val="both"/>
        <w:rPr>
          <w:rFonts w:ascii="Arial" w:hAnsi="Arial" w:cs="Arial"/>
        </w:rPr>
      </w:pPr>
      <w:r>
        <w:rPr>
          <w:rFonts w:ascii="Arial" w:hAnsi="Arial" w:cs="Arial"/>
        </w:rPr>
        <w:t xml:space="preserve">Konuyla ilgili açıklama yapan </w:t>
      </w:r>
      <w:r w:rsidRPr="00F9029E">
        <w:rPr>
          <w:rFonts w:ascii="Arial" w:hAnsi="Arial" w:cs="Arial"/>
          <w:b/>
          <w:bCs/>
        </w:rPr>
        <w:t>KPMG Türkiye Sigorta Sektörü Lideri Tuğrul Uzun</w:t>
      </w:r>
      <w:r>
        <w:rPr>
          <w:rFonts w:ascii="Arial" w:hAnsi="Arial" w:cs="Arial"/>
        </w:rPr>
        <w:t xml:space="preserve">, şunları söyledi: </w:t>
      </w:r>
      <w:r w:rsidRPr="00BE042F">
        <w:rPr>
          <w:rFonts w:ascii="Arial" w:hAnsi="Arial" w:cs="Arial"/>
          <w:i/>
          <w:iCs/>
        </w:rPr>
        <w:t>“2021 yıl sonu itibarıyla 400 milyar TL sınırını aşan büyüklüğü ile finans sektörümüzün en önemli alanlarından biri olan Türkiye sigorta sektörü, gelişen ülke dinamiklerine paralel olarak yüksek büyüme potansiyelin</w:t>
      </w:r>
      <w:r w:rsidR="007F7017">
        <w:rPr>
          <w:rFonts w:ascii="Arial" w:hAnsi="Arial" w:cs="Arial"/>
          <w:i/>
          <w:iCs/>
        </w:rPr>
        <w:t>e sahip</w:t>
      </w:r>
      <w:r w:rsidRPr="00BE042F">
        <w:rPr>
          <w:rFonts w:ascii="Arial" w:hAnsi="Arial" w:cs="Arial"/>
          <w:i/>
          <w:iCs/>
        </w:rPr>
        <w:t>. Sektör, 2021 yılında toplam aktiflerini yüzde 38 oranında arttırmayı başardı ve 2019 yılındaki yüzde 33’ün ve 2020 yılındaki yüzde 30’un üzerinde bir büyüme gerçekleştirdi. Büyümenin 2022 yıl</w:t>
      </w:r>
      <w:r w:rsidR="000357D1">
        <w:rPr>
          <w:rFonts w:ascii="Arial" w:hAnsi="Arial" w:cs="Arial"/>
          <w:i/>
          <w:iCs/>
        </w:rPr>
        <w:t xml:space="preserve"> </w:t>
      </w:r>
      <w:r w:rsidRPr="00BE042F">
        <w:rPr>
          <w:rFonts w:ascii="Arial" w:hAnsi="Arial" w:cs="Arial"/>
          <w:i/>
          <w:iCs/>
        </w:rPr>
        <w:t>sonunda da sürmesini bekliyoruz.”</w:t>
      </w:r>
    </w:p>
    <w:p w14:paraId="20BA340D" w14:textId="3BD71300" w:rsidR="00FC5AB3" w:rsidRDefault="00FC5AB3" w:rsidP="00FC5AB3">
      <w:pPr>
        <w:spacing w:after="0" w:line="300" w:lineRule="auto"/>
        <w:contextualSpacing/>
        <w:jc w:val="both"/>
        <w:rPr>
          <w:rFonts w:ascii="Arial" w:hAnsi="Arial" w:cs="Arial"/>
        </w:rPr>
      </w:pPr>
    </w:p>
    <w:p w14:paraId="4500C110" w14:textId="30BB68B5" w:rsidR="008D3988" w:rsidRPr="008D3988" w:rsidRDefault="008D3988" w:rsidP="00FC5AB3">
      <w:pPr>
        <w:spacing w:after="0" w:line="300" w:lineRule="auto"/>
        <w:contextualSpacing/>
        <w:jc w:val="both"/>
        <w:rPr>
          <w:rFonts w:ascii="Arial" w:hAnsi="Arial" w:cs="Arial"/>
          <w:b/>
          <w:bCs/>
        </w:rPr>
      </w:pPr>
      <w:r w:rsidRPr="008D3988">
        <w:rPr>
          <w:rFonts w:ascii="Arial" w:hAnsi="Arial" w:cs="Arial"/>
          <w:b/>
          <w:bCs/>
        </w:rPr>
        <w:t>Prim hacmi pazarında ABD açık ara önde</w:t>
      </w:r>
    </w:p>
    <w:p w14:paraId="3A46A544" w14:textId="77777777" w:rsidR="00A02C7D" w:rsidRDefault="00FC5AB3" w:rsidP="00FC5AB3">
      <w:pPr>
        <w:spacing w:after="0" w:line="300" w:lineRule="auto"/>
        <w:contextualSpacing/>
        <w:jc w:val="both"/>
        <w:rPr>
          <w:rFonts w:ascii="Arial" w:hAnsi="Arial" w:cs="Arial"/>
        </w:rPr>
      </w:pPr>
      <w:r w:rsidRPr="00FC5AB3">
        <w:rPr>
          <w:rFonts w:ascii="Arial" w:hAnsi="Arial" w:cs="Arial"/>
        </w:rPr>
        <w:t xml:space="preserve">Ülkeler bazında toplam prim hacmi pazar paylarına bakıldığında </w:t>
      </w:r>
      <w:r w:rsidR="00E73E62">
        <w:rPr>
          <w:rFonts w:ascii="Arial" w:hAnsi="Arial" w:cs="Arial"/>
        </w:rPr>
        <w:t xml:space="preserve">ise </w:t>
      </w:r>
      <w:r w:rsidRPr="00FC5AB3">
        <w:rPr>
          <w:rFonts w:ascii="Arial" w:hAnsi="Arial" w:cs="Arial"/>
        </w:rPr>
        <w:t xml:space="preserve">2019 yılında olduğu gibi 2020 yılında da </w:t>
      </w:r>
      <w:r w:rsidR="00E73E62">
        <w:rPr>
          <w:rFonts w:ascii="Arial" w:hAnsi="Arial" w:cs="Arial"/>
        </w:rPr>
        <w:t xml:space="preserve">ABD’nin </w:t>
      </w:r>
      <w:r w:rsidRPr="00FC5AB3">
        <w:rPr>
          <w:rFonts w:ascii="Arial" w:hAnsi="Arial" w:cs="Arial"/>
        </w:rPr>
        <w:t>açık ara önde olduğu ve giderek pazar payını artırarak liderliğini sürdürdüğü görülüyor. Küresel sağlık</w:t>
      </w:r>
      <w:r w:rsidR="00E73E62">
        <w:rPr>
          <w:rFonts w:ascii="Arial" w:hAnsi="Arial" w:cs="Arial"/>
        </w:rPr>
        <w:t xml:space="preserve"> </w:t>
      </w:r>
      <w:r w:rsidRPr="00FC5AB3">
        <w:rPr>
          <w:rFonts w:ascii="Arial" w:hAnsi="Arial" w:cs="Arial"/>
        </w:rPr>
        <w:t xml:space="preserve">sigortalarında, ABD ekonomisindeki büyüme ve istikrarlı gelişmiş pazar talebinin etkisiyle 2021’deki </w:t>
      </w:r>
      <w:r w:rsidR="00E73E62">
        <w:rPr>
          <w:rFonts w:ascii="Arial" w:hAnsi="Arial" w:cs="Arial"/>
        </w:rPr>
        <w:t xml:space="preserve">yüzde </w:t>
      </w:r>
      <w:r w:rsidRPr="00FC5AB3">
        <w:rPr>
          <w:rFonts w:ascii="Arial" w:hAnsi="Arial" w:cs="Arial"/>
        </w:rPr>
        <w:t>3,7 büyümeden sonra</w:t>
      </w:r>
      <w:r w:rsidR="00E73E62">
        <w:rPr>
          <w:rFonts w:ascii="Arial" w:hAnsi="Arial" w:cs="Arial"/>
        </w:rPr>
        <w:t xml:space="preserve"> </w:t>
      </w:r>
      <w:r w:rsidRPr="00FC5AB3">
        <w:rPr>
          <w:rFonts w:ascii="Arial" w:hAnsi="Arial" w:cs="Arial"/>
        </w:rPr>
        <w:t xml:space="preserve">2022’de </w:t>
      </w:r>
      <w:r w:rsidR="00E73E62">
        <w:rPr>
          <w:rFonts w:ascii="Arial" w:hAnsi="Arial" w:cs="Arial"/>
        </w:rPr>
        <w:t xml:space="preserve">yüzde </w:t>
      </w:r>
      <w:r w:rsidRPr="00FC5AB3">
        <w:rPr>
          <w:rFonts w:ascii="Arial" w:hAnsi="Arial" w:cs="Arial"/>
        </w:rPr>
        <w:t xml:space="preserve">4,2 ve 2023’te </w:t>
      </w:r>
      <w:r w:rsidR="00E73E62">
        <w:rPr>
          <w:rFonts w:ascii="Arial" w:hAnsi="Arial" w:cs="Arial"/>
        </w:rPr>
        <w:t xml:space="preserve">yüzde </w:t>
      </w:r>
      <w:r w:rsidRPr="00FC5AB3">
        <w:rPr>
          <w:rFonts w:ascii="Arial" w:hAnsi="Arial" w:cs="Arial"/>
        </w:rPr>
        <w:t xml:space="preserve">4,1 büyüme </w:t>
      </w:r>
      <w:r w:rsidR="00E73E62">
        <w:rPr>
          <w:rFonts w:ascii="Arial" w:hAnsi="Arial" w:cs="Arial"/>
        </w:rPr>
        <w:t>bekleniyor</w:t>
      </w:r>
      <w:r w:rsidRPr="00FC5AB3">
        <w:rPr>
          <w:rFonts w:ascii="Arial" w:hAnsi="Arial" w:cs="Arial"/>
        </w:rPr>
        <w:t xml:space="preserve">. </w:t>
      </w:r>
      <w:r w:rsidR="00A02C7D">
        <w:rPr>
          <w:rFonts w:ascii="Arial" w:hAnsi="Arial" w:cs="Arial"/>
        </w:rPr>
        <w:t>İ</w:t>
      </w:r>
      <w:r w:rsidRPr="00FC5AB3">
        <w:rPr>
          <w:rFonts w:ascii="Arial" w:hAnsi="Arial" w:cs="Arial"/>
        </w:rPr>
        <w:t xml:space="preserve">lk 10 içindeki ülkeler toplam pazar payının %94’ünü </w:t>
      </w:r>
      <w:r w:rsidR="00A02C7D">
        <w:rPr>
          <w:rFonts w:ascii="Arial" w:hAnsi="Arial" w:cs="Arial"/>
        </w:rPr>
        <w:lastRenderedPageBreak/>
        <w:t xml:space="preserve">oluştururken </w:t>
      </w:r>
      <w:r w:rsidRPr="00FC5AB3">
        <w:rPr>
          <w:rFonts w:ascii="Arial" w:hAnsi="Arial" w:cs="Arial"/>
        </w:rPr>
        <w:t>2020 yılında ülkeler bazında Türkiye</w:t>
      </w:r>
      <w:r w:rsidR="00A02C7D">
        <w:rPr>
          <w:rFonts w:ascii="Arial" w:hAnsi="Arial" w:cs="Arial"/>
        </w:rPr>
        <w:t>,</w:t>
      </w:r>
      <w:r w:rsidRPr="00FC5AB3">
        <w:rPr>
          <w:rFonts w:ascii="Arial" w:hAnsi="Arial" w:cs="Arial"/>
        </w:rPr>
        <w:t xml:space="preserve"> </w:t>
      </w:r>
      <w:r w:rsidR="00A02C7D">
        <w:rPr>
          <w:rFonts w:ascii="Arial" w:hAnsi="Arial" w:cs="Arial"/>
        </w:rPr>
        <w:t xml:space="preserve">yüzce </w:t>
      </w:r>
      <w:r w:rsidRPr="00FC5AB3">
        <w:rPr>
          <w:rFonts w:ascii="Arial" w:hAnsi="Arial" w:cs="Arial"/>
        </w:rPr>
        <w:t>0,25’lik pazar payı ile 19. sırada yer alıyor. İlk 10 sıralamasındaki ülkelere</w:t>
      </w:r>
      <w:r w:rsidR="00A02C7D">
        <w:rPr>
          <w:rFonts w:ascii="Arial" w:hAnsi="Arial" w:cs="Arial"/>
        </w:rPr>
        <w:t xml:space="preserve"> </w:t>
      </w:r>
      <w:r w:rsidRPr="00FC5AB3">
        <w:rPr>
          <w:rFonts w:ascii="Arial" w:hAnsi="Arial" w:cs="Arial"/>
        </w:rPr>
        <w:t xml:space="preserve">bakıldığında </w:t>
      </w:r>
      <w:r w:rsidR="00A02C7D">
        <w:rPr>
          <w:rFonts w:ascii="Arial" w:hAnsi="Arial" w:cs="Arial"/>
        </w:rPr>
        <w:t xml:space="preserve">ABD </w:t>
      </w:r>
      <w:r w:rsidRPr="00FC5AB3">
        <w:rPr>
          <w:rFonts w:ascii="Arial" w:hAnsi="Arial" w:cs="Arial"/>
        </w:rPr>
        <w:t>%1’lik artışla payını en çok arttıran ülke olurken Birleşik Krallık ve Fransa yaklaşık</w:t>
      </w:r>
      <w:r w:rsidR="00A02C7D">
        <w:rPr>
          <w:rFonts w:ascii="Arial" w:hAnsi="Arial" w:cs="Arial"/>
        </w:rPr>
        <w:t xml:space="preserve"> </w:t>
      </w:r>
      <w:r w:rsidRPr="00FC5AB3">
        <w:rPr>
          <w:rFonts w:ascii="Arial" w:hAnsi="Arial" w:cs="Arial"/>
        </w:rPr>
        <w:t xml:space="preserve">%1’lik azalma ile payını en çok düşüren ülkeler olarak dikkat çekiyor. </w:t>
      </w:r>
    </w:p>
    <w:p w14:paraId="60BB06E2" w14:textId="446A0A94" w:rsidR="00A02C7D" w:rsidRDefault="00A02C7D" w:rsidP="00FC5AB3">
      <w:pPr>
        <w:spacing w:after="0" w:line="300" w:lineRule="auto"/>
        <w:contextualSpacing/>
        <w:jc w:val="both"/>
        <w:rPr>
          <w:rFonts w:ascii="Arial" w:hAnsi="Arial" w:cs="Arial"/>
        </w:rPr>
      </w:pPr>
    </w:p>
    <w:p w14:paraId="3324B931" w14:textId="1CE5DC5C" w:rsidR="008D3988" w:rsidRPr="008D3988" w:rsidRDefault="008D3988" w:rsidP="00FC5AB3">
      <w:pPr>
        <w:spacing w:after="0" w:line="300" w:lineRule="auto"/>
        <w:contextualSpacing/>
        <w:jc w:val="both"/>
        <w:rPr>
          <w:rFonts w:ascii="Arial" w:hAnsi="Arial" w:cs="Arial"/>
          <w:b/>
          <w:bCs/>
        </w:rPr>
      </w:pPr>
      <w:r w:rsidRPr="008D3988">
        <w:rPr>
          <w:rFonts w:ascii="Arial" w:hAnsi="Arial" w:cs="Arial"/>
          <w:b/>
          <w:bCs/>
        </w:rPr>
        <w:t>Türkiye sigorta sektörü yüksek büyüme potansiyelini koruyor</w:t>
      </w:r>
    </w:p>
    <w:p w14:paraId="1CE582F2" w14:textId="51450ED0" w:rsidR="00FC5AB3" w:rsidRPr="00FC5AB3" w:rsidRDefault="00FC5AB3" w:rsidP="00FC5AB3">
      <w:pPr>
        <w:spacing w:after="0" w:line="300" w:lineRule="auto"/>
        <w:contextualSpacing/>
        <w:jc w:val="both"/>
        <w:rPr>
          <w:rFonts w:ascii="Arial" w:hAnsi="Arial" w:cs="Arial"/>
        </w:rPr>
      </w:pPr>
      <w:r w:rsidRPr="00FC5AB3">
        <w:rPr>
          <w:rFonts w:ascii="Arial" w:hAnsi="Arial" w:cs="Arial"/>
        </w:rPr>
        <w:t>Global sigorta sıralamasında Türkiye’ye bakıldığında ise</w:t>
      </w:r>
      <w:r w:rsidR="00A02C7D">
        <w:rPr>
          <w:rFonts w:ascii="Arial" w:hAnsi="Arial" w:cs="Arial"/>
        </w:rPr>
        <w:t xml:space="preserve"> </w:t>
      </w:r>
      <w:r w:rsidRPr="00FC5AB3">
        <w:rPr>
          <w:rFonts w:ascii="Arial" w:hAnsi="Arial" w:cs="Arial"/>
        </w:rPr>
        <w:t>2019 ve 2020 yıllarında pazar payını aynı oranda koruduğu görülüyor.</w:t>
      </w:r>
      <w:r w:rsidR="00A02C7D">
        <w:rPr>
          <w:rFonts w:ascii="Arial" w:hAnsi="Arial" w:cs="Arial"/>
        </w:rPr>
        <w:t xml:space="preserve"> </w:t>
      </w:r>
      <w:r w:rsidRPr="00FC5AB3">
        <w:rPr>
          <w:rFonts w:ascii="Arial" w:hAnsi="Arial" w:cs="Arial"/>
        </w:rPr>
        <w:t>2021 yıl sonu itibarıyla 400 milyar TL sınırını aşan büyüklüğü ile finans sektörümüzün en önemli alanlarından biri olan</w:t>
      </w:r>
      <w:r w:rsidR="00A02C7D">
        <w:rPr>
          <w:rFonts w:ascii="Arial" w:hAnsi="Arial" w:cs="Arial"/>
        </w:rPr>
        <w:t xml:space="preserve"> </w:t>
      </w:r>
      <w:r w:rsidRPr="00FC5AB3">
        <w:rPr>
          <w:rFonts w:ascii="Arial" w:hAnsi="Arial" w:cs="Arial"/>
        </w:rPr>
        <w:t>Türk</w:t>
      </w:r>
      <w:r w:rsidR="00A02C7D">
        <w:rPr>
          <w:rFonts w:ascii="Arial" w:hAnsi="Arial" w:cs="Arial"/>
        </w:rPr>
        <w:t>iye</w:t>
      </w:r>
      <w:r w:rsidRPr="00FC5AB3">
        <w:rPr>
          <w:rFonts w:ascii="Arial" w:hAnsi="Arial" w:cs="Arial"/>
        </w:rPr>
        <w:t xml:space="preserve"> sigorta sektörü, gelişen ülke dinamiklerine paralel olarak yüksek büyüme potansiyelini koruyor. Sektör, 2021 yılında toplam aktiflerini </w:t>
      </w:r>
      <w:r w:rsidR="00A02C7D">
        <w:rPr>
          <w:rFonts w:ascii="Arial" w:hAnsi="Arial" w:cs="Arial"/>
        </w:rPr>
        <w:t xml:space="preserve">yüzde </w:t>
      </w:r>
      <w:r w:rsidRPr="00FC5AB3">
        <w:rPr>
          <w:rFonts w:ascii="Arial" w:hAnsi="Arial" w:cs="Arial"/>
        </w:rPr>
        <w:t xml:space="preserve">38 oranında arttırmayı başardı ve 2019 yılındaki </w:t>
      </w:r>
      <w:r w:rsidR="00A02C7D">
        <w:rPr>
          <w:rFonts w:ascii="Arial" w:hAnsi="Arial" w:cs="Arial"/>
        </w:rPr>
        <w:t xml:space="preserve">yüzde </w:t>
      </w:r>
      <w:r w:rsidRPr="00FC5AB3">
        <w:rPr>
          <w:rFonts w:ascii="Arial" w:hAnsi="Arial" w:cs="Arial"/>
        </w:rPr>
        <w:t xml:space="preserve">33’ün ve 2020 yılındaki </w:t>
      </w:r>
      <w:r w:rsidR="00A02C7D">
        <w:rPr>
          <w:rFonts w:ascii="Arial" w:hAnsi="Arial" w:cs="Arial"/>
        </w:rPr>
        <w:t xml:space="preserve">yüzde </w:t>
      </w:r>
      <w:r w:rsidRPr="00FC5AB3">
        <w:rPr>
          <w:rFonts w:ascii="Arial" w:hAnsi="Arial" w:cs="Arial"/>
        </w:rPr>
        <w:t>30’un</w:t>
      </w:r>
      <w:r w:rsidR="00A02C7D">
        <w:rPr>
          <w:rFonts w:ascii="Arial" w:hAnsi="Arial" w:cs="Arial"/>
        </w:rPr>
        <w:t xml:space="preserve"> </w:t>
      </w:r>
      <w:r w:rsidRPr="00FC5AB3">
        <w:rPr>
          <w:rFonts w:ascii="Arial" w:hAnsi="Arial" w:cs="Arial"/>
        </w:rPr>
        <w:t xml:space="preserve">üzerinde bir büyüme gerçekleştirdi. </w:t>
      </w:r>
    </w:p>
    <w:p w14:paraId="2BDD3536" w14:textId="394387D8" w:rsidR="00FC5AB3" w:rsidRDefault="00FC5AB3" w:rsidP="00FC5AB3">
      <w:pPr>
        <w:spacing w:after="0" w:line="300" w:lineRule="auto"/>
        <w:contextualSpacing/>
        <w:jc w:val="both"/>
        <w:rPr>
          <w:rFonts w:ascii="Arial" w:hAnsi="Arial" w:cs="Arial"/>
        </w:rPr>
      </w:pPr>
    </w:p>
    <w:p w14:paraId="6EBF3BD0" w14:textId="2EEBF58B" w:rsidR="008D3988" w:rsidRPr="00D811CA" w:rsidRDefault="008D3988" w:rsidP="00FC5AB3">
      <w:pPr>
        <w:spacing w:after="0" w:line="300" w:lineRule="auto"/>
        <w:contextualSpacing/>
        <w:jc w:val="both"/>
        <w:rPr>
          <w:rFonts w:ascii="Arial" w:hAnsi="Arial" w:cs="Arial"/>
          <w:b/>
          <w:bCs/>
        </w:rPr>
      </w:pPr>
      <w:r w:rsidRPr="00D811CA">
        <w:rPr>
          <w:rFonts w:ascii="Arial" w:hAnsi="Arial" w:cs="Arial"/>
          <w:b/>
          <w:bCs/>
        </w:rPr>
        <w:t>Türkiye sigorta sektörünün brüt prim üretimi 100 milyar TL’</w:t>
      </w:r>
      <w:r w:rsidR="00D811CA">
        <w:rPr>
          <w:rFonts w:ascii="Arial" w:hAnsi="Arial" w:cs="Arial"/>
          <w:b/>
          <w:bCs/>
        </w:rPr>
        <w:t>n</w:t>
      </w:r>
      <w:r w:rsidRPr="00D811CA">
        <w:rPr>
          <w:rFonts w:ascii="Arial" w:hAnsi="Arial" w:cs="Arial"/>
          <w:b/>
          <w:bCs/>
        </w:rPr>
        <w:t>in üzerine koşuyor</w:t>
      </w:r>
    </w:p>
    <w:p w14:paraId="7F53C527" w14:textId="2D37B1F6" w:rsidR="00FC5AB3" w:rsidRPr="00FC5AB3" w:rsidRDefault="00FC5AB3" w:rsidP="00FC5AB3">
      <w:pPr>
        <w:spacing w:after="0" w:line="300" w:lineRule="auto"/>
        <w:contextualSpacing/>
        <w:jc w:val="both"/>
        <w:rPr>
          <w:rFonts w:ascii="Arial" w:hAnsi="Arial" w:cs="Arial"/>
        </w:rPr>
      </w:pPr>
      <w:r w:rsidRPr="00FC5AB3">
        <w:rPr>
          <w:rFonts w:ascii="Arial" w:hAnsi="Arial" w:cs="Arial"/>
        </w:rPr>
        <w:t xml:space="preserve">Türkiye sigorta sektörü 2021 yılında, brüt prim üretimini bir önceki yıla göre yaklaşık </w:t>
      </w:r>
      <w:r w:rsidR="00A02C7D">
        <w:rPr>
          <w:rFonts w:ascii="Arial" w:hAnsi="Arial" w:cs="Arial"/>
        </w:rPr>
        <w:t xml:space="preserve">yüzde </w:t>
      </w:r>
      <w:r w:rsidRPr="00FC5AB3">
        <w:rPr>
          <w:rFonts w:ascii="Arial" w:hAnsi="Arial" w:cs="Arial"/>
        </w:rPr>
        <w:t>17 artırdı. Toplam hacmi</w:t>
      </w:r>
      <w:r w:rsidR="00A02C7D">
        <w:rPr>
          <w:rFonts w:ascii="Arial" w:hAnsi="Arial" w:cs="Arial"/>
        </w:rPr>
        <w:t xml:space="preserve"> </w:t>
      </w:r>
      <w:r w:rsidRPr="00FC5AB3">
        <w:rPr>
          <w:rFonts w:ascii="Arial" w:hAnsi="Arial" w:cs="Arial"/>
        </w:rPr>
        <w:t>96,3 milyara ulaştı</w:t>
      </w:r>
      <w:r w:rsidR="00A02C7D">
        <w:rPr>
          <w:rFonts w:ascii="Arial" w:hAnsi="Arial" w:cs="Arial"/>
        </w:rPr>
        <w:t xml:space="preserve">. </w:t>
      </w:r>
      <w:r w:rsidRPr="00FC5AB3">
        <w:rPr>
          <w:rFonts w:ascii="Arial" w:hAnsi="Arial" w:cs="Arial"/>
        </w:rPr>
        <w:t>Bu miktarın 2022 itibar</w:t>
      </w:r>
      <w:r w:rsidR="00A02C7D">
        <w:rPr>
          <w:rFonts w:ascii="Arial" w:hAnsi="Arial" w:cs="Arial"/>
        </w:rPr>
        <w:t>ı</w:t>
      </w:r>
      <w:r w:rsidRPr="00FC5AB3">
        <w:rPr>
          <w:rFonts w:ascii="Arial" w:hAnsi="Arial" w:cs="Arial"/>
        </w:rPr>
        <w:t xml:space="preserve"> ile 100 milyar</w:t>
      </w:r>
      <w:r w:rsidR="00D811CA">
        <w:rPr>
          <w:rFonts w:ascii="Arial" w:hAnsi="Arial" w:cs="Arial"/>
        </w:rPr>
        <w:t xml:space="preserve"> TL’yi </w:t>
      </w:r>
      <w:r w:rsidRPr="00FC5AB3">
        <w:rPr>
          <w:rFonts w:ascii="Arial" w:hAnsi="Arial" w:cs="Arial"/>
        </w:rPr>
        <w:t>aşması beklen</w:t>
      </w:r>
      <w:r w:rsidR="00A02C7D">
        <w:rPr>
          <w:rFonts w:ascii="Arial" w:hAnsi="Arial" w:cs="Arial"/>
        </w:rPr>
        <w:t>iyor</w:t>
      </w:r>
      <w:r w:rsidRPr="00FC5AB3">
        <w:rPr>
          <w:rFonts w:ascii="Arial" w:hAnsi="Arial" w:cs="Arial"/>
        </w:rPr>
        <w:t>. Genel toplamda artış</w:t>
      </w:r>
      <w:r w:rsidR="00A02C7D">
        <w:rPr>
          <w:rFonts w:ascii="Arial" w:hAnsi="Arial" w:cs="Arial"/>
        </w:rPr>
        <w:t xml:space="preserve"> </w:t>
      </w:r>
      <w:r w:rsidRPr="00FC5AB3">
        <w:rPr>
          <w:rFonts w:ascii="Arial" w:hAnsi="Arial" w:cs="Arial"/>
        </w:rPr>
        <w:t xml:space="preserve">eğiliminde olan sigorta sektöründe hayat sigortası primleri </w:t>
      </w:r>
      <w:r w:rsidR="00A02C7D">
        <w:rPr>
          <w:rFonts w:ascii="Arial" w:hAnsi="Arial" w:cs="Arial"/>
        </w:rPr>
        <w:t xml:space="preserve">yüzde </w:t>
      </w:r>
      <w:r w:rsidRPr="00FC5AB3">
        <w:rPr>
          <w:rFonts w:ascii="Arial" w:hAnsi="Arial" w:cs="Arial"/>
        </w:rPr>
        <w:t>1’lik bir düşüş göster</w:t>
      </w:r>
      <w:r w:rsidR="00A02C7D">
        <w:rPr>
          <w:rFonts w:ascii="Arial" w:hAnsi="Arial" w:cs="Arial"/>
        </w:rPr>
        <w:t>di</w:t>
      </w:r>
      <w:r w:rsidRPr="00FC5AB3">
        <w:rPr>
          <w:rFonts w:ascii="Arial" w:hAnsi="Arial" w:cs="Arial"/>
        </w:rPr>
        <w:t>. Hayat dışı sigorta primleri son 3</w:t>
      </w:r>
      <w:r w:rsidR="00A02C7D">
        <w:rPr>
          <w:rFonts w:ascii="Arial" w:hAnsi="Arial" w:cs="Arial"/>
        </w:rPr>
        <w:t xml:space="preserve"> </w:t>
      </w:r>
      <w:r w:rsidRPr="00FC5AB3">
        <w:rPr>
          <w:rFonts w:ascii="Arial" w:hAnsi="Arial" w:cs="Arial"/>
        </w:rPr>
        <w:t xml:space="preserve">yılda </w:t>
      </w:r>
      <w:r w:rsidR="00A02C7D">
        <w:rPr>
          <w:rFonts w:ascii="Arial" w:hAnsi="Arial" w:cs="Arial"/>
        </w:rPr>
        <w:t xml:space="preserve">yüzde </w:t>
      </w:r>
      <w:r w:rsidRPr="00FC5AB3">
        <w:rPr>
          <w:rFonts w:ascii="Arial" w:hAnsi="Arial" w:cs="Arial"/>
        </w:rPr>
        <w:t xml:space="preserve">20 seviyesinde stabil bir büyüme gösterdikten sonra bu yıl </w:t>
      </w:r>
      <w:r w:rsidR="00A02C7D">
        <w:rPr>
          <w:rFonts w:ascii="Arial" w:hAnsi="Arial" w:cs="Arial"/>
        </w:rPr>
        <w:t xml:space="preserve">yüzde </w:t>
      </w:r>
      <w:r w:rsidRPr="00FC5AB3">
        <w:rPr>
          <w:rFonts w:ascii="Arial" w:hAnsi="Arial" w:cs="Arial"/>
        </w:rPr>
        <w:t>16’lık bir büyüme gerçekleştir</w:t>
      </w:r>
      <w:r w:rsidR="00A02C7D">
        <w:rPr>
          <w:rFonts w:ascii="Arial" w:hAnsi="Arial" w:cs="Arial"/>
        </w:rPr>
        <w:t>di</w:t>
      </w:r>
      <w:r w:rsidRPr="00FC5AB3">
        <w:rPr>
          <w:rFonts w:ascii="Arial" w:hAnsi="Arial" w:cs="Arial"/>
        </w:rPr>
        <w:t>.</w:t>
      </w:r>
    </w:p>
    <w:p w14:paraId="0AA462F8" w14:textId="77777777" w:rsidR="00FC5AB3" w:rsidRPr="00FC5AB3" w:rsidRDefault="00FC5AB3" w:rsidP="00FC5AB3">
      <w:pPr>
        <w:spacing w:after="0" w:line="300" w:lineRule="auto"/>
        <w:contextualSpacing/>
        <w:jc w:val="both"/>
        <w:rPr>
          <w:rFonts w:ascii="Arial" w:hAnsi="Arial" w:cs="Arial"/>
        </w:rPr>
      </w:pPr>
    </w:p>
    <w:p w14:paraId="5F75698E" w14:textId="0B897402" w:rsidR="00FC5AB3" w:rsidRPr="00FC5AB3" w:rsidRDefault="00FC5AB3" w:rsidP="00FC5AB3">
      <w:pPr>
        <w:spacing w:after="0" w:line="300" w:lineRule="auto"/>
        <w:contextualSpacing/>
        <w:jc w:val="both"/>
        <w:rPr>
          <w:rFonts w:ascii="Arial" w:hAnsi="Arial" w:cs="Arial"/>
        </w:rPr>
      </w:pPr>
      <w:r w:rsidRPr="00FC5AB3">
        <w:rPr>
          <w:rFonts w:ascii="Arial" w:hAnsi="Arial" w:cs="Arial"/>
        </w:rPr>
        <w:t>2020 yılında OECD ülkelerinde kişi başına yıllık brüt prim üretimi 3</w:t>
      </w:r>
      <w:r w:rsidR="00A02C7D">
        <w:rPr>
          <w:rFonts w:ascii="Arial" w:hAnsi="Arial" w:cs="Arial"/>
        </w:rPr>
        <w:t>.</w:t>
      </w:r>
      <w:r w:rsidRPr="00FC5AB3">
        <w:rPr>
          <w:rFonts w:ascii="Arial" w:hAnsi="Arial" w:cs="Arial"/>
        </w:rPr>
        <w:t>600 dolar iken bu miktar</w:t>
      </w:r>
    </w:p>
    <w:p w14:paraId="04D4DEF5" w14:textId="4C2123E2" w:rsidR="00FC5AB3" w:rsidRPr="00FC5AB3" w:rsidRDefault="00A02C7D" w:rsidP="00FC5AB3">
      <w:pPr>
        <w:spacing w:after="0" w:line="300" w:lineRule="auto"/>
        <w:contextualSpacing/>
        <w:jc w:val="both"/>
        <w:rPr>
          <w:rFonts w:ascii="Arial" w:hAnsi="Arial" w:cs="Arial"/>
        </w:rPr>
      </w:pPr>
      <w:r>
        <w:rPr>
          <w:rFonts w:ascii="Arial" w:hAnsi="Arial" w:cs="Arial"/>
        </w:rPr>
        <w:t xml:space="preserve">Türkiye’de </w:t>
      </w:r>
      <w:r w:rsidR="00FC5AB3" w:rsidRPr="00FC5AB3">
        <w:rPr>
          <w:rFonts w:ascii="Arial" w:hAnsi="Arial" w:cs="Arial"/>
        </w:rPr>
        <w:t>128 dolar</w:t>
      </w:r>
      <w:r>
        <w:rPr>
          <w:rFonts w:ascii="Arial" w:hAnsi="Arial" w:cs="Arial"/>
        </w:rPr>
        <w:t xml:space="preserve"> oldu</w:t>
      </w:r>
      <w:r w:rsidR="00FC5AB3" w:rsidRPr="00FC5AB3">
        <w:rPr>
          <w:rFonts w:ascii="Arial" w:hAnsi="Arial" w:cs="Arial"/>
        </w:rPr>
        <w:t xml:space="preserve">. Türkiye 2018 yılından bu yana devam eden stabil seyrini 2020 yılında da devam </w:t>
      </w:r>
      <w:r>
        <w:rPr>
          <w:rFonts w:ascii="Arial" w:hAnsi="Arial" w:cs="Arial"/>
        </w:rPr>
        <w:t>ettirdi</w:t>
      </w:r>
      <w:r w:rsidR="00FC5AB3" w:rsidRPr="00FC5AB3">
        <w:rPr>
          <w:rFonts w:ascii="Arial" w:hAnsi="Arial" w:cs="Arial"/>
        </w:rPr>
        <w:t>. 2021</w:t>
      </w:r>
      <w:r>
        <w:rPr>
          <w:rFonts w:ascii="Arial" w:hAnsi="Arial" w:cs="Arial"/>
        </w:rPr>
        <w:t xml:space="preserve"> </w:t>
      </w:r>
      <w:r w:rsidR="00FC5AB3" w:rsidRPr="00FC5AB3">
        <w:rPr>
          <w:rFonts w:ascii="Arial" w:hAnsi="Arial" w:cs="Arial"/>
        </w:rPr>
        <w:t xml:space="preserve">yılında yaşanan kur şoku ve ekonomik problemler nedeniyle bu görünümün olumsuza dönmesi </w:t>
      </w:r>
      <w:r>
        <w:rPr>
          <w:rFonts w:ascii="Arial" w:hAnsi="Arial" w:cs="Arial"/>
        </w:rPr>
        <w:t>bekleniyor</w:t>
      </w:r>
      <w:r w:rsidR="00FC5AB3" w:rsidRPr="00FC5AB3">
        <w:rPr>
          <w:rFonts w:ascii="Arial" w:hAnsi="Arial" w:cs="Arial"/>
        </w:rPr>
        <w:t>.</w:t>
      </w:r>
    </w:p>
    <w:p w14:paraId="757A0B88" w14:textId="74144BC8" w:rsidR="00FC5AB3" w:rsidRDefault="00FC5AB3" w:rsidP="00FC5AB3">
      <w:pPr>
        <w:spacing w:after="0" w:line="300" w:lineRule="auto"/>
        <w:contextualSpacing/>
        <w:jc w:val="both"/>
        <w:rPr>
          <w:rFonts w:ascii="Arial" w:hAnsi="Arial" w:cs="Arial"/>
        </w:rPr>
      </w:pPr>
    </w:p>
    <w:p w14:paraId="4505B9E9" w14:textId="4CB2E363" w:rsidR="00FC5AB3" w:rsidRPr="00FC5AB3" w:rsidRDefault="00A02C7D" w:rsidP="00A02C7D">
      <w:pPr>
        <w:spacing w:after="0" w:line="300" w:lineRule="auto"/>
        <w:contextualSpacing/>
        <w:jc w:val="both"/>
        <w:rPr>
          <w:rFonts w:ascii="Arial" w:hAnsi="Arial" w:cs="Arial"/>
        </w:rPr>
      </w:pPr>
      <w:r>
        <w:rPr>
          <w:rFonts w:ascii="Arial" w:hAnsi="Arial" w:cs="Arial"/>
        </w:rPr>
        <w:t xml:space="preserve">Rapora göre, </w:t>
      </w:r>
      <w:r w:rsidR="00FC5AB3" w:rsidRPr="00FC5AB3">
        <w:rPr>
          <w:rFonts w:ascii="Arial" w:hAnsi="Arial" w:cs="Arial"/>
        </w:rPr>
        <w:t>Türk</w:t>
      </w:r>
      <w:r w:rsidR="00F9029E">
        <w:rPr>
          <w:rFonts w:ascii="Arial" w:hAnsi="Arial" w:cs="Arial"/>
        </w:rPr>
        <w:t>iye’nin</w:t>
      </w:r>
      <w:r w:rsidR="00FC5AB3" w:rsidRPr="00FC5AB3">
        <w:rPr>
          <w:rFonts w:ascii="Arial" w:hAnsi="Arial" w:cs="Arial"/>
        </w:rPr>
        <w:t xml:space="preserve"> sigorta sektöründe halihazırda, 42’si hayat dışı, 6’sı hayat, 15’i hayat emeklilik ve 4’ü reasürans olmak üzere 67</w:t>
      </w:r>
      <w:r>
        <w:rPr>
          <w:rFonts w:ascii="Arial" w:hAnsi="Arial" w:cs="Arial"/>
        </w:rPr>
        <w:t xml:space="preserve"> </w:t>
      </w:r>
      <w:r w:rsidR="00FC5AB3" w:rsidRPr="00FC5AB3">
        <w:rPr>
          <w:rFonts w:ascii="Arial" w:hAnsi="Arial" w:cs="Arial"/>
        </w:rPr>
        <w:t>şirket hizmet veriyor. Son üç yılda 8 yeni oyuncu sektöre katıldı. Hayat dışı ve reasürans branşlarında artış görülürken hayat</w:t>
      </w:r>
      <w:r>
        <w:rPr>
          <w:rFonts w:ascii="Arial" w:hAnsi="Arial" w:cs="Arial"/>
        </w:rPr>
        <w:t xml:space="preserve"> </w:t>
      </w:r>
      <w:r w:rsidR="00FC5AB3" w:rsidRPr="00FC5AB3">
        <w:rPr>
          <w:rFonts w:ascii="Arial" w:hAnsi="Arial" w:cs="Arial"/>
        </w:rPr>
        <w:t xml:space="preserve">ve emeklilik branşının sabit kaldığı göze çarpıyor. </w:t>
      </w:r>
    </w:p>
    <w:p w14:paraId="07BA0ADF" w14:textId="6BC00915" w:rsidR="00FC5AB3" w:rsidRDefault="00FC5AB3" w:rsidP="00FC5AB3">
      <w:pPr>
        <w:spacing w:after="0" w:line="300" w:lineRule="auto"/>
        <w:contextualSpacing/>
        <w:jc w:val="both"/>
        <w:rPr>
          <w:rFonts w:ascii="Arial" w:hAnsi="Arial" w:cs="Arial"/>
        </w:rPr>
      </w:pPr>
    </w:p>
    <w:p w14:paraId="41295913" w14:textId="18B6FA56" w:rsidR="00D811CA" w:rsidRPr="00D811CA" w:rsidRDefault="00D811CA" w:rsidP="00FC5AB3">
      <w:pPr>
        <w:spacing w:after="0" w:line="300" w:lineRule="auto"/>
        <w:contextualSpacing/>
        <w:jc w:val="both"/>
        <w:rPr>
          <w:rFonts w:ascii="Arial" w:hAnsi="Arial" w:cs="Arial"/>
          <w:b/>
          <w:bCs/>
        </w:rPr>
      </w:pPr>
      <w:r w:rsidRPr="00D811CA">
        <w:rPr>
          <w:rFonts w:ascii="Arial" w:hAnsi="Arial" w:cs="Arial"/>
          <w:b/>
          <w:bCs/>
        </w:rPr>
        <w:t xml:space="preserve">Hayat dışı branş kârı 2021 yılında yüzde 1743 arttı </w:t>
      </w:r>
    </w:p>
    <w:p w14:paraId="48478560" w14:textId="77777777" w:rsidR="00C42D03" w:rsidRDefault="00FC5AB3" w:rsidP="00FC5AB3">
      <w:pPr>
        <w:spacing w:after="0" w:line="300" w:lineRule="auto"/>
        <w:contextualSpacing/>
        <w:jc w:val="both"/>
        <w:rPr>
          <w:rFonts w:ascii="Arial" w:hAnsi="Arial" w:cs="Arial"/>
        </w:rPr>
      </w:pPr>
      <w:r w:rsidRPr="00FC5AB3">
        <w:rPr>
          <w:rFonts w:ascii="Arial" w:hAnsi="Arial" w:cs="Arial"/>
        </w:rPr>
        <w:t>2021 yılında COVID-19 önemlerinin gevşetilmesi ve aşılama oranlarındaki artış sayesinde 2020 yılında sigorta sektörünün</w:t>
      </w:r>
      <w:r w:rsidR="00C42D03">
        <w:rPr>
          <w:rFonts w:ascii="Arial" w:hAnsi="Arial" w:cs="Arial"/>
        </w:rPr>
        <w:t xml:space="preserve"> </w:t>
      </w:r>
      <w:r w:rsidRPr="00FC5AB3">
        <w:rPr>
          <w:rFonts w:ascii="Arial" w:hAnsi="Arial" w:cs="Arial"/>
        </w:rPr>
        <w:t xml:space="preserve">yaşadığı kâr kayıpları, tam tersi yönde bir eğilim ile toplamda </w:t>
      </w:r>
      <w:r w:rsidR="00C42D03">
        <w:rPr>
          <w:rFonts w:ascii="Arial" w:hAnsi="Arial" w:cs="Arial"/>
        </w:rPr>
        <w:t xml:space="preserve">yüzde </w:t>
      </w:r>
      <w:r w:rsidRPr="00FC5AB3">
        <w:rPr>
          <w:rFonts w:ascii="Arial" w:hAnsi="Arial" w:cs="Arial"/>
        </w:rPr>
        <w:t>220 oranında artış göstererek 5,234 milyar TL’ye ulaştı</w:t>
      </w:r>
      <w:r w:rsidR="00C42D03">
        <w:rPr>
          <w:rFonts w:ascii="Arial" w:hAnsi="Arial" w:cs="Arial"/>
        </w:rPr>
        <w:t xml:space="preserve">. </w:t>
      </w:r>
      <w:r w:rsidRPr="00FC5AB3">
        <w:rPr>
          <w:rFonts w:ascii="Arial" w:hAnsi="Arial" w:cs="Arial"/>
        </w:rPr>
        <w:t xml:space="preserve">2020 yılında; 87 milyon TL olan hayat dışı branş kârı 2021 yılında </w:t>
      </w:r>
      <w:r w:rsidR="00C42D03">
        <w:rPr>
          <w:rFonts w:ascii="Arial" w:hAnsi="Arial" w:cs="Arial"/>
        </w:rPr>
        <w:t xml:space="preserve">yüzde </w:t>
      </w:r>
      <w:r w:rsidRPr="00FC5AB3">
        <w:rPr>
          <w:rFonts w:ascii="Arial" w:hAnsi="Arial" w:cs="Arial"/>
        </w:rPr>
        <w:t>1743 artışla 1,604 milyar TL’ye, 1,547 milyar TL</w:t>
      </w:r>
      <w:r w:rsidR="00C42D03">
        <w:rPr>
          <w:rFonts w:ascii="Arial" w:hAnsi="Arial" w:cs="Arial"/>
        </w:rPr>
        <w:t xml:space="preserve"> </w:t>
      </w:r>
      <w:r w:rsidRPr="00FC5AB3">
        <w:rPr>
          <w:rFonts w:ascii="Arial" w:hAnsi="Arial" w:cs="Arial"/>
        </w:rPr>
        <w:t xml:space="preserve">olan hayat branşı kârı, 2021 yılında </w:t>
      </w:r>
      <w:r w:rsidR="00C42D03">
        <w:rPr>
          <w:rFonts w:ascii="Arial" w:hAnsi="Arial" w:cs="Arial"/>
        </w:rPr>
        <w:t xml:space="preserve">yüzde </w:t>
      </w:r>
      <w:r w:rsidRPr="00FC5AB3">
        <w:rPr>
          <w:rFonts w:ascii="Arial" w:hAnsi="Arial" w:cs="Arial"/>
        </w:rPr>
        <w:t xml:space="preserve">135 oranında artış göstererek 3,630 milyar TL’ye ulaştı. </w:t>
      </w:r>
    </w:p>
    <w:p w14:paraId="478CB44F" w14:textId="77777777" w:rsidR="00C42D03" w:rsidRDefault="00C42D03" w:rsidP="00FC5AB3">
      <w:pPr>
        <w:spacing w:after="0" w:line="300" w:lineRule="auto"/>
        <w:contextualSpacing/>
        <w:jc w:val="both"/>
        <w:rPr>
          <w:rFonts w:ascii="Arial" w:hAnsi="Arial" w:cs="Arial"/>
        </w:rPr>
      </w:pPr>
    </w:p>
    <w:p w14:paraId="7FEB492F" w14:textId="2F8CB831" w:rsidR="00FC5AB3" w:rsidRPr="00FC5AB3" w:rsidRDefault="00C42D03" w:rsidP="00FC5AB3">
      <w:pPr>
        <w:spacing w:after="0" w:line="300" w:lineRule="auto"/>
        <w:contextualSpacing/>
        <w:jc w:val="both"/>
        <w:rPr>
          <w:rFonts w:ascii="Arial" w:hAnsi="Arial" w:cs="Arial"/>
        </w:rPr>
      </w:pPr>
      <w:r>
        <w:rPr>
          <w:rFonts w:ascii="Arial" w:hAnsi="Arial" w:cs="Arial"/>
        </w:rPr>
        <w:t>Böylelikle s</w:t>
      </w:r>
      <w:r w:rsidR="00FC5AB3" w:rsidRPr="00FC5AB3">
        <w:rPr>
          <w:rFonts w:ascii="Arial" w:hAnsi="Arial" w:cs="Arial"/>
        </w:rPr>
        <w:t>igorta sektörü 2021 yılında</w:t>
      </w:r>
      <w:r>
        <w:rPr>
          <w:rFonts w:ascii="Arial" w:hAnsi="Arial" w:cs="Arial"/>
        </w:rPr>
        <w:t xml:space="preserve"> </w:t>
      </w:r>
      <w:r w:rsidR="00FC5AB3" w:rsidRPr="00FC5AB3">
        <w:rPr>
          <w:rFonts w:ascii="Arial" w:hAnsi="Arial" w:cs="Arial"/>
        </w:rPr>
        <w:t xml:space="preserve">göstermiş olduğu büyüme ile 2017 yılında gerçekleştirmiş olduğu </w:t>
      </w:r>
      <w:r>
        <w:rPr>
          <w:rFonts w:ascii="Arial" w:hAnsi="Arial" w:cs="Arial"/>
        </w:rPr>
        <w:t xml:space="preserve">yüzde </w:t>
      </w:r>
      <w:r w:rsidR="00FC5AB3" w:rsidRPr="00FC5AB3">
        <w:rPr>
          <w:rFonts w:ascii="Arial" w:hAnsi="Arial" w:cs="Arial"/>
        </w:rPr>
        <w:t xml:space="preserve">215’lik büyümenin </w:t>
      </w:r>
      <w:r>
        <w:rPr>
          <w:rFonts w:ascii="Arial" w:hAnsi="Arial" w:cs="Arial"/>
        </w:rPr>
        <w:t xml:space="preserve">de </w:t>
      </w:r>
      <w:r w:rsidR="00FC5AB3" w:rsidRPr="00FC5AB3">
        <w:rPr>
          <w:rFonts w:ascii="Arial" w:hAnsi="Arial" w:cs="Arial"/>
        </w:rPr>
        <w:t xml:space="preserve">üstüne </w:t>
      </w:r>
      <w:r>
        <w:rPr>
          <w:rFonts w:ascii="Arial" w:hAnsi="Arial" w:cs="Arial"/>
        </w:rPr>
        <w:t>çıktı</w:t>
      </w:r>
      <w:r w:rsidR="00FC5AB3" w:rsidRPr="00FC5AB3">
        <w:rPr>
          <w:rFonts w:ascii="Arial" w:hAnsi="Arial" w:cs="Arial"/>
        </w:rPr>
        <w:t>. 2021</w:t>
      </w:r>
      <w:r>
        <w:rPr>
          <w:rFonts w:ascii="Arial" w:hAnsi="Arial" w:cs="Arial"/>
        </w:rPr>
        <w:t xml:space="preserve"> </w:t>
      </w:r>
      <w:r w:rsidR="00FC5AB3" w:rsidRPr="00FC5AB3">
        <w:rPr>
          <w:rFonts w:ascii="Arial" w:hAnsi="Arial" w:cs="Arial"/>
        </w:rPr>
        <w:t xml:space="preserve">yılında elde edilen 5,234 milyar TL’lik kârın </w:t>
      </w:r>
      <w:r>
        <w:rPr>
          <w:rFonts w:ascii="Arial" w:hAnsi="Arial" w:cs="Arial"/>
        </w:rPr>
        <w:t xml:space="preserve">yüzde </w:t>
      </w:r>
      <w:r w:rsidR="00FC5AB3" w:rsidRPr="00FC5AB3">
        <w:rPr>
          <w:rFonts w:ascii="Arial" w:hAnsi="Arial" w:cs="Arial"/>
        </w:rPr>
        <w:t xml:space="preserve">69’u hayat branşından </w:t>
      </w:r>
      <w:r>
        <w:rPr>
          <w:rFonts w:ascii="Arial" w:hAnsi="Arial" w:cs="Arial"/>
        </w:rPr>
        <w:t xml:space="preserve">yüzde </w:t>
      </w:r>
      <w:r w:rsidR="00FC5AB3" w:rsidRPr="00FC5AB3">
        <w:rPr>
          <w:rFonts w:ascii="Arial" w:hAnsi="Arial" w:cs="Arial"/>
        </w:rPr>
        <w:t>31’lik kısmı da hayat dışı branştan sağlan</w:t>
      </w:r>
      <w:r>
        <w:rPr>
          <w:rFonts w:ascii="Arial" w:hAnsi="Arial" w:cs="Arial"/>
        </w:rPr>
        <w:t xml:space="preserve">dı. </w:t>
      </w:r>
    </w:p>
    <w:p w14:paraId="00639EBE" w14:textId="77777777" w:rsidR="00FC5AB3" w:rsidRPr="00FC5AB3" w:rsidRDefault="00FC5AB3" w:rsidP="00FC5AB3">
      <w:pPr>
        <w:spacing w:after="0" w:line="300" w:lineRule="auto"/>
        <w:contextualSpacing/>
        <w:jc w:val="both"/>
        <w:rPr>
          <w:rFonts w:ascii="Arial" w:hAnsi="Arial" w:cs="Arial"/>
        </w:rPr>
      </w:pPr>
    </w:p>
    <w:p w14:paraId="08CD8C82" w14:textId="70716D0D" w:rsidR="00FC5AB3" w:rsidRPr="00FC5AB3" w:rsidRDefault="00C42D03" w:rsidP="00FC5AB3">
      <w:pPr>
        <w:spacing w:after="0" w:line="300" w:lineRule="auto"/>
        <w:contextualSpacing/>
        <w:jc w:val="both"/>
        <w:rPr>
          <w:rFonts w:ascii="Arial" w:hAnsi="Arial" w:cs="Arial"/>
        </w:rPr>
      </w:pPr>
      <w:r w:rsidRPr="1F19A075">
        <w:rPr>
          <w:rFonts w:ascii="Arial" w:hAnsi="Arial" w:cs="Arial"/>
        </w:rPr>
        <w:t>KPMG’nin raporuna göre a</w:t>
      </w:r>
      <w:r w:rsidR="00FC5AB3" w:rsidRPr="1F19A075">
        <w:rPr>
          <w:rFonts w:ascii="Arial" w:hAnsi="Arial" w:cs="Arial"/>
        </w:rPr>
        <w:t xml:space="preserve">ktif </w:t>
      </w:r>
      <w:r w:rsidRPr="1F19A075">
        <w:rPr>
          <w:rFonts w:ascii="Arial" w:hAnsi="Arial" w:cs="Arial"/>
        </w:rPr>
        <w:t>b</w:t>
      </w:r>
      <w:r w:rsidR="00FC5AB3" w:rsidRPr="1F19A075">
        <w:rPr>
          <w:rFonts w:ascii="Arial" w:hAnsi="Arial" w:cs="Arial"/>
        </w:rPr>
        <w:t xml:space="preserve">üyüklüğüne </w:t>
      </w:r>
      <w:r w:rsidRPr="1F19A075">
        <w:rPr>
          <w:rFonts w:ascii="Arial" w:hAnsi="Arial" w:cs="Arial"/>
        </w:rPr>
        <w:t>g</w:t>
      </w:r>
      <w:r w:rsidR="00FC5AB3" w:rsidRPr="1F19A075">
        <w:rPr>
          <w:rFonts w:ascii="Arial" w:hAnsi="Arial" w:cs="Arial"/>
        </w:rPr>
        <w:t xml:space="preserve">öre </w:t>
      </w:r>
      <w:r w:rsidRPr="1F19A075">
        <w:rPr>
          <w:rFonts w:ascii="Arial" w:hAnsi="Arial" w:cs="Arial"/>
        </w:rPr>
        <w:t>ülkemizdeki s</w:t>
      </w:r>
      <w:r w:rsidR="00FC5AB3" w:rsidRPr="1F19A075">
        <w:rPr>
          <w:rFonts w:ascii="Arial" w:hAnsi="Arial" w:cs="Arial"/>
        </w:rPr>
        <w:t xml:space="preserve">igorta </w:t>
      </w:r>
      <w:r w:rsidRPr="1F19A075">
        <w:rPr>
          <w:rFonts w:ascii="Arial" w:hAnsi="Arial" w:cs="Arial"/>
        </w:rPr>
        <w:t xml:space="preserve">şirketlerinin sıralaması ise şu şekilde oldu. </w:t>
      </w:r>
      <w:r w:rsidR="00FC5AB3" w:rsidRPr="1F19A075">
        <w:rPr>
          <w:rFonts w:ascii="Arial" w:hAnsi="Arial" w:cs="Arial"/>
        </w:rPr>
        <w:t>(Milyar TL)</w:t>
      </w:r>
    </w:p>
    <w:p w14:paraId="5B490A87" w14:textId="65ABD5BC" w:rsidR="00912EF3" w:rsidRDefault="00912EF3" w:rsidP="008F31BC">
      <w:pPr>
        <w:spacing w:after="0" w:line="300" w:lineRule="auto"/>
        <w:jc w:val="both"/>
        <w:rPr>
          <w:rFonts w:ascii="Arial" w:hAnsi="Arial" w:cs="Arial"/>
        </w:rPr>
      </w:pPr>
    </w:p>
    <w:tbl>
      <w:tblPr>
        <w:tblStyle w:val="TabloKlavuzu"/>
        <w:tblW w:w="9298" w:type="dxa"/>
        <w:tblLook w:val="04A0" w:firstRow="1" w:lastRow="0" w:firstColumn="1" w:lastColumn="0" w:noHBand="0" w:noVBand="1"/>
      </w:tblPr>
      <w:tblGrid>
        <w:gridCol w:w="3964"/>
        <w:gridCol w:w="2313"/>
        <w:gridCol w:w="3021"/>
      </w:tblGrid>
      <w:tr w:rsidR="008F31BC" w14:paraId="5D63DD39" w14:textId="77777777" w:rsidTr="00706D99">
        <w:tc>
          <w:tcPr>
            <w:tcW w:w="3964" w:type="dxa"/>
          </w:tcPr>
          <w:p w14:paraId="5364EF9D" w14:textId="6AEFBCF9" w:rsidR="008F31BC" w:rsidRPr="008F31BC" w:rsidRDefault="008F31BC" w:rsidP="008F31BC">
            <w:pPr>
              <w:spacing w:line="300" w:lineRule="auto"/>
              <w:rPr>
                <w:rFonts w:ascii="Arial" w:hAnsi="Arial" w:cs="Arial"/>
                <w:b/>
                <w:bCs/>
              </w:rPr>
            </w:pPr>
            <w:r w:rsidRPr="008F31BC">
              <w:rPr>
                <w:rFonts w:ascii="Arial" w:hAnsi="Arial" w:cs="Arial"/>
                <w:b/>
                <w:bCs/>
              </w:rPr>
              <w:t>Şirket</w:t>
            </w:r>
          </w:p>
        </w:tc>
        <w:tc>
          <w:tcPr>
            <w:tcW w:w="2313" w:type="dxa"/>
          </w:tcPr>
          <w:p w14:paraId="6249434F" w14:textId="3270FF3F" w:rsidR="008F31BC" w:rsidRPr="008F31BC" w:rsidRDefault="008F31BC" w:rsidP="008F31BC">
            <w:pPr>
              <w:spacing w:line="300" w:lineRule="auto"/>
              <w:rPr>
                <w:rFonts w:ascii="Arial" w:hAnsi="Arial" w:cs="Arial"/>
                <w:b/>
                <w:bCs/>
              </w:rPr>
            </w:pPr>
            <w:r w:rsidRPr="008F31BC">
              <w:rPr>
                <w:rFonts w:ascii="Arial" w:hAnsi="Arial" w:cs="Arial"/>
                <w:b/>
                <w:bCs/>
              </w:rPr>
              <w:t>Aktif Büyüklük</w:t>
            </w:r>
          </w:p>
        </w:tc>
        <w:tc>
          <w:tcPr>
            <w:tcW w:w="3021" w:type="dxa"/>
          </w:tcPr>
          <w:p w14:paraId="2FA80F68" w14:textId="354170F3" w:rsidR="008F31BC" w:rsidRPr="008F31BC" w:rsidRDefault="008F31BC" w:rsidP="008F31BC">
            <w:pPr>
              <w:spacing w:line="300" w:lineRule="auto"/>
              <w:rPr>
                <w:rFonts w:ascii="Arial" w:hAnsi="Arial" w:cs="Arial"/>
                <w:b/>
                <w:bCs/>
              </w:rPr>
            </w:pPr>
            <w:r w:rsidRPr="008F31BC">
              <w:rPr>
                <w:rFonts w:ascii="Arial" w:hAnsi="Arial" w:cs="Arial"/>
                <w:b/>
                <w:bCs/>
              </w:rPr>
              <w:t>Pay</w:t>
            </w:r>
          </w:p>
        </w:tc>
      </w:tr>
      <w:tr w:rsidR="008F31BC" w14:paraId="3D31B8F0" w14:textId="77777777" w:rsidTr="00706D99">
        <w:tc>
          <w:tcPr>
            <w:tcW w:w="3964" w:type="dxa"/>
          </w:tcPr>
          <w:p w14:paraId="5B2AC8BE" w14:textId="3C461087" w:rsidR="008F31BC" w:rsidRPr="00706D99" w:rsidRDefault="008F31BC" w:rsidP="008F31BC">
            <w:pPr>
              <w:spacing w:line="300" w:lineRule="auto"/>
              <w:jc w:val="both"/>
              <w:rPr>
                <w:rFonts w:ascii="Arial" w:hAnsi="Arial" w:cs="Arial"/>
              </w:rPr>
            </w:pPr>
            <w:r w:rsidRPr="00706D99">
              <w:rPr>
                <w:rFonts w:ascii="Arial" w:hAnsi="Arial" w:cs="Arial"/>
              </w:rPr>
              <w:t>Türkiye Hayat ve Emeklilik AŞ</w:t>
            </w:r>
          </w:p>
        </w:tc>
        <w:tc>
          <w:tcPr>
            <w:tcW w:w="2313" w:type="dxa"/>
          </w:tcPr>
          <w:p w14:paraId="13641697" w14:textId="25AEE253" w:rsidR="008F31BC" w:rsidRPr="00706D99" w:rsidRDefault="008F31BC" w:rsidP="008F31BC">
            <w:pPr>
              <w:spacing w:line="300" w:lineRule="auto"/>
              <w:jc w:val="both"/>
              <w:rPr>
                <w:rFonts w:ascii="Arial" w:hAnsi="Arial" w:cs="Arial"/>
              </w:rPr>
            </w:pPr>
            <w:r w:rsidRPr="00706D99">
              <w:rPr>
                <w:rFonts w:ascii="Arial" w:hAnsi="Arial" w:cs="Arial"/>
              </w:rPr>
              <w:t>61,51</w:t>
            </w:r>
          </w:p>
        </w:tc>
        <w:tc>
          <w:tcPr>
            <w:tcW w:w="3021" w:type="dxa"/>
          </w:tcPr>
          <w:p w14:paraId="01C3521C" w14:textId="46C3A59D" w:rsidR="008F31BC" w:rsidRPr="00706D99" w:rsidRDefault="00706D99" w:rsidP="008F31BC">
            <w:pPr>
              <w:spacing w:line="300" w:lineRule="auto"/>
              <w:jc w:val="both"/>
              <w:rPr>
                <w:rFonts w:ascii="Arial" w:hAnsi="Arial" w:cs="Arial"/>
              </w:rPr>
            </w:pPr>
            <w:r w:rsidRPr="00706D99">
              <w:rPr>
                <w:rFonts w:ascii="Arial" w:hAnsi="Arial" w:cs="Arial"/>
              </w:rPr>
              <w:t>%14,40</w:t>
            </w:r>
          </w:p>
        </w:tc>
      </w:tr>
      <w:tr w:rsidR="008F31BC" w14:paraId="5FA9CD69" w14:textId="77777777" w:rsidTr="00706D99">
        <w:tc>
          <w:tcPr>
            <w:tcW w:w="3964" w:type="dxa"/>
          </w:tcPr>
          <w:p w14:paraId="3790B4F1" w14:textId="021CD1D4" w:rsidR="008F31BC" w:rsidRPr="00706D99" w:rsidRDefault="008F31BC" w:rsidP="008F31BC">
            <w:pPr>
              <w:spacing w:line="300" w:lineRule="auto"/>
              <w:jc w:val="both"/>
              <w:rPr>
                <w:rFonts w:ascii="Arial" w:hAnsi="Arial" w:cs="Arial"/>
              </w:rPr>
            </w:pPr>
            <w:r w:rsidRPr="00706D99">
              <w:rPr>
                <w:rFonts w:ascii="Arial" w:hAnsi="Arial" w:cs="Arial"/>
              </w:rPr>
              <w:t>Anadolu Hayat Emeklilik AŞ</w:t>
            </w:r>
          </w:p>
        </w:tc>
        <w:tc>
          <w:tcPr>
            <w:tcW w:w="2313" w:type="dxa"/>
          </w:tcPr>
          <w:p w14:paraId="457A65A8" w14:textId="0B85C1B2" w:rsidR="008F31BC" w:rsidRPr="00706D99" w:rsidRDefault="008F31BC" w:rsidP="008F31BC">
            <w:pPr>
              <w:spacing w:line="300" w:lineRule="auto"/>
              <w:jc w:val="both"/>
              <w:rPr>
                <w:rFonts w:ascii="Arial" w:hAnsi="Arial" w:cs="Arial"/>
              </w:rPr>
            </w:pPr>
            <w:r w:rsidRPr="00706D99">
              <w:rPr>
                <w:rFonts w:ascii="Arial" w:hAnsi="Arial" w:cs="Arial"/>
              </w:rPr>
              <w:t>51,46</w:t>
            </w:r>
          </w:p>
        </w:tc>
        <w:tc>
          <w:tcPr>
            <w:tcW w:w="3021" w:type="dxa"/>
          </w:tcPr>
          <w:p w14:paraId="039AAB49" w14:textId="12F4F4B2" w:rsidR="008F31BC" w:rsidRPr="00706D99" w:rsidRDefault="00706D99" w:rsidP="008F31BC">
            <w:pPr>
              <w:spacing w:line="300" w:lineRule="auto"/>
              <w:jc w:val="both"/>
              <w:rPr>
                <w:rFonts w:ascii="Arial" w:hAnsi="Arial" w:cs="Arial"/>
              </w:rPr>
            </w:pPr>
            <w:r w:rsidRPr="00706D99">
              <w:rPr>
                <w:rFonts w:ascii="Arial" w:hAnsi="Arial" w:cs="Arial"/>
              </w:rPr>
              <w:t>%12,05</w:t>
            </w:r>
          </w:p>
        </w:tc>
      </w:tr>
      <w:tr w:rsidR="008F31BC" w14:paraId="68160A2B" w14:textId="77777777" w:rsidTr="00706D99">
        <w:tc>
          <w:tcPr>
            <w:tcW w:w="3964" w:type="dxa"/>
          </w:tcPr>
          <w:p w14:paraId="103A1056" w14:textId="201F0041" w:rsidR="008F31BC" w:rsidRPr="00706D99" w:rsidRDefault="008F31BC" w:rsidP="008F31BC">
            <w:pPr>
              <w:spacing w:line="300" w:lineRule="auto"/>
              <w:jc w:val="both"/>
              <w:rPr>
                <w:rFonts w:ascii="Arial" w:hAnsi="Arial" w:cs="Arial"/>
              </w:rPr>
            </w:pPr>
            <w:r w:rsidRPr="00706D99">
              <w:rPr>
                <w:rFonts w:ascii="Arial" w:hAnsi="Arial" w:cs="Arial"/>
              </w:rPr>
              <w:t>AgeSA Emeklilik ve Hayat AŞ</w:t>
            </w:r>
          </w:p>
        </w:tc>
        <w:tc>
          <w:tcPr>
            <w:tcW w:w="2313" w:type="dxa"/>
          </w:tcPr>
          <w:p w14:paraId="1E9168E5" w14:textId="120212CC" w:rsidR="008F31BC" w:rsidRPr="00706D99" w:rsidRDefault="008F31BC" w:rsidP="008F31BC">
            <w:pPr>
              <w:spacing w:line="300" w:lineRule="auto"/>
              <w:jc w:val="both"/>
              <w:rPr>
                <w:rFonts w:ascii="Arial" w:hAnsi="Arial" w:cs="Arial"/>
              </w:rPr>
            </w:pPr>
            <w:r w:rsidRPr="00706D99">
              <w:rPr>
                <w:rFonts w:ascii="Arial" w:hAnsi="Arial" w:cs="Arial"/>
              </w:rPr>
              <w:t>50,22</w:t>
            </w:r>
          </w:p>
        </w:tc>
        <w:tc>
          <w:tcPr>
            <w:tcW w:w="3021" w:type="dxa"/>
          </w:tcPr>
          <w:p w14:paraId="4B71CEC4" w14:textId="33A7D49C" w:rsidR="008F31BC" w:rsidRPr="00706D99" w:rsidRDefault="00706D99" w:rsidP="008F31BC">
            <w:pPr>
              <w:spacing w:line="300" w:lineRule="auto"/>
              <w:jc w:val="both"/>
              <w:rPr>
                <w:rFonts w:ascii="Arial" w:hAnsi="Arial" w:cs="Arial"/>
              </w:rPr>
            </w:pPr>
            <w:r w:rsidRPr="00706D99">
              <w:rPr>
                <w:rFonts w:ascii="Arial" w:hAnsi="Arial" w:cs="Arial"/>
              </w:rPr>
              <w:t>%11,76</w:t>
            </w:r>
          </w:p>
        </w:tc>
      </w:tr>
      <w:tr w:rsidR="008F31BC" w14:paraId="3A6D54B2" w14:textId="77777777" w:rsidTr="00706D99">
        <w:tc>
          <w:tcPr>
            <w:tcW w:w="3964" w:type="dxa"/>
          </w:tcPr>
          <w:p w14:paraId="30911313" w14:textId="45602B4A" w:rsidR="008F31BC" w:rsidRPr="00706D99" w:rsidRDefault="008F31BC" w:rsidP="008F31BC">
            <w:pPr>
              <w:spacing w:line="300" w:lineRule="auto"/>
              <w:jc w:val="both"/>
              <w:rPr>
                <w:rFonts w:ascii="Arial" w:hAnsi="Arial" w:cs="Arial"/>
              </w:rPr>
            </w:pPr>
            <w:r w:rsidRPr="00706D99">
              <w:rPr>
                <w:rFonts w:ascii="Arial" w:hAnsi="Arial" w:cs="Arial"/>
              </w:rPr>
              <w:t>Allianz Yaşam ve Emeklilik AŞ</w:t>
            </w:r>
          </w:p>
        </w:tc>
        <w:tc>
          <w:tcPr>
            <w:tcW w:w="2313" w:type="dxa"/>
          </w:tcPr>
          <w:p w14:paraId="4895989E" w14:textId="767C6299" w:rsidR="008F31BC" w:rsidRPr="00706D99" w:rsidRDefault="008F31BC" w:rsidP="008F31BC">
            <w:pPr>
              <w:spacing w:line="300" w:lineRule="auto"/>
              <w:jc w:val="both"/>
              <w:rPr>
                <w:rFonts w:ascii="Arial" w:hAnsi="Arial" w:cs="Arial"/>
              </w:rPr>
            </w:pPr>
            <w:r w:rsidRPr="00706D99">
              <w:rPr>
                <w:rFonts w:ascii="Arial" w:hAnsi="Arial" w:cs="Arial"/>
              </w:rPr>
              <w:t>37,38</w:t>
            </w:r>
          </w:p>
        </w:tc>
        <w:tc>
          <w:tcPr>
            <w:tcW w:w="3021" w:type="dxa"/>
          </w:tcPr>
          <w:p w14:paraId="2E0CC1A3" w14:textId="72E573BE" w:rsidR="008F31BC" w:rsidRPr="00706D99" w:rsidRDefault="00706D99" w:rsidP="008F31BC">
            <w:pPr>
              <w:spacing w:line="300" w:lineRule="auto"/>
              <w:jc w:val="both"/>
              <w:rPr>
                <w:rFonts w:ascii="Arial" w:hAnsi="Arial" w:cs="Arial"/>
              </w:rPr>
            </w:pPr>
            <w:r w:rsidRPr="00706D99">
              <w:rPr>
                <w:rFonts w:ascii="Arial" w:hAnsi="Arial" w:cs="Arial"/>
              </w:rPr>
              <w:t>%8,75</w:t>
            </w:r>
          </w:p>
        </w:tc>
      </w:tr>
      <w:tr w:rsidR="008F31BC" w14:paraId="60D8297B" w14:textId="77777777" w:rsidTr="00706D99">
        <w:tc>
          <w:tcPr>
            <w:tcW w:w="3964" w:type="dxa"/>
          </w:tcPr>
          <w:p w14:paraId="0F56F946" w14:textId="2611BECD" w:rsidR="008F31BC" w:rsidRPr="00706D99" w:rsidRDefault="008F31BC" w:rsidP="008F31BC">
            <w:pPr>
              <w:spacing w:line="300" w:lineRule="auto"/>
              <w:jc w:val="both"/>
              <w:rPr>
                <w:rFonts w:ascii="Arial" w:hAnsi="Arial" w:cs="Arial"/>
              </w:rPr>
            </w:pPr>
            <w:r w:rsidRPr="00706D99">
              <w:rPr>
                <w:rFonts w:ascii="Arial" w:hAnsi="Arial" w:cs="Arial"/>
              </w:rPr>
              <w:t>Garanti Emeklilik ve Hayat AŞ</w:t>
            </w:r>
          </w:p>
        </w:tc>
        <w:tc>
          <w:tcPr>
            <w:tcW w:w="2313" w:type="dxa"/>
          </w:tcPr>
          <w:p w14:paraId="16A5A648" w14:textId="083D95EE" w:rsidR="008F31BC" w:rsidRPr="00706D99" w:rsidRDefault="008F31BC" w:rsidP="008F31BC">
            <w:pPr>
              <w:spacing w:line="300" w:lineRule="auto"/>
              <w:jc w:val="both"/>
              <w:rPr>
                <w:rFonts w:ascii="Arial" w:hAnsi="Arial" w:cs="Arial"/>
              </w:rPr>
            </w:pPr>
            <w:r w:rsidRPr="00706D99">
              <w:rPr>
                <w:rFonts w:ascii="Arial" w:hAnsi="Arial" w:cs="Arial"/>
              </w:rPr>
              <w:t>36,42</w:t>
            </w:r>
          </w:p>
        </w:tc>
        <w:tc>
          <w:tcPr>
            <w:tcW w:w="3021" w:type="dxa"/>
          </w:tcPr>
          <w:p w14:paraId="6BE8E64E" w14:textId="36F25C5D" w:rsidR="008F31BC" w:rsidRPr="00706D99" w:rsidRDefault="00706D99" w:rsidP="008F31BC">
            <w:pPr>
              <w:spacing w:line="300" w:lineRule="auto"/>
              <w:jc w:val="both"/>
              <w:rPr>
                <w:rFonts w:ascii="Arial" w:hAnsi="Arial" w:cs="Arial"/>
              </w:rPr>
            </w:pPr>
            <w:r w:rsidRPr="00706D99">
              <w:rPr>
                <w:rFonts w:ascii="Arial" w:hAnsi="Arial" w:cs="Arial"/>
              </w:rPr>
              <w:t>%8,53</w:t>
            </w:r>
          </w:p>
        </w:tc>
      </w:tr>
      <w:tr w:rsidR="008F31BC" w14:paraId="78551D14" w14:textId="77777777" w:rsidTr="00706D99">
        <w:tc>
          <w:tcPr>
            <w:tcW w:w="3964" w:type="dxa"/>
          </w:tcPr>
          <w:p w14:paraId="5FBC4A4B" w14:textId="1E01EDFC" w:rsidR="008F31BC" w:rsidRPr="00706D99" w:rsidRDefault="008F31BC" w:rsidP="008F31BC">
            <w:pPr>
              <w:spacing w:line="300" w:lineRule="auto"/>
              <w:jc w:val="both"/>
              <w:rPr>
                <w:rFonts w:ascii="Arial" w:hAnsi="Arial" w:cs="Arial"/>
              </w:rPr>
            </w:pPr>
            <w:r w:rsidRPr="00706D99">
              <w:rPr>
                <w:rFonts w:ascii="Arial" w:hAnsi="Arial" w:cs="Arial"/>
              </w:rPr>
              <w:t>Anadolu Anonim Türk Sigorta Şirketi</w:t>
            </w:r>
          </w:p>
        </w:tc>
        <w:tc>
          <w:tcPr>
            <w:tcW w:w="2313" w:type="dxa"/>
          </w:tcPr>
          <w:p w14:paraId="557B0DB0" w14:textId="7073E02E" w:rsidR="008F31BC" w:rsidRPr="00706D99" w:rsidRDefault="008F31BC" w:rsidP="008F31BC">
            <w:pPr>
              <w:spacing w:line="300" w:lineRule="auto"/>
              <w:jc w:val="both"/>
              <w:rPr>
                <w:rFonts w:ascii="Arial" w:hAnsi="Arial" w:cs="Arial"/>
              </w:rPr>
            </w:pPr>
            <w:r w:rsidRPr="00706D99">
              <w:rPr>
                <w:rFonts w:ascii="Arial" w:hAnsi="Arial" w:cs="Arial"/>
              </w:rPr>
              <w:t>16,78</w:t>
            </w:r>
          </w:p>
        </w:tc>
        <w:tc>
          <w:tcPr>
            <w:tcW w:w="3021" w:type="dxa"/>
          </w:tcPr>
          <w:p w14:paraId="6CC90F19" w14:textId="33254B5E" w:rsidR="008F31BC" w:rsidRPr="00706D99" w:rsidRDefault="00706D99" w:rsidP="008F31BC">
            <w:pPr>
              <w:spacing w:line="300" w:lineRule="auto"/>
              <w:jc w:val="both"/>
              <w:rPr>
                <w:rFonts w:ascii="Arial" w:hAnsi="Arial" w:cs="Arial"/>
              </w:rPr>
            </w:pPr>
            <w:r w:rsidRPr="00706D99">
              <w:rPr>
                <w:rFonts w:ascii="Arial" w:hAnsi="Arial" w:cs="Arial"/>
              </w:rPr>
              <w:t>%3,93</w:t>
            </w:r>
          </w:p>
        </w:tc>
      </w:tr>
      <w:tr w:rsidR="008F31BC" w14:paraId="0538EFA3" w14:textId="77777777" w:rsidTr="00706D99">
        <w:tc>
          <w:tcPr>
            <w:tcW w:w="3964" w:type="dxa"/>
          </w:tcPr>
          <w:p w14:paraId="744970CA" w14:textId="06E07E1C" w:rsidR="008F31BC" w:rsidRPr="00706D99" w:rsidRDefault="008F31BC" w:rsidP="008F31BC">
            <w:pPr>
              <w:spacing w:line="300" w:lineRule="auto"/>
              <w:jc w:val="both"/>
              <w:rPr>
                <w:rFonts w:ascii="Arial" w:hAnsi="Arial" w:cs="Arial"/>
              </w:rPr>
            </w:pPr>
            <w:r w:rsidRPr="00706D99">
              <w:rPr>
                <w:rFonts w:ascii="Arial" w:hAnsi="Arial" w:cs="Arial"/>
              </w:rPr>
              <w:t>Allianz Sigorta AŞ</w:t>
            </w:r>
          </w:p>
        </w:tc>
        <w:tc>
          <w:tcPr>
            <w:tcW w:w="2313" w:type="dxa"/>
          </w:tcPr>
          <w:p w14:paraId="4078DE35" w14:textId="2EA1C11F" w:rsidR="008F31BC" w:rsidRPr="00706D99" w:rsidRDefault="00706D99" w:rsidP="008F31BC">
            <w:pPr>
              <w:spacing w:line="300" w:lineRule="auto"/>
              <w:jc w:val="both"/>
              <w:rPr>
                <w:rFonts w:ascii="Arial" w:hAnsi="Arial" w:cs="Arial"/>
              </w:rPr>
            </w:pPr>
            <w:r w:rsidRPr="00706D99">
              <w:rPr>
                <w:rFonts w:ascii="Arial" w:hAnsi="Arial" w:cs="Arial"/>
              </w:rPr>
              <w:t>15,89</w:t>
            </w:r>
          </w:p>
        </w:tc>
        <w:tc>
          <w:tcPr>
            <w:tcW w:w="3021" w:type="dxa"/>
          </w:tcPr>
          <w:p w14:paraId="77F17596" w14:textId="08595395" w:rsidR="008F31BC" w:rsidRPr="00706D99" w:rsidRDefault="00706D99" w:rsidP="008F31BC">
            <w:pPr>
              <w:spacing w:line="300" w:lineRule="auto"/>
              <w:jc w:val="both"/>
              <w:rPr>
                <w:rFonts w:ascii="Arial" w:hAnsi="Arial" w:cs="Arial"/>
              </w:rPr>
            </w:pPr>
            <w:r w:rsidRPr="00706D99">
              <w:rPr>
                <w:rFonts w:ascii="Arial" w:hAnsi="Arial" w:cs="Arial"/>
              </w:rPr>
              <w:t>%3,72</w:t>
            </w:r>
          </w:p>
        </w:tc>
      </w:tr>
      <w:tr w:rsidR="008F31BC" w14:paraId="341AF565" w14:textId="77777777" w:rsidTr="00706D99">
        <w:tc>
          <w:tcPr>
            <w:tcW w:w="3964" w:type="dxa"/>
          </w:tcPr>
          <w:p w14:paraId="7C61C90C" w14:textId="5ABE2097" w:rsidR="008F31BC" w:rsidRPr="00706D99" w:rsidRDefault="008F31BC" w:rsidP="008F31BC">
            <w:pPr>
              <w:spacing w:line="300" w:lineRule="auto"/>
              <w:jc w:val="both"/>
              <w:rPr>
                <w:rFonts w:ascii="Arial" w:hAnsi="Arial" w:cs="Arial"/>
              </w:rPr>
            </w:pPr>
            <w:r w:rsidRPr="00706D99">
              <w:rPr>
                <w:rFonts w:ascii="Arial" w:hAnsi="Arial" w:cs="Arial"/>
              </w:rPr>
              <w:t>Türkiye Sigorta AŞ</w:t>
            </w:r>
          </w:p>
        </w:tc>
        <w:tc>
          <w:tcPr>
            <w:tcW w:w="2313" w:type="dxa"/>
          </w:tcPr>
          <w:p w14:paraId="4E6AC4D3" w14:textId="0EE63897" w:rsidR="008F31BC" w:rsidRPr="00706D99" w:rsidRDefault="00706D99" w:rsidP="008F31BC">
            <w:pPr>
              <w:spacing w:line="300" w:lineRule="auto"/>
              <w:jc w:val="both"/>
              <w:rPr>
                <w:rFonts w:ascii="Arial" w:hAnsi="Arial" w:cs="Arial"/>
              </w:rPr>
            </w:pPr>
            <w:r w:rsidRPr="00706D99">
              <w:rPr>
                <w:rFonts w:ascii="Arial" w:hAnsi="Arial" w:cs="Arial"/>
              </w:rPr>
              <w:t>14,35</w:t>
            </w:r>
          </w:p>
        </w:tc>
        <w:tc>
          <w:tcPr>
            <w:tcW w:w="3021" w:type="dxa"/>
          </w:tcPr>
          <w:p w14:paraId="710DA90B" w14:textId="4301E5A0" w:rsidR="008F31BC" w:rsidRPr="00706D99" w:rsidRDefault="00706D99" w:rsidP="008F31BC">
            <w:pPr>
              <w:spacing w:line="300" w:lineRule="auto"/>
              <w:jc w:val="both"/>
              <w:rPr>
                <w:rFonts w:ascii="Arial" w:hAnsi="Arial" w:cs="Arial"/>
              </w:rPr>
            </w:pPr>
            <w:r w:rsidRPr="00706D99">
              <w:rPr>
                <w:rFonts w:ascii="Arial" w:hAnsi="Arial" w:cs="Arial"/>
              </w:rPr>
              <w:t>%3,36</w:t>
            </w:r>
          </w:p>
        </w:tc>
      </w:tr>
      <w:tr w:rsidR="008F31BC" w14:paraId="73461EF7" w14:textId="77777777" w:rsidTr="00706D99">
        <w:tc>
          <w:tcPr>
            <w:tcW w:w="3964" w:type="dxa"/>
          </w:tcPr>
          <w:p w14:paraId="6A4B44F7" w14:textId="67C74D9B" w:rsidR="008F31BC" w:rsidRPr="00706D99" w:rsidRDefault="008F31BC" w:rsidP="008F31BC">
            <w:pPr>
              <w:spacing w:line="300" w:lineRule="auto"/>
              <w:jc w:val="both"/>
              <w:rPr>
                <w:rFonts w:ascii="Arial" w:hAnsi="Arial" w:cs="Arial"/>
              </w:rPr>
            </w:pPr>
            <w:r w:rsidRPr="00706D99">
              <w:rPr>
                <w:rFonts w:ascii="Arial" w:hAnsi="Arial" w:cs="Arial"/>
              </w:rPr>
              <w:t>Axa Sigorta AŞ</w:t>
            </w:r>
          </w:p>
        </w:tc>
        <w:tc>
          <w:tcPr>
            <w:tcW w:w="2313" w:type="dxa"/>
          </w:tcPr>
          <w:p w14:paraId="64A1A054" w14:textId="31567B9B" w:rsidR="008F31BC" w:rsidRPr="00706D99" w:rsidRDefault="00706D99" w:rsidP="008F31BC">
            <w:pPr>
              <w:spacing w:line="300" w:lineRule="auto"/>
              <w:jc w:val="both"/>
              <w:rPr>
                <w:rFonts w:ascii="Arial" w:hAnsi="Arial" w:cs="Arial"/>
              </w:rPr>
            </w:pPr>
            <w:r w:rsidRPr="00706D99">
              <w:rPr>
                <w:rFonts w:ascii="Arial" w:hAnsi="Arial" w:cs="Arial"/>
              </w:rPr>
              <w:t>12,07</w:t>
            </w:r>
          </w:p>
        </w:tc>
        <w:tc>
          <w:tcPr>
            <w:tcW w:w="3021" w:type="dxa"/>
          </w:tcPr>
          <w:p w14:paraId="2790A63C" w14:textId="47F4A8AD" w:rsidR="008F31BC" w:rsidRPr="00706D99" w:rsidRDefault="00706D99" w:rsidP="008F31BC">
            <w:pPr>
              <w:spacing w:line="300" w:lineRule="auto"/>
              <w:jc w:val="both"/>
              <w:rPr>
                <w:rFonts w:ascii="Arial" w:hAnsi="Arial" w:cs="Arial"/>
              </w:rPr>
            </w:pPr>
            <w:r w:rsidRPr="00706D99">
              <w:rPr>
                <w:rFonts w:ascii="Arial" w:hAnsi="Arial" w:cs="Arial"/>
              </w:rPr>
              <w:t>%2,83</w:t>
            </w:r>
          </w:p>
        </w:tc>
      </w:tr>
      <w:tr w:rsidR="008F31BC" w14:paraId="0F6D6819" w14:textId="77777777" w:rsidTr="00706D99">
        <w:tc>
          <w:tcPr>
            <w:tcW w:w="3964" w:type="dxa"/>
          </w:tcPr>
          <w:p w14:paraId="10C1B588" w14:textId="25EB49F6" w:rsidR="008F31BC" w:rsidRPr="00706D99" w:rsidRDefault="008F31BC" w:rsidP="008F31BC">
            <w:pPr>
              <w:spacing w:line="300" w:lineRule="auto"/>
              <w:jc w:val="both"/>
              <w:rPr>
                <w:rFonts w:ascii="Arial" w:hAnsi="Arial" w:cs="Arial"/>
              </w:rPr>
            </w:pPr>
            <w:r w:rsidRPr="00706D99">
              <w:rPr>
                <w:rFonts w:ascii="Arial" w:hAnsi="Arial" w:cs="Arial"/>
              </w:rPr>
              <w:t>NN Hayat ve Emeklilik AŞ</w:t>
            </w:r>
          </w:p>
        </w:tc>
        <w:tc>
          <w:tcPr>
            <w:tcW w:w="2313" w:type="dxa"/>
          </w:tcPr>
          <w:p w14:paraId="725DD415" w14:textId="5F658A12" w:rsidR="008F31BC" w:rsidRPr="00706D99" w:rsidRDefault="00706D99" w:rsidP="008F31BC">
            <w:pPr>
              <w:spacing w:line="300" w:lineRule="auto"/>
              <w:jc w:val="both"/>
              <w:rPr>
                <w:rFonts w:ascii="Arial" w:hAnsi="Arial" w:cs="Arial"/>
              </w:rPr>
            </w:pPr>
            <w:r w:rsidRPr="00706D99">
              <w:rPr>
                <w:rFonts w:ascii="Arial" w:hAnsi="Arial" w:cs="Arial"/>
              </w:rPr>
              <w:t>8,99</w:t>
            </w:r>
          </w:p>
        </w:tc>
        <w:tc>
          <w:tcPr>
            <w:tcW w:w="3021" w:type="dxa"/>
          </w:tcPr>
          <w:p w14:paraId="149E13E1" w14:textId="423AA5BB" w:rsidR="008F31BC" w:rsidRPr="00706D99" w:rsidRDefault="00706D99" w:rsidP="008F31BC">
            <w:pPr>
              <w:spacing w:line="300" w:lineRule="auto"/>
              <w:jc w:val="both"/>
              <w:rPr>
                <w:rFonts w:ascii="Arial" w:hAnsi="Arial" w:cs="Arial"/>
              </w:rPr>
            </w:pPr>
            <w:r w:rsidRPr="00706D99">
              <w:rPr>
                <w:rFonts w:ascii="Arial" w:hAnsi="Arial" w:cs="Arial"/>
              </w:rPr>
              <w:t>%2,10</w:t>
            </w:r>
          </w:p>
        </w:tc>
      </w:tr>
      <w:tr w:rsidR="008F31BC" w14:paraId="2A40BE13" w14:textId="77777777" w:rsidTr="00706D99">
        <w:tc>
          <w:tcPr>
            <w:tcW w:w="3964" w:type="dxa"/>
          </w:tcPr>
          <w:p w14:paraId="66591423" w14:textId="677065EF" w:rsidR="008F31BC" w:rsidRPr="00706D99" w:rsidRDefault="008F31BC" w:rsidP="008F31BC">
            <w:pPr>
              <w:spacing w:line="300" w:lineRule="auto"/>
              <w:jc w:val="both"/>
              <w:rPr>
                <w:rFonts w:ascii="Arial" w:hAnsi="Arial" w:cs="Arial"/>
              </w:rPr>
            </w:pPr>
            <w:r w:rsidRPr="00706D99">
              <w:rPr>
                <w:rFonts w:ascii="Arial" w:hAnsi="Arial" w:cs="Arial"/>
              </w:rPr>
              <w:t>Genel Toplam (Tüm Şirketler)</w:t>
            </w:r>
          </w:p>
        </w:tc>
        <w:tc>
          <w:tcPr>
            <w:tcW w:w="2313" w:type="dxa"/>
          </w:tcPr>
          <w:p w14:paraId="02665E22" w14:textId="3AEE891B" w:rsidR="008F31BC" w:rsidRPr="00706D99" w:rsidRDefault="00706D99" w:rsidP="008F31BC">
            <w:pPr>
              <w:spacing w:line="300" w:lineRule="auto"/>
              <w:jc w:val="both"/>
              <w:rPr>
                <w:rFonts w:ascii="Arial" w:hAnsi="Arial" w:cs="Arial"/>
              </w:rPr>
            </w:pPr>
            <w:r w:rsidRPr="00706D99">
              <w:rPr>
                <w:rFonts w:ascii="Arial" w:hAnsi="Arial" w:cs="Arial"/>
              </w:rPr>
              <w:t>427,02</w:t>
            </w:r>
          </w:p>
        </w:tc>
        <w:tc>
          <w:tcPr>
            <w:tcW w:w="3021" w:type="dxa"/>
          </w:tcPr>
          <w:p w14:paraId="2C35E28B" w14:textId="0D4CF366" w:rsidR="008F31BC" w:rsidRPr="00F9029E" w:rsidRDefault="00706D99" w:rsidP="008F31BC">
            <w:pPr>
              <w:spacing w:line="300" w:lineRule="auto"/>
              <w:jc w:val="both"/>
              <w:rPr>
                <w:rFonts w:ascii="Arial" w:hAnsi="Arial" w:cs="Arial"/>
              </w:rPr>
            </w:pPr>
            <w:r w:rsidRPr="00F9029E">
              <w:rPr>
                <w:rFonts w:ascii="Arial" w:hAnsi="Arial" w:cs="Arial"/>
              </w:rPr>
              <w:t>%71,44</w:t>
            </w:r>
          </w:p>
        </w:tc>
      </w:tr>
    </w:tbl>
    <w:p w14:paraId="0C338556" w14:textId="77777777" w:rsidR="008F31BC" w:rsidRPr="008F31BC" w:rsidRDefault="008F31BC" w:rsidP="008F31BC">
      <w:pPr>
        <w:spacing w:after="0" w:line="300" w:lineRule="auto"/>
        <w:jc w:val="both"/>
        <w:rPr>
          <w:rFonts w:ascii="Arial" w:hAnsi="Arial" w:cs="Arial"/>
        </w:rPr>
      </w:pPr>
    </w:p>
    <w:p w14:paraId="28266002" w14:textId="00D061C1" w:rsidR="004A399D" w:rsidRPr="00BA1F99" w:rsidRDefault="004A399D" w:rsidP="00BA1F99">
      <w:pPr>
        <w:spacing w:after="0" w:line="300" w:lineRule="auto"/>
        <w:jc w:val="both"/>
        <w:rPr>
          <w:rFonts w:ascii="Arial" w:hAnsi="Arial" w:cs="Arial"/>
        </w:rPr>
      </w:pPr>
      <w:r w:rsidRPr="089774E9">
        <w:rPr>
          <w:rFonts w:ascii="Arial" w:hAnsi="Arial" w:cs="Arial"/>
        </w:rPr>
        <w:t xml:space="preserve">Raporun tamamına </w:t>
      </w:r>
      <w:hyperlink r:id="rId10">
        <w:r w:rsidRPr="089774E9">
          <w:rPr>
            <w:rStyle w:val="Kpr"/>
            <w:rFonts w:ascii="Arial" w:hAnsi="Arial" w:cs="Arial"/>
          </w:rPr>
          <w:t>buradan</w:t>
        </w:r>
      </w:hyperlink>
      <w:r w:rsidRPr="089774E9">
        <w:rPr>
          <w:rFonts w:ascii="Arial" w:hAnsi="Arial" w:cs="Arial"/>
        </w:rPr>
        <w:t xml:space="preserve"> ulaşabilirsiniz. </w:t>
      </w:r>
    </w:p>
    <w:p w14:paraId="1452D3B2" w14:textId="0C299C32" w:rsidR="00511A4F" w:rsidRDefault="00511A4F" w:rsidP="00FB099A">
      <w:pPr>
        <w:rPr>
          <w:rFonts w:ascii="Arial" w:hAnsi="Arial" w:cs="Arial"/>
        </w:rPr>
      </w:pPr>
    </w:p>
    <w:p w14:paraId="7BEB7218" w14:textId="77777777" w:rsidR="001B55F3" w:rsidRPr="001B55F3"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1B55F3">
        <w:rPr>
          <w:rStyle w:val="normaltextrun"/>
          <w:rFonts w:asciiTheme="minorHAnsi" w:hAnsiTheme="minorHAnsi" w:cstheme="minorHAnsi"/>
          <w:b/>
          <w:bCs/>
          <w:sz w:val="18"/>
          <w:szCs w:val="18"/>
        </w:rPr>
        <w:t xml:space="preserve">Bilgi için: </w:t>
      </w:r>
      <w:r w:rsidRPr="001B55F3">
        <w:rPr>
          <w:rStyle w:val="tabchar"/>
          <w:rFonts w:asciiTheme="minorHAnsi" w:hAnsiTheme="minorHAnsi" w:cstheme="minorHAnsi"/>
          <w:sz w:val="18"/>
          <w:szCs w:val="18"/>
        </w:rPr>
        <w:tab/>
      </w:r>
      <w:r w:rsidRPr="001B55F3">
        <w:rPr>
          <w:rStyle w:val="eop"/>
          <w:rFonts w:asciiTheme="minorHAnsi" w:hAnsiTheme="minorHAnsi" w:cstheme="minorHAnsi"/>
          <w:sz w:val="18"/>
          <w:szCs w:val="18"/>
        </w:rPr>
        <w:t> </w:t>
      </w:r>
    </w:p>
    <w:p w14:paraId="1284FF54" w14:textId="77777777" w:rsidR="001B55F3" w:rsidRPr="001B55F3"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1B55F3">
        <w:rPr>
          <w:rStyle w:val="normaltextrun"/>
          <w:rFonts w:asciiTheme="minorHAnsi" w:hAnsiTheme="minorHAnsi" w:cstheme="minorHAnsi"/>
          <w:color w:val="000000"/>
          <w:sz w:val="18"/>
          <w:szCs w:val="18"/>
        </w:rPr>
        <w:t>Ceren Moral Aru</w:t>
      </w:r>
      <w:r w:rsidRPr="001B55F3">
        <w:rPr>
          <w:rStyle w:val="eop"/>
          <w:rFonts w:asciiTheme="minorHAnsi" w:hAnsiTheme="minorHAnsi" w:cstheme="minorHAnsi"/>
          <w:color w:val="000000"/>
          <w:sz w:val="18"/>
          <w:szCs w:val="18"/>
        </w:rPr>
        <w:t> </w:t>
      </w:r>
    </w:p>
    <w:p w14:paraId="1343EFB1" w14:textId="77777777" w:rsidR="001B55F3" w:rsidRPr="001B55F3"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1B55F3">
        <w:rPr>
          <w:rStyle w:val="normaltextrun"/>
          <w:rFonts w:asciiTheme="minorHAnsi" w:hAnsiTheme="minorHAnsi" w:cstheme="minorHAnsi"/>
          <w:color w:val="000000"/>
          <w:sz w:val="18"/>
          <w:szCs w:val="18"/>
        </w:rPr>
        <w:t>0533 921 43 53</w:t>
      </w:r>
      <w:r w:rsidRPr="001B55F3">
        <w:rPr>
          <w:rStyle w:val="eop"/>
          <w:rFonts w:asciiTheme="minorHAnsi" w:hAnsiTheme="minorHAnsi" w:cstheme="minorHAnsi"/>
          <w:color w:val="000000"/>
          <w:sz w:val="18"/>
          <w:szCs w:val="18"/>
        </w:rPr>
        <w:t> </w:t>
      </w:r>
    </w:p>
    <w:p w14:paraId="304F194A" w14:textId="77777777" w:rsidR="001B55F3" w:rsidRPr="001B55F3"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1B55F3">
        <w:rPr>
          <w:rStyle w:val="normaltextrun"/>
          <w:rFonts w:asciiTheme="minorHAnsi" w:hAnsiTheme="minorHAnsi" w:cstheme="minorHAnsi"/>
          <w:color w:val="000000"/>
          <w:sz w:val="18"/>
          <w:szCs w:val="18"/>
        </w:rPr>
        <w:t>cerenm@marjinal.com.tr</w:t>
      </w:r>
      <w:r w:rsidRPr="001B55F3">
        <w:rPr>
          <w:rStyle w:val="eop"/>
          <w:rFonts w:asciiTheme="minorHAnsi" w:hAnsiTheme="minorHAnsi" w:cstheme="minorHAnsi"/>
          <w:color w:val="000000"/>
          <w:sz w:val="18"/>
          <w:szCs w:val="18"/>
        </w:rPr>
        <w:t> </w:t>
      </w:r>
    </w:p>
    <w:p w14:paraId="658A0A5E" w14:textId="77777777" w:rsidR="001B55F3" w:rsidRPr="001B55F3"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1B55F3">
        <w:rPr>
          <w:rStyle w:val="eop"/>
          <w:rFonts w:asciiTheme="minorHAnsi" w:hAnsiTheme="minorHAnsi" w:cstheme="minorHAnsi"/>
          <w:sz w:val="18"/>
          <w:szCs w:val="18"/>
        </w:rPr>
        <w:t> </w:t>
      </w:r>
    </w:p>
    <w:p w14:paraId="7BBC93DB" w14:textId="77777777" w:rsidR="001B55F3" w:rsidRPr="001B55F3"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1B55F3">
        <w:rPr>
          <w:rStyle w:val="normaltextrun"/>
          <w:rFonts w:asciiTheme="minorHAnsi" w:hAnsiTheme="minorHAnsi" w:cstheme="minorHAnsi"/>
          <w:b/>
          <w:bCs/>
          <w:sz w:val="18"/>
          <w:szCs w:val="18"/>
          <w:u w:val="single"/>
        </w:rPr>
        <w:t>KPMG Hakkında</w:t>
      </w:r>
      <w:r w:rsidRPr="001B55F3">
        <w:rPr>
          <w:rStyle w:val="eop"/>
          <w:rFonts w:asciiTheme="minorHAnsi" w:hAnsiTheme="minorHAnsi" w:cstheme="minorHAnsi"/>
          <w:sz w:val="18"/>
          <w:szCs w:val="18"/>
        </w:rPr>
        <w:t> </w:t>
      </w:r>
    </w:p>
    <w:p w14:paraId="0C81455A" w14:textId="2859C4B0" w:rsidR="001B55F3" w:rsidRPr="001B55F3"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1B55F3">
        <w:rPr>
          <w:rStyle w:val="normaltextrun"/>
          <w:rFonts w:asciiTheme="minorHAnsi" w:hAnsiTheme="minorHAnsi" w:cstheme="minorHAnsi"/>
          <w:color w:val="000000"/>
          <w:sz w:val="18"/>
          <w:szCs w:val="18"/>
        </w:rPr>
        <w:t xml:space="preserve">KPMG, geçmişi 1867 yılına dayanan, üye firmalar ağı sistemiyle 145 ülkede 236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1.850 çalışanıyla her sektörden 4 binin üzerinde firmaya sektörler özelinde hizmet veriyor. 2020 yılında küresel ağın </w:t>
      </w:r>
      <w:r w:rsidRPr="001B55F3">
        <w:rPr>
          <w:rStyle w:val="spellingerror"/>
          <w:rFonts w:asciiTheme="minorHAnsi" w:hAnsiTheme="minorHAnsi" w:cstheme="minorHAnsi"/>
          <w:color w:val="000000"/>
          <w:sz w:val="18"/>
          <w:szCs w:val="18"/>
        </w:rPr>
        <w:t>Lighthouse</w:t>
      </w:r>
      <w:r w:rsidRPr="001B55F3">
        <w:rPr>
          <w:rStyle w:val="normaltextrun"/>
          <w:rFonts w:asciiTheme="minorHAnsi" w:hAnsiTheme="minorHAnsi" w:cstheme="minorHAnsi"/>
          <w:color w:val="000000"/>
          <w:sz w:val="18"/>
          <w:szCs w:val="18"/>
        </w:rPr>
        <w:t xml:space="preserve"> lisansını alarak yeni teknolojilerde dünyadaki mükemmeliyet merkezleri arasına giren KPMG Türkiye, müşterilerine değer yaratan çözümler sunuyor. Detaylı bilgi için </w:t>
      </w:r>
      <w:hyperlink r:id="rId11" w:tgtFrame="_blank" w:history="1">
        <w:r w:rsidRPr="001B55F3">
          <w:rPr>
            <w:rStyle w:val="normaltextrun"/>
            <w:rFonts w:asciiTheme="minorHAnsi" w:hAnsiTheme="minorHAnsi" w:cstheme="minorHAnsi"/>
            <w:color w:val="0563C1"/>
            <w:sz w:val="18"/>
            <w:szCs w:val="18"/>
            <w:u w:val="single"/>
          </w:rPr>
          <w:t>www.kpmg.com.tr</w:t>
        </w:r>
      </w:hyperlink>
      <w:r w:rsidRPr="001B55F3">
        <w:rPr>
          <w:rStyle w:val="normaltextrun"/>
          <w:rFonts w:asciiTheme="minorHAnsi" w:hAnsiTheme="minorHAnsi" w:cstheme="minorHAnsi"/>
          <w:color w:val="000000"/>
          <w:sz w:val="18"/>
          <w:szCs w:val="18"/>
        </w:rPr>
        <w:t> adresine başvurabilirsiniz.</w:t>
      </w:r>
      <w:r w:rsidRPr="001B55F3">
        <w:rPr>
          <w:rStyle w:val="eop"/>
          <w:rFonts w:asciiTheme="minorHAnsi" w:hAnsiTheme="minorHAnsi" w:cstheme="minorHAnsi"/>
          <w:color w:val="000000"/>
          <w:sz w:val="18"/>
          <w:szCs w:val="18"/>
        </w:rPr>
        <w:t> </w:t>
      </w:r>
    </w:p>
    <w:p w14:paraId="4FC98D0C" w14:textId="77777777" w:rsidR="001B55F3" w:rsidRDefault="001B55F3" w:rsidP="004A399D">
      <w:pPr>
        <w:spacing w:after="0" w:line="240" w:lineRule="auto"/>
        <w:contextualSpacing/>
        <w:jc w:val="both"/>
        <w:rPr>
          <w:b/>
          <w:sz w:val="16"/>
          <w:szCs w:val="16"/>
          <w:u w:val="single"/>
        </w:rPr>
      </w:pPr>
    </w:p>
    <w:p w14:paraId="40A001FE" w14:textId="77777777" w:rsidR="001B55F3" w:rsidRDefault="001B55F3" w:rsidP="004A399D">
      <w:pPr>
        <w:spacing w:after="0" w:line="240" w:lineRule="auto"/>
        <w:contextualSpacing/>
        <w:jc w:val="both"/>
        <w:rPr>
          <w:b/>
          <w:sz w:val="16"/>
          <w:szCs w:val="16"/>
          <w:u w:val="single"/>
        </w:rPr>
      </w:pPr>
    </w:p>
    <w:p w14:paraId="3359F04C" w14:textId="77777777" w:rsidR="00D322B8" w:rsidRPr="000C46F9" w:rsidRDefault="00D322B8" w:rsidP="00FB099A">
      <w:pPr>
        <w:rPr>
          <w:rFonts w:ascii="Arial" w:hAnsi="Arial" w:cs="Arial"/>
        </w:rPr>
      </w:pPr>
    </w:p>
    <w:p w14:paraId="62516F6D" w14:textId="77777777" w:rsidR="00511A4F" w:rsidRPr="000C46F9" w:rsidRDefault="00511A4F" w:rsidP="00FB099A">
      <w:pPr>
        <w:rPr>
          <w:rFonts w:ascii="Arial" w:hAnsi="Arial" w:cs="Arial"/>
        </w:rPr>
      </w:pPr>
    </w:p>
    <w:p w14:paraId="2699C430" w14:textId="2F228AE0" w:rsidR="00AD1559" w:rsidRPr="000C46F9" w:rsidRDefault="00AD1559" w:rsidP="0097526A">
      <w:pPr>
        <w:pStyle w:val="chrome"/>
        <w:shd w:val="clear" w:color="auto" w:fill="FFFFFF"/>
        <w:spacing w:before="0" w:beforeAutospacing="0" w:after="0" w:afterAutospacing="0"/>
        <w:textAlignment w:val="baseline"/>
        <w:rPr>
          <w:rFonts w:ascii="Arial" w:hAnsi="Arial" w:cs="Arial"/>
          <w:color w:val="333333"/>
          <w:sz w:val="22"/>
          <w:szCs w:val="22"/>
        </w:rPr>
      </w:pPr>
    </w:p>
    <w:p w14:paraId="6C7DDD1E" w14:textId="3398AD21" w:rsidR="00376CAF" w:rsidRPr="000C46F9" w:rsidRDefault="00376CAF" w:rsidP="00FB099A">
      <w:pPr>
        <w:rPr>
          <w:rFonts w:ascii="Arial" w:eastAsia="Times New Roman" w:hAnsi="Arial" w:cs="Arial"/>
          <w:color w:val="000000"/>
        </w:rPr>
      </w:pPr>
    </w:p>
    <w:p w14:paraId="2AB1866D" w14:textId="1B96F09F" w:rsidR="00376CAF" w:rsidRPr="000C46F9" w:rsidRDefault="00376CAF" w:rsidP="00376CAF">
      <w:pPr>
        <w:rPr>
          <w:rFonts w:ascii="Arial" w:hAnsi="Arial" w:cs="Arial"/>
        </w:rPr>
      </w:pPr>
    </w:p>
    <w:sectPr w:rsidR="00376CAF" w:rsidRPr="000C46F9" w:rsidSect="00D322B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AEF1" w14:textId="77777777" w:rsidR="002004FC" w:rsidRDefault="002004FC" w:rsidP="00D322B8">
      <w:pPr>
        <w:spacing w:after="0" w:line="240" w:lineRule="auto"/>
      </w:pPr>
      <w:r>
        <w:separator/>
      </w:r>
    </w:p>
  </w:endnote>
  <w:endnote w:type="continuationSeparator" w:id="0">
    <w:p w14:paraId="6EA65791" w14:textId="77777777" w:rsidR="002004FC" w:rsidRDefault="002004FC" w:rsidP="00D322B8">
      <w:pPr>
        <w:spacing w:after="0" w:line="240" w:lineRule="auto"/>
      </w:pPr>
      <w:r>
        <w:continuationSeparator/>
      </w:r>
    </w:p>
  </w:endnote>
  <w:endnote w:type="continuationNotice" w:id="1">
    <w:p w14:paraId="35BEF02D" w14:textId="77777777" w:rsidR="002004FC" w:rsidRDefault="00200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B702" w14:textId="77777777" w:rsidR="000F0B71" w:rsidRDefault="000F0B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B276" w14:textId="77777777" w:rsidR="002004FC" w:rsidRDefault="002004FC" w:rsidP="00D322B8">
      <w:pPr>
        <w:spacing w:after="0" w:line="240" w:lineRule="auto"/>
      </w:pPr>
      <w:r>
        <w:separator/>
      </w:r>
    </w:p>
  </w:footnote>
  <w:footnote w:type="continuationSeparator" w:id="0">
    <w:p w14:paraId="5EFD3368" w14:textId="77777777" w:rsidR="002004FC" w:rsidRDefault="002004FC" w:rsidP="00D322B8">
      <w:pPr>
        <w:spacing w:after="0" w:line="240" w:lineRule="auto"/>
      </w:pPr>
      <w:r>
        <w:continuationSeparator/>
      </w:r>
    </w:p>
  </w:footnote>
  <w:footnote w:type="continuationNotice" w:id="1">
    <w:p w14:paraId="426629E2" w14:textId="77777777" w:rsidR="002004FC" w:rsidRDefault="002004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A12" w14:textId="4EEF8F9A" w:rsidR="00D322B8" w:rsidRDefault="00D322B8">
    <w:pPr>
      <w:pStyle w:val="stBilgi"/>
    </w:pPr>
    <w:r w:rsidRPr="009A4977">
      <w:rPr>
        <w:rFonts w:ascii="Tahoma" w:hAnsi="Tahoma" w:cs="Tahoma"/>
        <w:noProof/>
        <w:lang w:eastAsia="tr-TR"/>
      </w:rPr>
      <w:drawing>
        <wp:anchor distT="0" distB="0" distL="114300" distR="114300" simplePos="0" relativeHeight="251659264" behindDoc="0" locked="0" layoutInCell="1" hidden="0" allowOverlap="1" wp14:anchorId="5764EE0C" wp14:editId="7D305421">
          <wp:simplePos x="0" y="0"/>
          <wp:positionH relativeFrom="column">
            <wp:posOffset>-158750</wp:posOffset>
          </wp:positionH>
          <wp:positionV relativeFrom="paragraph">
            <wp:posOffset>-248285</wp:posOffset>
          </wp:positionV>
          <wp:extent cx="1057275" cy="4445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B70"/>
    <w:multiLevelType w:val="hybridMultilevel"/>
    <w:tmpl w:val="DF9E6F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32588A"/>
    <w:multiLevelType w:val="hybridMultilevel"/>
    <w:tmpl w:val="3B441F80"/>
    <w:lvl w:ilvl="0" w:tplc="36444AA6">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FB52FD"/>
    <w:multiLevelType w:val="hybridMultilevel"/>
    <w:tmpl w:val="F5F09F5A"/>
    <w:lvl w:ilvl="0" w:tplc="F0F442EE">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08422C"/>
    <w:multiLevelType w:val="hybridMultilevel"/>
    <w:tmpl w:val="42AC419E"/>
    <w:lvl w:ilvl="0" w:tplc="61846716">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674BD1"/>
    <w:multiLevelType w:val="hybridMultilevel"/>
    <w:tmpl w:val="C1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287243">
    <w:abstractNumId w:val="1"/>
  </w:num>
  <w:num w:numId="2" w16cid:durableId="1594164599">
    <w:abstractNumId w:val="3"/>
  </w:num>
  <w:num w:numId="3" w16cid:durableId="1294480488">
    <w:abstractNumId w:val="2"/>
  </w:num>
  <w:num w:numId="4" w16cid:durableId="1681927942">
    <w:abstractNumId w:val="4"/>
  </w:num>
  <w:num w:numId="5" w16cid:durableId="6476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9A"/>
    <w:rsid w:val="000271D2"/>
    <w:rsid w:val="000357D1"/>
    <w:rsid w:val="000859AF"/>
    <w:rsid w:val="000C46F9"/>
    <w:rsid w:val="000F0B71"/>
    <w:rsid w:val="001007D9"/>
    <w:rsid w:val="00113973"/>
    <w:rsid w:val="0013228F"/>
    <w:rsid w:val="00137590"/>
    <w:rsid w:val="0017112D"/>
    <w:rsid w:val="00190920"/>
    <w:rsid w:val="001B55F3"/>
    <w:rsid w:val="002004FC"/>
    <w:rsid w:val="00202FA3"/>
    <w:rsid w:val="002C1784"/>
    <w:rsid w:val="002C69A1"/>
    <w:rsid w:val="002E1634"/>
    <w:rsid w:val="00320E15"/>
    <w:rsid w:val="00376117"/>
    <w:rsid w:val="00376CAF"/>
    <w:rsid w:val="003C439A"/>
    <w:rsid w:val="003F5B88"/>
    <w:rsid w:val="004136C3"/>
    <w:rsid w:val="004A399D"/>
    <w:rsid w:val="00501047"/>
    <w:rsid w:val="00511A4F"/>
    <w:rsid w:val="005A0087"/>
    <w:rsid w:val="005C2E52"/>
    <w:rsid w:val="005E0700"/>
    <w:rsid w:val="005F0E8D"/>
    <w:rsid w:val="00614992"/>
    <w:rsid w:val="00664709"/>
    <w:rsid w:val="00691774"/>
    <w:rsid w:val="00693178"/>
    <w:rsid w:val="006B46D0"/>
    <w:rsid w:val="006C764C"/>
    <w:rsid w:val="00706D99"/>
    <w:rsid w:val="00737D9D"/>
    <w:rsid w:val="00745D55"/>
    <w:rsid w:val="007B007F"/>
    <w:rsid w:val="007D16C4"/>
    <w:rsid w:val="007D3441"/>
    <w:rsid w:val="007F7017"/>
    <w:rsid w:val="00812B22"/>
    <w:rsid w:val="008D3988"/>
    <w:rsid w:val="008F31BC"/>
    <w:rsid w:val="009073F9"/>
    <w:rsid w:val="00912EF3"/>
    <w:rsid w:val="00917AD1"/>
    <w:rsid w:val="0093489B"/>
    <w:rsid w:val="00946E34"/>
    <w:rsid w:val="00955B7B"/>
    <w:rsid w:val="0097526A"/>
    <w:rsid w:val="00A02C7D"/>
    <w:rsid w:val="00A64F65"/>
    <w:rsid w:val="00A76CA9"/>
    <w:rsid w:val="00A97A31"/>
    <w:rsid w:val="00AD1559"/>
    <w:rsid w:val="00AD337D"/>
    <w:rsid w:val="00AF5D95"/>
    <w:rsid w:val="00B11717"/>
    <w:rsid w:val="00B90A10"/>
    <w:rsid w:val="00BA1F99"/>
    <w:rsid w:val="00BA2B2C"/>
    <w:rsid w:val="00BB0308"/>
    <w:rsid w:val="00BC72CA"/>
    <w:rsid w:val="00BD5E0A"/>
    <w:rsid w:val="00BE042F"/>
    <w:rsid w:val="00BF5F40"/>
    <w:rsid w:val="00C42D03"/>
    <w:rsid w:val="00C77633"/>
    <w:rsid w:val="00D16F7C"/>
    <w:rsid w:val="00D322B8"/>
    <w:rsid w:val="00D778F5"/>
    <w:rsid w:val="00D811CA"/>
    <w:rsid w:val="00DD02D5"/>
    <w:rsid w:val="00DD1909"/>
    <w:rsid w:val="00E533B4"/>
    <w:rsid w:val="00E73E62"/>
    <w:rsid w:val="00E95096"/>
    <w:rsid w:val="00F14548"/>
    <w:rsid w:val="00F43905"/>
    <w:rsid w:val="00F9029E"/>
    <w:rsid w:val="00FB099A"/>
    <w:rsid w:val="00FC5AB3"/>
    <w:rsid w:val="00FD3636"/>
    <w:rsid w:val="00FF7D9C"/>
    <w:rsid w:val="04A32E60"/>
    <w:rsid w:val="089774E9"/>
    <w:rsid w:val="0CCC2DFF"/>
    <w:rsid w:val="1677EFBD"/>
    <w:rsid w:val="1F19A075"/>
    <w:rsid w:val="5C042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E21"/>
  <w15:chartTrackingRefBased/>
  <w15:docId w15:val="{E76F4AA9-5752-416A-BAA5-E4D660B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202F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5D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D55"/>
    <w:rPr>
      <w:rFonts w:ascii="Segoe UI" w:hAnsi="Segoe UI" w:cs="Segoe UI"/>
      <w:sz w:val="18"/>
      <w:szCs w:val="18"/>
    </w:rPr>
  </w:style>
  <w:style w:type="paragraph" w:styleId="ListeParagraf">
    <w:name w:val="List Paragraph"/>
    <w:basedOn w:val="Normal"/>
    <w:uiPriority w:val="34"/>
    <w:qFormat/>
    <w:rsid w:val="00A97A31"/>
    <w:pPr>
      <w:ind w:left="720"/>
      <w:contextualSpacing/>
    </w:pPr>
  </w:style>
  <w:style w:type="paragraph" w:customStyle="1" w:styleId="chrome">
    <w:name w:val="chrome"/>
    <w:basedOn w:val="Normal"/>
    <w:rsid w:val="00A97A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26A"/>
    <w:rPr>
      <w:b/>
      <w:bCs/>
    </w:rPr>
  </w:style>
  <w:style w:type="paragraph" w:styleId="stBilgi">
    <w:name w:val="header"/>
    <w:basedOn w:val="Normal"/>
    <w:link w:val="stBilgiChar"/>
    <w:uiPriority w:val="99"/>
    <w:unhideWhenUsed/>
    <w:rsid w:val="00D322B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322B8"/>
  </w:style>
  <w:style w:type="paragraph" w:styleId="AltBilgi">
    <w:name w:val="footer"/>
    <w:basedOn w:val="Normal"/>
    <w:link w:val="AltBilgiChar"/>
    <w:uiPriority w:val="99"/>
    <w:unhideWhenUsed/>
    <w:rsid w:val="00D322B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322B8"/>
  </w:style>
  <w:style w:type="paragraph" w:styleId="Dzeltme">
    <w:name w:val="Revision"/>
    <w:hidden/>
    <w:uiPriority w:val="99"/>
    <w:semiHidden/>
    <w:rsid w:val="00D322B8"/>
    <w:pPr>
      <w:spacing w:after="0" w:line="240" w:lineRule="auto"/>
    </w:pPr>
  </w:style>
  <w:style w:type="character" w:styleId="Kpr">
    <w:name w:val="Hyperlink"/>
    <w:basedOn w:val="VarsaylanParagrafYazTipi"/>
    <w:uiPriority w:val="99"/>
    <w:unhideWhenUsed/>
    <w:rsid w:val="00D322B8"/>
    <w:rPr>
      <w:color w:val="0563C1" w:themeColor="hyperlink"/>
      <w:u w:val="single"/>
    </w:rPr>
  </w:style>
  <w:style w:type="character" w:customStyle="1" w:styleId="apple-converted-space">
    <w:name w:val="apple-converted-space"/>
    <w:basedOn w:val="VarsaylanParagrafYazTipi"/>
    <w:rsid w:val="00D322B8"/>
  </w:style>
  <w:style w:type="character" w:styleId="AklamaBavurusu">
    <w:name w:val="annotation reference"/>
    <w:basedOn w:val="VarsaylanParagrafYazTipi"/>
    <w:uiPriority w:val="99"/>
    <w:semiHidden/>
    <w:unhideWhenUsed/>
    <w:rsid w:val="00812B22"/>
    <w:rPr>
      <w:sz w:val="16"/>
      <w:szCs w:val="16"/>
    </w:rPr>
  </w:style>
  <w:style w:type="paragraph" w:styleId="AklamaMetni">
    <w:name w:val="annotation text"/>
    <w:basedOn w:val="Normal"/>
    <w:link w:val="AklamaMetniChar"/>
    <w:uiPriority w:val="99"/>
    <w:semiHidden/>
    <w:unhideWhenUsed/>
    <w:rsid w:val="00812B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2B22"/>
    <w:rPr>
      <w:sz w:val="20"/>
      <w:szCs w:val="20"/>
    </w:rPr>
  </w:style>
  <w:style w:type="paragraph" w:styleId="AklamaKonusu">
    <w:name w:val="annotation subject"/>
    <w:basedOn w:val="AklamaMetni"/>
    <w:next w:val="AklamaMetni"/>
    <w:link w:val="AklamaKonusuChar"/>
    <w:uiPriority w:val="99"/>
    <w:semiHidden/>
    <w:unhideWhenUsed/>
    <w:rsid w:val="00812B22"/>
    <w:rPr>
      <w:b/>
      <w:bCs/>
    </w:rPr>
  </w:style>
  <w:style w:type="character" w:customStyle="1" w:styleId="AklamaKonusuChar">
    <w:name w:val="Açıklama Konusu Char"/>
    <w:basedOn w:val="AklamaMetniChar"/>
    <w:link w:val="AklamaKonusu"/>
    <w:uiPriority w:val="99"/>
    <w:semiHidden/>
    <w:rsid w:val="00812B22"/>
    <w:rPr>
      <w:b/>
      <w:bCs/>
      <w:sz w:val="20"/>
      <w:szCs w:val="20"/>
    </w:rPr>
  </w:style>
  <w:style w:type="character" w:customStyle="1" w:styleId="UnresolvedMention1">
    <w:name w:val="Unresolved Mention1"/>
    <w:basedOn w:val="VarsaylanParagrafYazTipi"/>
    <w:uiPriority w:val="99"/>
    <w:semiHidden/>
    <w:unhideWhenUsed/>
    <w:rsid w:val="00BA1F99"/>
    <w:rPr>
      <w:color w:val="605E5C"/>
      <w:shd w:val="clear" w:color="auto" w:fill="E1DFDD"/>
    </w:rPr>
  </w:style>
  <w:style w:type="paragraph" w:customStyle="1" w:styleId="paragraph">
    <w:name w:val="paragraph"/>
    <w:basedOn w:val="Normal"/>
    <w:rsid w:val="001B5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1B55F3"/>
  </w:style>
  <w:style w:type="character" w:customStyle="1" w:styleId="tabchar">
    <w:name w:val="tabchar"/>
    <w:basedOn w:val="VarsaylanParagrafYazTipi"/>
    <w:rsid w:val="001B55F3"/>
  </w:style>
  <w:style w:type="character" w:customStyle="1" w:styleId="eop">
    <w:name w:val="eop"/>
    <w:basedOn w:val="VarsaylanParagrafYazTipi"/>
    <w:rsid w:val="001B55F3"/>
  </w:style>
  <w:style w:type="character" w:customStyle="1" w:styleId="spellingerror">
    <w:name w:val="spellingerror"/>
    <w:basedOn w:val="VarsaylanParagrafYazTipi"/>
    <w:rsid w:val="001B55F3"/>
  </w:style>
  <w:style w:type="character" w:styleId="zmlenmeyenBahsetme">
    <w:name w:val="Unresolved Mention"/>
    <w:basedOn w:val="VarsaylanParagrafYazTipi"/>
    <w:uiPriority w:val="99"/>
    <w:semiHidden/>
    <w:unhideWhenUsed/>
    <w:rsid w:val="001B55F3"/>
    <w:rPr>
      <w:color w:val="605E5C"/>
      <w:shd w:val="clear" w:color="auto" w:fill="E1DFDD"/>
    </w:rPr>
  </w:style>
  <w:style w:type="table" w:styleId="TabloKlavuzu">
    <w:name w:val="Table Grid"/>
    <w:basedOn w:val="NormalTablo"/>
    <w:uiPriority w:val="39"/>
    <w:rsid w:val="008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202FA3"/>
    <w:rPr>
      <w:rFonts w:asciiTheme="majorHAnsi" w:eastAsiaTheme="majorEastAsia" w:hAnsiTheme="majorHAnsi" w:cstheme="majorBidi"/>
      <w:color w:val="2F5496" w:themeColor="accent1" w:themeShade="BF"/>
      <w:sz w:val="26"/>
      <w:szCs w:val="26"/>
    </w:rPr>
  </w:style>
  <w:style w:type="character" w:styleId="zlenenKpr">
    <w:name w:val="FollowedHyperlink"/>
    <w:basedOn w:val="VarsaylanParagrafYazTipi"/>
    <w:uiPriority w:val="99"/>
    <w:semiHidden/>
    <w:unhideWhenUsed/>
    <w:rsid w:val="00202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274">
      <w:bodyDiv w:val="1"/>
      <w:marLeft w:val="0"/>
      <w:marRight w:val="0"/>
      <w:marTop w:val="0"/>
      <w:marBottom w:val="0"/>
      <w:divBdr>
        <w:top w:val="none" w:sz="0" w:space="0" w:color="auto"/>
        <w:left w:val="none" w:sz="0" w:space="0" w:color="auto"/>
        <w:bottom w:val="none" w:sz="0" w:space="0" w:color="auto"/>
        <w:right w:val="none" w:sz="0" w:space="0" w:color="auto"/>
      </w:divBdr>
    </w:div>
    <w:div w:id="467279409">
      <w:bodyDiv w:val="1"/>
      <w:marLeft w:val="0"/>
      <w:marRight w:val="0"/>
      <w:marTop w:val="0"/>
      <w:marBottom w:val="0"/>
      <w:divBdr>
        <w:top w:val="none" w:sz="0" w:space="0" w:color="auto"/>
        <w:left w:val="none" w:sz="0" w:space="0" w:color="auto"/>
        <w:bottom w:val="none" w:sz="0" w:space="0" w:color="auto"/>
        <w:right w:val="none" w:sz="0" w:space="0" w:color="auto"/>
      </w:divBdr>
    </w:div>
    <w:div w:id="745105014">
      <w:bodyDiv w:val="1"/>
      <w:marLeft w:val="0"/>
      <w:marRight w:val="0"/>
      <w:marTop w:val="0"/>
      <w:marBottom w:val="0"/>
      <w:divBdr>
        <w:top w:val="none" w:sz="0" w:space="0" w:color="auto"/>
        <w:left w:val="none" w:sz="0" w:space="0" w:color="auto"/>
        <w:bottom w:val="none" w:sz="0" w:space="0" w:color="auto"/>
        <w:right w:val="none" w:sz="0" w:space="0" w:color="auto"/>
      </w:divBdr>
    </w:div>
    <w:div w:id="752897020">
      <w:bodyDiv w:val="1"/>
      <w:marLeft w:val="0"/>
      <w:marRight w:val="0"/>
      <w:marTop w:val="0"/>
      <w:marBottom w:val="0"/>
      <w:divBdr>
        <w:top w:val="none" w:sz="0" w:space="0" w:color="auto"/>
        <w:left w:val="none" w:sz="0" w:space="0" w:color="auto"/>
        <w:bottom w:val="none" w:sz="0" w:space="0" w:color="auto"/>
        <w:right w:val="none" w:sz="0" w:space="0" w:color="auto"/>
      </w:divBdr>
    </w:div>
    <w:div w:id="1215122337">
      <w:bodyDiv w:val="1"/>
      <w:marLeft w:val="0"/>
      <w:marRight w:val="0"/>
      <w:marTop w:val="0"/>
      <w:marBottom w:val="0"/>
      <w:divBdr>
        <w:top w:val="none" w:sz="0" w:space="0" w:color="auto"/>
        <w:left w:val="none" w:sz="0" w:space="0" w:color="auto"/>
        <w:bottom w:val="none" w:sz="0" w:space="0" w:color="auto"/>
        <w:right w:val="none" w:sz="0" w:space="0" w:color="auto"/>
      </w:divBdr>
    </w:div>
    <w:div w:id="1218005910">
      <w:bodyDiv w:val="1"/>
      <w:marLeft w:val="0"/>
      <w:marRight w:val="0"/>
      <w:marTop w:val="0"/>
      <w:marBottom w:val="0"/>
      <w:divBdr>
        <w:top w:val="none" w:sz="0" w:space="0" w:color="auto"/>
        <w:left w:val="none" w:sz="0" w:space="0" w:color="auto"/>
        <w:bottom w:val="none" w:sz="0" w:space="0" w:color="auto"/>
        <w:right w:val="none" w:sz="0" w:space="0" w:color="auto"/>
      </w:divBdr>
    </w:div>
    <w:div w:id="1293905085">
      <w:bodyDiv w:val="1"/>
      <w:marLeft w:val="0"/>
      <w:marRight w:val="0"/>
      <w:marTop w:val="0"/>
      <w:marBottom w:val="0"/>
      <w:divBdr>
        <w:top w:val="none" w:sz="0" w:space="0" w:color="auto"/>
        <w:left w:val="none" w:sz="0" w:space="0" w:color="auto"/>
        <w:bottom w:val="none" w:sz="0" w:space="0" w:color="auto"/>
        <w:right w:val="none" w:sz="0" w:space="0" w:color="auto"/>
      </w:divBdr>
      <w:divsChild>
        <w:div w:id="2082099716">
          <w:marLeft w:val="0"/>
          <w:marRight w:val="0"/>
          <w:marTop w:val="0"/>
          <w:marBottom w:val="0"/>
          <w:divBdr>
            <w:top w:val="none" w:sz="0" w:space="0" w:color="auto"/>
            <w:left w:val="none" w:sz="0" w:space="0" w:color="auto"/>
            <w:bottom w:val="none" w:sz="0" w:space="0" w:color="auto"/>
            <w:right w:val="none" w:sz="0" w:space="0" w:color="auto"/>
          </w:divBdr>
        </w:div>
        <w:div w:id="238291473">
          <w:marLeft w:val="0"/>
          <w:marRight w:val="0"/>
          <w:marTop w:val="0"/>
          <w:marBottom w:val="0"/>
          <w:divBdr>
            <w:top w:val="none" w:sz="0" w:space="0" w:color="auto"/>
            <w:left w:val="none" w:sz="0" w:space="0" w:color="auto"/>
            <w:bottom w:val="none" w:sz="0" w:space="0" w:color="auto"/>
            <w:right w:val="none" w:sz="0" w:space="0" w:color="auto"/>
          </w:divBdr>
        </w:div>
        <w:div w:id="1036854505">
          <w:marLeft w:val="0"/>
          <w:marRight w:val="0"/>
          <w:marTop w:val="0"/>
          <w:marBottom w:val="0"/>
          <w:divBdr>
            <w:top w:val="none" w:sz="0" w:space="0" w:color="auto"/>
            <w:left w:val="none" w:sz="0" w:space="0" w:color="auto"/>
            <w:bottom w:val="none" w:sz="0" w:space="0" w:color="auto"/>
            <w:right w:val="none" w:sz="0" w:space="0" w:color="auto"/>
          </w:divBdr>
        </w:div>
        <w:div w:id="162203053">
          <w:marLeft w:val="0"/>
          <w:marRight w:val="0"/>
          <w:marTop w:val="0"/>
          <w:marBottom w:val="0"/>
          <w:divBdr>
            <w:top w:val="none" w:sz="0" w:space="0" w:color="auto"/>
            <w:left w:val="none" w:sz="0" w:space="0" w:color="auto"/>
            <w:bottom w:val="none" w:sz="0" w:space="0" w:color="auto"/>
            <w:right w:val="none" w:sz="0" w:space="0" w:color="auto"/>
          </w:divBdr>
        </w:div>
        <w:div w:id="927734067">
          <w:marLeft w:val="0"/>
          <w:marRight w:val="0"/>
          <w:marTop w:val="0"/>
          <w:marBottom w:val="0"/>
          <w:divBdr>
            <w:top w:val="none" w:sz="0" w:space="0" w:color="auto"/>
            <w:left w:val="none" w:sz="0" w:space="0" w:color="auto"/>
            <w:bottom w:val="none" w:sz="0" w:space="0" w:color="auto"/>
            <w:right w:val="none" w:sz="0" w:space="0" w:color="auto"/>
          </w:divBdr>
        </w:div>
        <w:div w:id="1390347504">
          <w:marLeft w:val="0"/>
          <w:marRight w:val="0"/>
          <w:marTop w:val="0"/>
          <w:marBottom w:val="0"/>
          <w:divBdr>
            <w:top w:val="none" w:sz="0" w:space="0" w:color="auto"/>
            <w:left w:val="none" w:sz="0" w:space="0" w:color="auto"/>
            <w:bottom w:val="none" w:sz="0" w:space="0" w:color="auto"/>
            <w:right w:val="none" w:sz="0" w:space="0" w:color="auto"/>
          </w:divBdr>
        </w:div>
        <w:div w:id="100731223">
          <w:marLeft w:val="0"/>
          <w:marRight w:val="0"/>
          <w:marTop w:val="0"/>
          <w:marBottom w:val="0"/>
          <w:divBdr>
            <w:top w:val="none" w:sz="0" w:space="0" w:color="auto"/>
            <w:left w:val="none" w:sz="0" w:space="0" w:color="auto"/>
            <w:bottom w:val="none" w:sz="0" w:space="0" w:color="auto"/>
            <w:right w:val="none" w:sz="0" w:space="0" w:color="auto"/>
          </w:divBdr>
        </w:div>
      </w:divsChild>
    </w:div>
    <w:div w:id="20430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pmg.com.t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ome.kpmg/tr/tr/home/gorusler/2022/08/sigorta-sektorel-baki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2DF17-C752-420C-9F59-92A901640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7EEE9-E2CC-4F9D-B4C2-870F3A1B06B1}">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3.xml><?xml version="1.0" encoding="utf-8"?>
<ds:datastoreItem xmlns:ds="http://schemas.openxmlformats.org/officeDocument/2006/customXml" ds:itemID="{1FEA5539-B5DB-4264-8B7E-5662E82D2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KPMG</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Balci, Berra</dc:creator>
  <cp:keywords/>
  <dc:description/>
  <cp:lastModifiedBy>Nevra Cankaya</cp:lastModifiedBy>
  <cp:revision>2</cp:revision>
  <dcterms:created xsi:type="dcterms:W3CDTF">2022-08-04T06:50:00Z</dcterms:created>
  <dcterms:modified xsi:type="dcterms:W3CDTF">2022-08-04T06:50:00Z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