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A2DE1" w14:textId="77777777" w:rsidR="000528B1" w:rsidRPr="000D7779" w:rsidRDefault="000528B1" w:rsidP="000528B1">
      <w:pPr>
        <w:spacing w:after="0" w:line="360" w:lineRule="auto"/>
        <w:rPr>
          <w:rFonts w:ascii="Verdana" w:hAnsi="Verdana"/>
          <w:b/>
          <w:sz w:val="32"/>
          <w:szCs w:val="32"/>
          <w:u w:val="single"/>
          <w:lang w:val="tr-TR"/>
        </w:rPr>
      </w:pPr>
      <w:r w:rsidRPr="000D7779">
        <w:rPr>
          <w:rFonts w:ascii="Verdana" w:hAnsi="Verdana"/>
          <w:b/>
          <w:sz w:val="32"/>
          <w:szCs w:val="32"/>
          <w:u w:val="single"/>
          <w:lang w:val="tr-TR"/>
        </w:rPr>
        <w:t xml:space="preserve">BASIN BÜLTENİ </w:t>
      </w:r>
    </w:p>
    <w:p w14:paraId="6E5ED692" w14:textId="77777777" w:rsidR="000528B1" w:rsidRPr="000D7779" w:rsidRDefault="000528B1" w:rsidP="000528B1">
      <w:pPr>
        <w:spacing w:after="0" w:line="360" w:lineRule="auto"/>
        <w:rPr>
          <w:rFonts w:ascii="Verdana" w:hAnsi="Verdana"/>
          <w:b/>
          <w:sz w:val="32"/>
          <w:szCs w:val="32"/>
          <w:u w:val="single"/>
          <w:lang w:val="tr-TR"/>
        </w:rPr>
      </w:pPr>
    </w:p>
    <w:p w14:paraId="475A83F8" w14:textId="2FA2687D" w:rsidR="000528B1" w:rsidRPr="000D7779" w:rsidRDefault="000528B1" w:rsidP="000528B1">
      <w:pPr>
        <w:spacing w:after="0" w:line="360" w:lineRule="auto"/>
        <w:jc w:val="center"/>
        <w:rPr>
          <w:rFonts w:ascii="Verdana" w:hAnsi="Verdana"/>
          <w:b/>
          <w:sz w:val="28"/>
          <w:szCs w:val="28"/>
          <w:lang w:val="tr-TR"/>
        </w:rPr>
      </w:pPr>
      <w:r w:rsidRPr="000D7779">
        <w:rPr>
          <w:rFonts w:ascii="Verdana" w:hAnsi="Verdana"/>
          <w:b/>
          <w:sz w:val="28"/>
          <w:szCs w:val="28"/>
          <w:lang w:val="tr-TR"/>
        </w:rPr>
        <w:t xml:space="preserve">Fortinet, 2020 yılı birinci çeyreğine ait finansal sonuçlarını açıkladı    </w:t>
      </w:r>
    </w:p>
    <w:p w14:paraId="76858E58" w14:textId="77777777" w:rsidR="000528B1" w:rsidRPr="00671486" w:rsidRDefault="000528B1" w:rsidP="000528B1">
      <w:pPr>
        <w:spacing w:after="0" w:line="360" w:lineRule="auto"/>
        <w:jc w:val="center"/>
        <w:rPr>
          <w:rFonts w:ascii="Verdana" w:hAnsi="Verdana"/>
          <w:sz w:val="20"/>
          <w:szCs w:val="20"/>
          <w:lang w:val="tr-TR"/>
        </w:rPr>
      </w:pPr>
    </w:p>
    <w:p w14:paraId="7CB2AA38" w14:textId="1F09484D" w:rsidR="000528B1" w:rsidRPr="000D7779" w:rsidRDefault="000528B1" w:rsidP="000528B1">
      <w:pPr>
        <w:spacing w:after="0" w:line="360" w:lineRule="auto"/>
        <w:rPr>
          <w:rFonts w:ascii="Verdana" w:hAnsi="Verdana"/>
          <w:sz w:val="20"/>
          <w:szCs w:val="20"/>
          <w:lang w:val="tr-TR"/>
        </w:rPr>
      </w:pPr>
      <w:r w:rsidRPr="00671486">
        <w:rPr>
          <w:rFonts w:ascii="Verdana" w:hAnsi="Verdana"/>
          <w:sz w:val="20"/>
          <w:szCs w:val="20"/>
          <w:lang w:val="tr-TR"/>
        </w:rPr>
        <w:t xml:space="preserve">Kapsamlı, entegre ve otomatik siber güvenlik çözümlerinde dünya lideri </w:t>
      </w:r>
      <w:proofErr w:type="spellStart"/>
      <w:r w:rsidRPr="00671486">
        <w:rPr>
          <w:rFonts w:ascii="Verdana" w:hAnsi="Verdana"/>
          <w:sz w:val="20"/>
          <w:szCs w:val="20"/>
          <w:lang w:val="tr-TR"/>
        </w:rPr>
        <w:t>Fortine</w:t>
      </w:r>
      <w:r w:rsidR="00671486">
        <w:rPr>
          <w:rFonts w:ascii="Verdana" w:hAnsi="Verdana"/>
          <w:sz w:val="20"/>
          <w:szCs w:val="20"/>
          <w:lang w:val="tr-TR"/>
        </w:rPr>
        <w:t>t</w:t>
      </w:r>
      <w:proofErr w:type="spellEnd"/>
      <w:r w:rsidR="00671486">
        <w:rPr>
          <w:rFonts w:ascii="Verdana" w:hAnsi="Verdana"/>
          <w:sz w:val="20"/>
          <w:szCs w:val="20"/>
          <w:lang w:val="tr-TR"/>
        </w:rPr>
        <w:t xml:space="preserve">, </w:t>
      </w:r>
      <w:r w:rsidRPr="000D7779">
        <w:rPr>
          <w:rFonts w:ascii="Verdana" w:hAnsi="Verdana"/>
          <w:sz w:val="20"/>
          <w:szCs w:val="20"/>
          <w:lang w:val="tr-TR"/>
        </w:rPr>
        <w:t>31 Mart 2020 itibariyle biten 2020’nin birinci çeyreğine ait finansal sonuçları açıkladı.</w:t>
      </w:r>
    </w:p>
    <w:p w14:paraId="62EF86B2" w14:textId="77777777" w:rsidR="000528B1" w:rsidRPr="000D7779" w:rsidRDefault="000528B1" w:rsidP="000528B1">
      <w:pPr>
        <w:spacing w:after="0" w:line="360" w:lineRule="auto"/>
        <w:rPr>
          <w:rFonts w:ascii="Verdana" w:hAnsi="Verdana"/>
          <w:sz w:val="20"/>
          <w:szCs w:val="20"/>
          <w:lang w:val="tr-TR"/>
        </w:rPr>
      </w:pPr>
    </w:p>
    <w:p w14:paraId="6D39280B" w14:textId="45B329E6" w:rsidR="000528B1" w:rsidRPr="000D7779" w:rsidRDefault="000528B1" w:rsidP="000528B1">
      <w:pPr>
        <w:spacing w:after="0" w:line="360" w:lineRule="auto"/>
        <w:rPr>
          <w:rFonts w:ascii="Verdana" w:hAnsi="Verdana"/>
          <w:b/>
          <w:sz w:val="20"/>
          <w:szCs w:val="20"/>
          <w:lang w:val="tr-TR"/>
        </w:rPr>
      </w:pPr>
      <w:r w:rsidRPr="000D7779">
        <w:rPr>
          <w:rFonts w:ascii="Verdana" w:hAnsi="Verdana"/>
          <w:b/>
          <w:sz w:val="20"/>
          <w:szCs w:val="20"/>
          <w:lang w:val="tr-TR"/>
        </w:rPr>
        <w:t xml:space="preserve">2020’nin birinci çeyreğine ait önemli finansal rakamlar  </w:t>
      </w:r>
    </w:p>
    <w:p w14:paraId="44C21805" w14:textId="6CC234EA" w:rsidR="000528B1" w:rsidRPr="000D7779" w:rsidRDefault="000528B1" w:rsidP="000528B1">
      <w:pPr>
        <w:numPr>
          <w:ilvl w:val="0"/>
          <w:numId w:val="1"/>
        </w:numPr>
        <w:spacing w:after="0" w:line="360" w:lineRule="auto"/>
        <w:rPr>
          <w:rFonts w:ascii="Verdana" w:hAnsi="Verdana"/>
          <w:sz w:val="20"/>
          <w:szCs w:val="20"/>
          <w:lang w:val="tr-TR"/>
        </w:rPr>
      </w:pPr>
      <w:r w:rsidRPr="000D7779">
        <w:rPr>
          <w:rFonts w:ascii="Verdana" w:hAnsi="Verdana"/>
          <w:sz w:val="20"/>
          <w:szCs w:val="20"/>
          <w:lang w:val="tr-TR"/>
        </w:rPr>
        <w:t xml:space="preserve">Toplam gelir, geçen yılın aynı dönemine göre yüzde 22 artarak 576,9 milyon dolara ulaştı. </w:t>
      </w:r>
    </w:p>
    <w:p w14:paraId="6520528D" w14:textId="1EE2B1BD" w:rsidR="000528B1" w:rsidRPr="000D7779" w:rsidRDefault="000528B1" w:rsidP="000528B1">
      <w:pPr>
        <w:numPr>
          <w:ilvl w:val="0"/>
          <w:numId w:val="1"/>
        </w:numPr>
        <w:spacing w:after="0" w:line="360" w:lineRule="auto"/>
        <w:rPr>
          <w:rFonts w:ascii="Verdana" w:hAnsi="Verdana"/>
          <w:sz w:val="20"/>
          <w:szCs w:val="20"/>
          <w:lang w:val="tr-TR"/>
        </w:rPr>
      </w:pPr>
      <w:r w:rsidRPr="000D7779">
        <w:rPr>
          <w:rFonts w:ascii="Verdana" w:hAnsi="Verdana"/>
          <w:sz w:val="20"/>
          <w:szCs w:val="20"/>
          <w:lang w:val="tr-TR"/>
        </w:rPr>
        <w:t>Ürün geliri, geçen yılın aynı dönemine göre yüzde 18 artarak 192,3 milyon dolara ulaştı.</w:t>
      </w:r>
    </w:p>
    <w:p w14:paraId="2064FA99" w14:textId="77777777" w:rsidR="00FB52CD" w:rsidRPr="000D7779" w:rsidRDefault="000528B1" w:rsidP="00FB52CD">
      <w:pPr>
        <w:numPr>
          <w:ilvl w:val="0"/>
          <w:numId w:val="1"/>
        </w:numPr>
        <w:spacing w:after="0" w:line="360" w:lineRule="auto"/>
        <w:rPr>
          <w:rFonts w:ascii="Verdana" w:hAnsi="Verdana"/>
          <w:sz w:val="20"/>
          <w:szCs w:val="20"/>
          <w:lang w:val="tr-TR"/>
        </w:rPr>
      </w:pPr>
      <w:bookmarkStart w:id="0" w:name="_Hlk1036031"/>
      <w:r w:rsidRPr="000D7779">
        <w:rPr>
          <w:rFonts w:ascii="Verdana" w:hAnsi="Verdana"/>
          <w:sz w:val="20"/>
          <w:szCs w:val="20"/>
          <w:lang w:val="tr-TR"/>
        </w:rPr>
        <w:t xml:space="preserve">Faturalandırmalar, geçen yılın aynı dönemine göre yüzde </w:t>
      </w:r>
      <w:bookmarkEnd w:id="0"/>
      <w:r w:rsidRPr="000D7779">
        <w:rPr>
          <w:rFonts w:ascii="Verdana" w:hAnsi="Verdana"/>
          <w:sz w:val="20"/>
          <w:szCs w:val="20"/>
          <w:lang w:val="tr-TR"/>
        </w:rPr>
        <w:t>21 artarak 667,</w:t>
      </w:r>
      <w:r w:rsidR="00C55086" w:rsidRPr="000D7779">
        <w:rPr>
          <w:rFonts w:ascii="Verdana" w:hAnsi="Verdana"/>
          <w:sz w:val="20"/>
          <w:szCs w:val="20"/>
          <w:lang w:val="tr-TR"/>
        </w:rPr>
        <w:t>8</w:t>
      </w:r>
      <w:r w:rsidRPr="000D7779">
        <w:rPr>
          <w:rFonts w:ascii="Verdana" w:hAnsi="Verdana"/>
          <w:sz w:val="20"/>
          <w:szCs w:val="20"/>
          <w:lang w:val="tr-TR"/>
        </w:rPr>
        <w:t xml:space="preserve"> milyon dolara ulaştı. </w:t>
      </w:r>
    </w:p>
    <w:p w14:paraId="50EF7473" w14:textId="4900024C" w:rsidR="00FB52CD" w:rsidRPr="000D7779" w:rsidRDefault="00FB52CD" w:rsidP="00FB52CD">
      <w:pPr>
        <w:numPr>
          <w:ilvl w:val="0"/>
          <w:numId w:val="1"/>
        </w:numPr>
        <w:spacing w:after="0" w:line="360" w:lineRule="auto"/>
        <w:rPr>
          <w:rFonts w:ascii="Verdana" w:hAnsi="Verdana"/>
          <w:sz w:val="20"/>
          <w:szCs w:val="20"/>
          <w:lang w:val="tr-TR"/>
        </w:rPr>
      </w:pPr>
      <w:r w:rsidRPr="000D7779">
        <w:rPr>
          <w:rFonts w:ascii="Verdana" w:hAnsi="Verdana"/>
          <w:sz w:val="20"/>
          <w:szCs w:val="20"/>
          <w:lang w:val="tr-TR"/>
        </w:rPr>
        <w:t xml:space="preserve">Ertelenmiş gelir, geçen yılın aynı dönemine göre yüzde 26 artarak 2,23 milyar dolara ulaştı. </w:t>
      </w:r>
    </w:p>
    <w:p w14:paraId="7822A877" w14:textId="466E0C3E" w:rsidR="000528B1" w:rsidRPr="000D7779" w:rsidRDefault="000528B1" w:rsidP="000528B1">
      <w:pPr>
        <w:numPr>
          <w:ilvl w:val="0"/>
          <w:numId w:val="1"/>
        </w:numPr>
        <w:spacing w:after="0" w:line="360" w:lineRule="auto"/>
        <w:rPr>
          <w:rFonts w:ascii="Verdana" w:hAnsi="Verdana"/>
          <w:sz w:val="20"/>
          <w:szCs w:val="20"/>
          <w:lang w:val="tr-TR"/>
        </w:rPr>
      </w:pPr>
      <w:r w:rsidRPr="000D7779">
        <w:rPr>
          <w:rFonts w:ascii="Verdana" w:hAnsi="Verdana"/>
          <w:sz w:val="20"/>
          <w:szCs w:val="20"/>
          <w:lang w:val="tr-TR"/>
        </w:rPr>
        <w:t xml:space="preserve">GAAP faaliyet kârı, geçen yılın aynı dönemine göre </w:t>
      </w:r>
      <w:r w:rsidR="00C55086" w:rsidRPr="000D7779">
        <w:rPr>
          <w:rFonts w:ascii="Verdana" w:hAnsi="Verdana"/>
          <w:sz w:val="20"/>
          <w:szCs w:val="20"/>
          <w:lang w:val="tr-TR"/>
        </w:rPr>
        <w:t>940</w:t>
      </w:r>
      <w:r w:rsidRPr="000D7779">
        <w:rPr>
          <w:rFonts w:ascii="Verdana" w:hAnsi="Verdana"/>
          <w:sz w:val="20"/>
          <w:szCs w:val="20"/>
          <w:lang w:val="tr-TR"/>
        </w:rPr>
        <w:t xml:space="preserve"> baz puan artışıyla yüzde </w:t>
      </w:r>
      <w:r w:rsidR="00C55086" w:rsidRPr="000D7779">
        <w:rPr>
          <w:rFonts w:ascii="Verdana" w:hAnsi="Verdana"/>
          <w:sz w:val="20"/>
          <w:szCs w:val="20"/>
          <w:lang w:val="tr-TR"/>
        </w:rPr>
        <w:t>20,1’e</w:t>
      </w:r>
      <w:r w:rsidRPr="000D7779">
        <w:rPr>
          <w:rFonts w:ascii="Verdana" w:hAnsi="Verdana"/>
          <w:sz w:val="20"/>
          <w:szCs w:val="20"/>
          <w:lang w:val="tr-TR"/>
        </w:rPr>
        <w:t xml:space="preserve"> ulaştı.</w:t>
      </w:r>
    </w:p>
    <w:p w14:paraId="64A5D650" w14:textId="6FD8C405" w:rsidR="000528B1" w:rsidRPr="000D7779" w:rsidRDefault="000528B1" w:rsidP="000528B1">
      <w:pPr>
        <w:numPr>
          <w:ilvl w:val="0"/>
          <w:numId w:val="1"/>
        </w:numPr>
        <w:spacing w:after="0" w:line="360" w:lineRule="auto"/>
        <w:rPr>
          <w:rFonts w:ascii="Verdana" w:hAnsi="Verdana"/>
          <w:sz w:val="20"/>
          <w:szCs w:val="20"/>
          <w:lang w:val="tr-TR"/>
        </w:rPr>
      </w:pPr>
      <w:r w:rsidRPr="000D7779">
        <w:rPr>
          <w:rFonts w:ascii="Verdana" w:hAnsi="Verdana"/>
          <w:sz w:val="20"/>
          <w:szCs w:val="20"/>
          <w:lang w:val="tr-TR"/>
        </w:rPr>
        <w:t xml:space="preserve">GAAP dışı faaliyet kârı, geçen yılın aynı dönemine göre </w:t>
      </w:r>
      <w:r w:rsidR="00C55086" w:rsidRPr="000D7779">
        <w:rPr>
          <w:rFonts w:ascii="Verdana" w:hAnsi="Verdana"/>
          <w:sz w:val="20"/>
          <w:szCs w:val="20"/>
          <w:lang w:val="tr-TR"/>
        </w:rPr>
        <w:t>190</w:t>
      </w:r>
      <w:r w:rsidRPr="000D7779">
        <w:rPr>
          <w:rFonts w:ascii="Verdana" w:hAnsi="Verdana"/>
          <w:sz w:val="20"/>
          <w:szCs w:val="20"/>
          <w:lang w:val="tr-TR"/>
        </w:rPr>
        <w:t xml:space="preserve"> baz puan artışıyla yüzde 2</w:t>
      </w:r>
      <w:r w:rsidR="00C55086" w:rsidRPr="000D7779">
        <w:rPr>
          <w:rFonts w:ascii="Verdana" w:hAnsi="Verdana"/>
          <w:sz w:val="20"/>
          <w:szCs w:val="20"/>
          <w:lang w:val="tr-TR"/>
        </w:rPr>
        <w:t>2,3</w:t>
      </w:r>
      <w:r w:rsidRPr="000D7779">
        <w:rPr>
          <w:rFonts w:ascii="Verdana" w:hAnsi="Verdana"/>
          <w:sz w:val="20"/>
          <w:szCs w:val="20"/>
          <w:lang w:val="tr-TR"/>
        </w:rPr>
        <w:t>’e ulaştı.</w:t>
      </w:r>
    </w:p>
    <w:p w14:paraId="491BA948" w14:textId="0FD11139" w:rsidR="000528B1" w:rsidRPr="000D7779" w:rsidRDefault="000528B1" w:rsidP="000528B1">
      <w:pPr>
        <w:numPr>
          <w:ilvl w:val="0"/>
          <w:numId w:val="1"/>
        </w:numPr>
        <w:spacing w:after="0" w:line="360" w:lineRule="auto"/>
        <w:rPr>
          <w:rFonts w:ascii="Verdana" w:hAnsi="Verdana"/>
          <w:sz w:val="20"/>
          <w:szCs w:val="20"/>
          <w:lang w:val="tr-TR"/>
        </w:rPr>
      </w:pPr>
      <w:proofErr w:type="spellStart"/>
      <w:r w:rsidRPr="000D7779">
        <w:rPr>
          <w:rFonts w:ascii="Verdana" w:hAnsi="Verdana"/>
          <w:sz w:val="20"/>
          <w:szCs w:val="20"/>
          <w:lang w:val="tr-TR"/>
        </w:rPr>
        <w:t>GAAP’ye</w:t>
      </w:r>
      <w:proofErr w:type="spellEnd"/>
      <w:r w:rsidRPr="000D7779">
        <w:rPr>
          <w:rFonts w:ascii="Verdana" w:hAnsi="Verdana"/>
          <w:sz w:val="20"/>
          <w:szCs w:val="20"/>
          <w:lang w:val="tr-TR"/>
        </w:rPr>
        <w:t xml:space="preserve"> göre seyreltilmiş hisse başına net kâr 0,6</w:t>
      </w:r>
      <w:r w:rsidR="00C55086" w:rsidRPr="000D7779">
        <w:rPr>
          <w:rFonts w:ascii="Verdana" w:hAnsi="Verdana"/>
          <w:sz w:val="20"/>
          <w:szCs w:val="20"/>
          <w:lang w:val="tr-TR"/>
        </w:rPr>
        <w:t>0</w:t>
      </w:r>
      <w:r w:rsidRPr="000D7779">
        <w:rPr>
          <w:rFonts w:ascii="Verdana" w:hAnsi="Verdana"/>
          <w:sz w:val="20"/>
          <w:szCs w:val="20"/>
          <w:lang w:val="tr-TR"/>
        </w:rPr>
        <w:t xml:space="preserve"> dolar. </w:t>
      </w:r>
    </w:p>
    <w:p w14:paraId="453A106A" w14:textId="7F1A298B" w:rsidR="000528B1" w:rsidRPr="000D7779" w:rsidRDefault="000528B1" w:rsidP="000528B1">
      <w:pPr>
        <w:numPr>
          <w:ilvl w:val="0"/>
          <w:numId w:val="1"/>
        </w:numPr>
        <w:spacing w:after="0" w:line="360" w:lineRule="auto"/>
        <w:rPr>
          <w:rFonts w:ascii="Verdana" w:hAnsi="Verdana"/>
          <w:sz w:val="20"/>
          <w:szCs w:val="20"/>
          <w:lang w:val="tr-TR"/>
        </w:rPr>
      </w:pPr>
      <w:r w:rsidRPr="000D7779">
        <w:rPr>
          <w:rFonts w:ascii="Verdana" w:hAnsi="Verdana"/>
          <w:sz w:val="20"/>
          <w:szCs w:val="20"/>
          <w:lang w:val="tr-TR"/>
        </w:rPr>
        <w:t>GAAP dışı seyreltilmiş hisse başına net kâr 0,</w:t>
      </w:r>
      <w:r w:rsidR="00C55086" w:rsidRPr="000D7779">
        <w:rPr>
          <w:rFonts w:ascii="Verdana" w:hAnsi="Verdana"/>
          <w:sz w:val="20"/>
          <w:szCs w:val="20"/>
          <w:lang w:val="tr-TR"/>
        </w:rPr>
        <w:t>60</w:t>
      </w:r>
      <w:r w:rsidRPr="000D7779">
        <w:rPr>
          <w:rFonts w:ascii="Verdana" w:hAnsi="Verdana"/>
          <w:sz w:val="20"/>
          <w:szCs w:val="20"/>
          <w:lang w:val="tr-TR"/>
        </w:rPr>
        <w:t xml:space="preserve"> dolar.</w:t>
      </w:r>
    </w:p>
    <w:p w14:paraId="5F948381" w14:textId="2BB99148" w:rsidR="000528B1" w:rsidRPr="000D7779" w:rsidRDefault="000528B1" w:rsidP="000528B1">
      <w:pPr>
        <w:numPr>
          <w:ilvl w:val="0"/>
          <w:numId w:val="1"/>
        </w:numPr>
        <w:spacing w:after="0" w:line="360" w:lineRule="auto"/>
        <w:rPr>
          <w:rFonts w:ascii="Verdana" w:hAnsi="Verdana"/>
          <w:sz w:val="20"/>
          <w:szCs w:val="20"/>
          <w:lang w:val="tr-TR"/>
        </w:rPr>
      </w:pPr>
      <w:r w:rsidRPr="000D7779">
        <w:rPr>
          <w:rFonts w:ascii="Verdana" w:hAnsi="Verdana"/>
          <w:sz w:val="20"/>
          <w:szCs w:val="20"/>
          <w:lang w:val="tr-TR"/>
        </w:rPr>
        <w:t xml:space="preserve">İşletme faaliyetlerinden kaynaklanan nakit akışı </w:t>
      </w:r>
      <w:r w:rsidR="00C55086" w:rsidRPr="000D7779">
        <w:rPr>
          <w:rFonts w:ascii="Verdana" w:hAnsi="Verdana"/>
          <w:sz w:val="20"/>
          <w:szCs w:val="20"/>
          <w:lang w:val="tr-TR"/>
        </w:rPr>
        <w:t>319</w:t>
      </w:r>
      <w:r w:rsidRPr="000D7779">
        <w:rPr>
          <w:rFonts w:ascii="Verdana" w:hAnsi="Verdana"/>
          <w:sz w:val="20"/>
          <w:szCs w:val="20"/>
          <w:lang w:val="tr-TR"/>
        </w:rPr>
        <w:t>,4 milyon dolar.</w:t>
      </w:r>
    </w:p>
    <w:p w14:paraId="3011A7B0" w14:textId="1000C818" w:rsidR="000528B1" w:rsidRPr="000D7779" w:rsidRDefault="00C55086" w:rsidP="000528B1">
      <w:pPr>
        <w:numPr>
          <w:ilvl w:val="0"/>
          <w:numId w:val="1"/>
        </w:numPr>
        <w:spacing w:after="0" w:line="360" w:lineRule="auto"/>
        <w:rPr>
          <w:rFonts w:ascii="Verdana" w:hAnsi="Verdana"/>
          <w:sz w:val="20"/>
          <w:szCs w:val="20"/>
          <w:lang w:val="tr-TR"/>
        </w:rPr>
      </w:pPr>
      <w:r w:rsidRPr="000D7779">
        <w:rPr>
          <w:rFonts w:ascii="Verdana" w:hAnsi="Verdana"/>
          <w:sz w:val="20"/>
          <w:szCs w:val="20"/>
          <w:lang w:val="tr-TR"/>
        </w:rPr>
        <w:t>Serbest nakit akışı, geçen yılın aynı dönemine göre 50,7 milyon dolar artarak 241</w:t>
      </w:r>
      <w:r w:rsidR="000528B1" w:rsidRPr="000D7779">
        <w:rPr>
          <w:rFonts w:ascii="Verdana" w:hAnsi="Verdana"/>
          <w:sz w:val="20"/>
          <w:szCs w:val="20"/>
          <w:lang w:val="tr-TR"/>
        </w:rPr>
        <w:t>,</w:t>
      </w:r>
      <w:r w:rsidRPr="000D7779">
        <w:rPr>
          <w:rFonts w:ascii="Verdana" w:hAnsi="Verdana"/>
          <w:sz w:val="20"/>
          <w:szCs w:val="20"/>
          <w:lang w:val="tr-TR"/>
        </w:rPr>
        <w:t>8</w:t>
      </w:r>
      <w:r w:rsidR="000528B1" w:rsidRPr="000D7779">
        <w:rPr>
          <w:rFonts w:ascii="Verdana" w:hAnsi="Verdana"/>
          <w:sz w:val="20"/>
          <w:szCs w:val="20"/>
          <w:lang w:val="tr-TR"/>
        </w:rPr>
        <w:t xml:space="preserve"> milyon dolar değerin</w:t>
      </w:r>
      <w:r w:rsidRPr="000D7779">
        <w:rPr>
          <w:rFonts w:ascii="Verdana" w:hAnsi="Verdana"/>
          <w:sz w:val="20"/>
          <w:szCs w:val="20"/>
          <w:lang w:val="tr-TR"/>
        </w:rPr>
        <w:t>e ulaştı.</w:t>
      </w:r>
      <w:r w:rsidR="000528B1" w:rsidRPr="000D7779">
        <w:rPr>
          <w:rFonts w:ascii="Verdana" w:hAnsi="Verdana"/>
          <w:sz w:val="20"/>
          <w:szCs w:val="20"/>
          <w:lang w:val="tr-TR"/>
        </w:rPr>
        <w:t xml:space="preserve"> </w:t>
      </w:r>
    </w:p>
    <w:p w14:paraId="762EAB11" w14:textId="0BEE0267" w:rsidR="000528B1" w:rsidRPr="000D7779" w:rsidRDefault="000528B1" w:rsidP="000528B1">
      <w:pPr>
        <w:numPr>
          <w:ilvl w:val="0"/>
          <w:numId w:val="1"/>
        </w:numPr>
        <w:spacing w:after="0" w:line="360" w:lineRule="auto"/>
        <w:rPr>
          <w:rFonts w:ascii="Verdana" w:hAnsi="Verdana"/>
          <w:sz w:val="20"/>
          <w:szCs w:val="20"/>
          <w:lang w:val="tr-TR"/>
        </w:rPr>
      </w:pPr>
      <w:r w:rsidRPr="000D7779">
        <w:rPr>
          <w:rFonts w:ascii="Verdana" w:hAnsi="Verdana"/>
          <w:sz w:val="20"/>
          <w:szCs w:val="20"/>
          <w:lang w:val="tr-TR"/>
        </w:rPr>
        <w:t>Hisselerin tekrar satın alımı için 889,9 milyon dolar nakit olarak ödendi.</w:t>
      </w:r>
    </w:p>
    <w:p w14:paraId="297F38B0" w14:textId="77777777" w:rsidR="000528B1" w:rsidRPr="000D7779" w:rsidRDefault="000528B1" w:rsidP="000528B1">
      <w:pPr>
        <w:spacing w:after="0" w:line="360" w:lineRule="auto"/>
        <w:jc w:val="both"/>
        <w:rPr>
          <w:rFonts w:ascii="Verdana" w:eastAsia="Arial" w:hAnsi="Verdana" w:cs="Arial"/>
          <w:sz w:val="20"/>
          <w:szCs w:val="20"/>
          <w:lang w:val="tr-TR"/>
        </w:rPr>
      </w:pPr>
    </w:p>
    <w:p w14:paraId="305AE946" w14:textId="345A070A" w:rsidR="000528B1" w:rsidRPr="000D7779" w:rsidRDefault="000528B1" w:rsidP="000528B1">
      <w:pPr>
        <w:spacing w:after="0" w:line="360" w:lineRule="auto"/>
        <w:jc w:val="both"/>
        <w:rPr>
          <w:rFonts w:ascii="Verdana" w:eastAsia="Arial" w:hAnsi="Verdana" w:cs="Arial"/>
          <w:sz w:val="20"/>
          <w:szCs w:val="20"/>
          <w:lang w:val="tr-TR"/>
        </w:rPr>
      </w:pPr>
      <w:r w:rsidRPr="000D7779">
        <w:rPr>
          <w:rFonts w:ascii="Verdana" w:eastAsia="Arial" w:hAnsi="Verdana" w:cs="Arial"/>
          <w:sz w:val="20"/>
          <w:szCs w:val="20"/>
          <w:lang w:val="tr-TR"/>
        </w:rPr>
        <w:t xml:space="preserve">Fortinet Kurucusu, Yönetim Kurulu Başkanı ve Kıdemli Baş Yönetici </w:t>
      </w:r>
      <w:proofErr w:type="spellStart"/>
      <w:r w:rsidRPr="000D7779">
        <w:rPr>
          <w:rFonts w:ascii="Verdana" w:eastAsia="Arial" w:hAnsi="Verdana" w:cs="Arial"/>
          <w:sz w:val="20"/>
          <w:szCs w:val="20"/>
          <w:lang w:val="tr-TR"/>
        </w:rPr>
        <w:t>Ken</w:t>
      </w:r>
      <w:proofErr w:type="spellEnd"/>
      <w:r w:rsidRPr="000D7779">
        <w:rPr>
          <w:rFonts w:ascii="Verdana" w:eastAsia="Arial" w:hAnsi="Verdana" w:cs="Arial"/>
          <w:sz w:val="20"/>
          <w:szCs w:val="20"/>
          <w:lang w:val="tr-TR"/>
        </w:rPr>
        <w:t xml:space="preserve"> </w:t>
      </w:r>
      <w:proofErr w:type="spellStart"/>
      <w:r w:rsidRPr="000D7779">
        <w:rPr>
          <w:rFonts w:ascii="Verdana" w:eastAsia="Arial" w:hAnsi="Verdana" w:cs="Arial"/>
          <w:sz w:val="20"/>
          <w:szCs w:val="20"/>
          <w:lang w:val="tr-TR"/>
        </w:rPr>
        <w:t>Xie</w:t>
      </w:r>
      <w:proofErr w:type="spellEnd"/>
      <w:r w:rsidRPr="000D7779">
        <w:rPr>
          <w:rFonts w:ascii="Verdana" w:eastAsia="Arial" w:hAnsi="Verdana" w:cs="Arial"/>
          <w:sz w:val="20"/>
          <w:szCs w:val="20"/>
          <w:lang w:val="tr-TR"/>
        </w:rPr>
        <w:t xml:space="preserve"> konuyla ilgili olarak şunları söyledi: “</w:t>
      </w:r>
      <w:r w:rsidR="00C66BEC" w:rsidRPr="000D7779">
        <w:rPr>
          <w:rFonts w:ascii="Verdana" w:eastAsia="Arial" w:hAnsi="Verdana" w:cs="Arial"/>
          <w:sz w:val="20"/>
          <w:szCs w:val="20"/>
          <w:lang w:val="tr-TR"/>
        </w:rPr>
        <w:t xml:space="preserve">İlk çeyrekte elde ettiğimiz yüksek rakamlar, sektör öncüsü ürün ve hizmetleri sunmak, yakın olan ve erişilebilir pazarlara ulaşmak, küresel satış ekibimizi büyütmek ve kanalı güçlendirmek için yaptığımız stratejik iç yatırımların bir sonucu. Fortinet olarak müşterilerimizin önemli ve stratejik bir iş ortağı oluyoruz. Lisanslı </w:t>
      </w:r>
      <w:proofErr w:type="spellStart"/>
      <w:r w:rsidR="00C66BEC" w:rsidRPr="000D7779">
        <w:rPr>
          <w:rFonts w:ascii="Verdana" w:eastAsia="Arial" w:hAnsi="Verdana" w:cs="Arial"/>
          <w:sz w:val="20"/>
          <w:szCs w:val="20"/>
          <w:lang w:val="tr-TR"/>
        </w:rPr>
        <w:t>FortiASIC</w:t>
      </w:r>
      <w:proofErr w:type="spellEnd"/>
      <w:r w:rsidR="00C66BEC" w:rsidRPr="000D7779">
        <w:rPr>
          <w:rFonts w:ascii="Verdana" w:eastAsia="Arial" w:hAnsi="Verdana" w:cs="Arial"/>
          <w:sz w:val="20"/>
          <w:szCs w:val="20"/>
          <w:lang w:val="tr-TR"/>
        </w:rPr>
        <w:t xml:space="preserve"> güvenlik işleme ünitesi (SPU)</w:t>
      </w:r>
      <w:r w:rsidR="000913C9" w:rsidRPr="000D7779">
        <w:rPr>
          <w:rFonts w:ascii="Verdana" w:eastAsia="Arial" w:hAnsi="Verdana" w:cs="Arial"/>
          <w:sz w:val="20"/>
          <w:szCs w:val="20"/>
          <w:lang w:val="tr-TR"/>
        </w:rPr>
        <w:t>, uzaktan çalışma yöntemini desteklemek için rakiplerine kıyasla</w:t>
      </w:r>
      <w:r w:rsidR="00C66BEC" w:rsidRPr="000D7779">
        <w:rPr>
          <w:rFonts w:ascii="Verdana" w:eastAsia="Arial" w:hAnsi="Verdana" w:cs="Arial"/>
          <w:sz w:val="20"/>
          <w:szCs w:val="20"/>
          <w:lang w:val="tr-TR"/>
        </w:rPr>
        <w:t xml:space="preserve"> 10 kata kadar daha fazla VPN kapasitesi sunabiliyor. </w:t>
      </w:r>
      <w:r w:rsidR="000913C9" w:rsidRPr="000D7779">
        <w:rPr>
          <w:rFonts w:ascii="Verdana" w:eastAsia="Arial" w:hAnsi="Verdana" w:cs="Arial"/>
          <w:sz w:val="20"/>
          <w:szCs w:val="20"/>
          <w:lang w:val="tr-TR"/>
        </w:rPr>
        <w:t xml:space="preserve">Elde ettiğimiz büyük rekabet avantajı sayesinde ekonomik koşulların zorlaştığı bu dönemde pazar payımızı artırmaya devam edeceğiz. </w:t>
      </w:r>
      <w:r w:rsidR="00DC7227" w:rsidRPr="000D7779">
        <w:rPr>
          <w:rFonts w:ascii="Verdana" w:eastAsia="Arial" w:hAnsi="Verdana" w:cs="Arial"/>
          <w:sz w:val="20"/>
          <w:szCs w:val="20"/>
          <w:lang w:val="tr-TR"/>
        </w:rPr>
        <w:t xml:space="preserve">Sektörlerin onayladığı uzaktan çalışma ve güvenli SD-WAN ürünlerimizin </w:t>
      </w:r>
      <w:r w:rsidR="00DC7227" w:rsidRPr="000D7779">
        <w:rPr>
          <w:rFonts w:ascii="Verdana" w:eastAsia="Arial" w:hAnsi="Verdana" w:cs="Arial"/>
          <w:sz w:val="20"/>
          <w:szCs w:val="20"/>
          <w:lang w:val="tr-TR"/>
        </w:rPr>
        <w:lastRenderedPageBreak/>
        <w:t xml:space="preserve">yanı sıra </w:t>
      </w:r>
      <w:proofErr w:type="spellStart"/>
      <w:r w:rsidR="00DC7227" w:rsidRPr="000D7779">
        <w:rPr>
          <w:rFonts w:ascii="Verdana" w:eastAsia="Arial" w:hAnsi="Verdana" w:cs="Arial"/>
          <w:sz w:val="20"/>
          <w:szCs w:val="20"/>
          <w:lang w:val="tr-TR"/>
        </w:rPr>
        <w:t>SPU’dan</w:t>
      </w:r>
      <w:proofErr w:type="spellEnd"/>
      <w:r w:rsidR="00DC7227" w:rsidRPr="000D7779">
        <w:rPr>
          <w:rFonts w:ascii="Verdana" w:eastAsia="Arial" w:hAnsi="Verdana" w:cs="Arial"/>
          <w:sz w:val="20"/>
          <w:szCs w:val="20"/>
          <w:lang w:val="tr-TR"/>
        </w:rPr>
        <w:t xml:space="preserve"> güç alan </w:t>
      </w:r>
      <w:proofErr w:type="spellStart"/>
      <w:r w:rsidR="00DC7227" w:rsidRPr="000D7779">
        <w:rPr>
          <w:rFonts w:ascii="Verdana" w:eastAsia="Arial" w:hAnsi="Verdana" w:cs="Arial"/>
          <w:sz w:val="20"/>
          <w:szCs w:val="20"/>
          <w:lang w:val="tr-TR"/>
        </w:rPr>
        <w:t>FortiGates</w:t>
      </w:r>
      <w:proofErr w:type="spellEnd"/>
      <w:r w:rsidR="00DC7227" w:rsidRPr="000D7779">
        <w:rPr>
          <w:rFonts w:ascii="Verdana" w:eastAsia="Arial" w:hAnsi="Verdana" w:cs="Arial"/>
          <w:sz w:val="20"/>
          <w:szCs w:val="20"/>
          <w:lang w:val="tr-TR"/>
        </w:rPr>
        <w:t xml:space="preserve"> Security </w:t>
      </w:r>
      <w:proofErr w:type="spellStart"/>
      <w:r w:rsidR="00DC7227" w:rsidRPr="000D7779">
        <w:rPr>
          <w:rFonts w:ascii="Verdana" w:eastAsia="Arial" w:hAnsi="Verdana" w:cs="Arial"/>
          <w:sz w:val="20"/>
          <w:szCs w:val="20"/>
          <w:lang w:val="tr-TR"/>
        </w:rPr>
        <w:t>Fabric</w:t>
      </w:r>
      <w:proofErr w:type="spellEnd"/>
      <w:r w:rsidR="00DC7227" w:rsidRPr="000D7779">
        <w:rPr>
          <w:rFonts w:ascii="Verdana" w:eastAsia="Arial" w:hAnsi="Verdana" w:cs="Arial"/>
          <w:sz w:val="20"/>
          <w:szCs w:val="20"/>
          <w:lang w:val="tr-TR"/>
        </w:rPr>
        <w:t xml:space="preserve"> platformu ile </w:t>
      </w:r>
      <w:proofErr w:type="spellStart"/>
      <w:r w:rsidR="00DC7227" w:rsidRPr="000D7779">
        <w:rPr>
          <w:rFonts w:ascii="Verdana" w:eastAsia="Arial" w:hAnsi="Verdana" w:cs="Arial"/>
          <w:sz w:val="20"/>
          <w:szCs w:val="20"/>
          <w:lang w:val="tr-TR"/>
        </w:rPr>
        <w:t>hibrit</w:t>
      </w:r>
      <w:proofErr w:type="spellEnd"/>
      <w:r w:rsidR="00DC7227" w:rsidRPr="000D7779">
        <w:rPr>
          <w:rFonts w:ascii="Verdana" w:eastAsia="Arial" w:hAnsi="Verdana" w:cs="Arial"/>
          <w:sz w:val="20"/>
          <w:szCs w:val="20"/>
          <w:lang w:val="tr-TR"/>
        </w:rPr>
        <w:t xml:space="preserve"> ve çoklu bulut hizmetlerimiz, şirketlere tüm dijital altyapılarında daha uygun maliyetli çözümler sunacak.</w:t>
      </w:r>
      <w:r w:rsidRPr="000D7779">
        <w:rPr>
          <w:rFonts w:ascii="Verdana" w:eastAsia="Arial" w:hAnsi="Verdana" w:cs="Arial"/>
          <w:sz w:val="20"/>
          <w:szCs w:val="20"/>
          <w:lang w:val="tr-TR"/>
        </w:rPr>
        <w:t>”</w:t>
      </w:r>
    </w:p>
    <w:p w14:paraId="2AB3F035" w14:textId="77777777" w:rsidR="000528B1" w:rsidRPr="000D7779" w:rsidRDefault="000528B1" w:rsidP="000528B1">
      <w:pPr>
        <w:spacing w:after="0" w:line="360" w:lineRule="auto"/>
        <w:jc w:val="both"/>
        <w:rPr>
          <w:rFonts w:ascii="Verdana" w:eastAsia="Arial" w:hAnsi="Verdana" w:cs="Arial"/>
          <w:sz w:val="20"/>
          <w:szCs w:val="20"/>
          <w:lang w:val="tr-TR"/>
        </w:rPr>
      </w:pPr>
    </w:p>
    <w:p w14:paraId="5412E98F" w14:textId="77777777" w:rsidR="000528B1" w:rsidRPr="000D7779" w:rsidRDefault="000528B1" w:rsidP="000528B1">
      <w:pPr>
        <w:spacing w:after="0" w:line="360" w:lineRule="auto"/>
        <w:rPr>
          <w:rFonts w:ascii="Verdana" w:eastAsia="Times New Roman" w:hAnsi="Verdana" w:cs="Arial"/>
          <w:b/>
          <w:bCs/>
          <w:sz w:val="16"/>
          <w:szCs w:val="16"/>
          <w:lang w:val="tr-TR"/>
        </w:rPr>
      </w:pPr>
      <w:r w:rsidRPr="000D7779">
        <w:rPr>
          <w:rFonts w:ascii="Verdana" w:eastAsia="Times New Roman" w:hAnsi="Verdana" w:cs="Arial"/>
          <w:b/>
          <w:bCs/>
          <w:sz w:val="16"/>
          <w:szCs w:val="16"/>
          <w:lang w:val="tr-TR"/>
        </w:rPr>
        <w:t>İlgili Kişi: </w:t>
      </w:r>
      <w:r w:rsidRPr="000D7779">
        <w:rPr>
          <w:rFonts w:ascii="Verdana" w:eastAsia="Times New Roman" w:hAnsi="Verdana" w:cs="Arial"/>
          <w:bCs/>
          <w:sz w:val="16"/>
          <w:szCs w:val="16"/>
          <w:lang w:val="tr-TR"/>
        </w:rPr>
        <w:br/>
        <w:t xml:space="preserve">Eray </w:t>
      </w:r>
      <w:proofErr w:type="spellStart"/>
      <w:r w:rsidRPr="000D7779">
        <w:rPr>
          <w:rFonts w:ascii="Verdana" w:eastAsia="Times New Roman" w:hAnsi="Verdana" w:cs="Arial"/>
          <w:bCs/>
          <w:sz w:val="16"/>
          <w:szCs w:val="16"/>
          <w:lang w:val="tr-TR"/>
        </w:rPr>
        <w:t>Çoşan</w:t>
      </w:r>
      <w:proofErr w:type="spellEnd"/>
      <w:r w:rsidRPr="000D7779">
        <w:rPr>
          <w:rFonts w:ascii="Verdana" w:eastAsia="Times New Roman" w:hAnsi="Verdana" w:cs="Arial"/>
          <w:bCs/>
          <w:sz w:val="16"/>
          <w:szCs w:val="16"/>
          <w:lang w:val="tr-TR"/>
        </w:rPr>
        <w:t xml:space="preserve"> Akkuş </w:t>
      </w:r>
      <w:r w:rsidRPr="000D7779">
        <w:rPr>
          <w:rFonts w:ascii="Verdana" w:eastAsia="Times New Roman" w:hAnsi="Verdana" w:cs="Arial"/>
          <w:bCs/>
          <w:sz w:val="16"/>
          <w:szCs w:val="16"/>
          <w:lang w:val="tr-TR"/>
        </w:rPr>
        <w:br/>
        <w:t xml:space="preserve">Marjinal </w:t>
      </w:r>
      <w:proofErr w:type="spellStart"/>
      <w:r w:rsidRPr="000D7779">
        <w:rPr>
          <w:rFonts w:ascii="Verdana" w:eastAsia="Times New Roman" w:hAnsi="Verdana" w:cs="Arial"/>
          <w:bCs/>
          <w:sz w:val="16"/>
          <w:szCs w:val="16"/>
          <w:lang w:val="tr-TR"/>
        </w:rPr>
        <w:t>Porter</w:t>
      </w:r>
      <w:proofErr w:type="spellEnd"/>
      <w:r w:rsidRPr="000D7779">
        <w:rPr>
          <w:rFonts w:ascii="Verdana" w:eastAsia="Times New Roman" w:hAnsi="Verdana" w:cs="Arial"/>
          <w:bCs/>
          <w:sz w:val="16"/>
          <w:szCs w:val="16"/>
          <w:lang w:val="tr-TR"/>
        </w:rPr>
        <w:t xml:space="preserve"> Novelli</w:t>
      </w:r>
      <w:r w:rsidRPr="000D7779">
        <w:rPr>
          <w:rFonts w:ascii="Verdana" w:eastAsia="Times New Roman" w:hAnsi="Verdana" w:cs="Arial"/>
          <w:bCs/>
          <w:sz w:val="16"/>
          <w:szCs w:val="16"/>
          <w:lang w:val="tr-TR"/>
        </w:rPr>
        <w:br/>
        <w:t>0 533 927 23 97</w:t>
      </w:r>
      <w:r w:rsidRPr="000D7779">
        <w:rPr>
          <w:rFonts w:ascii="Verdana" w:eastAsia="Times New Roman" w:hAnsi="Verdana" w:cs="Arial"/>
          <w:bCs/>
          <w:sz w:val="16"/>
          <w:szCs w:val="16"/>
          <w:lang w:val="tr-TR"/>
        </w:rPr>
        <w:br/>
      </w:r>
      <w:hyperlink r:id="rId5" w:history="1">
        <w:r w:rsidRPr="000D7779">
          <w:rPr>
            <w:rFonts w:ascii="Verdana" w:eastAsia="Times New Roman" w:hAnsi="Verdana" w:cs="Arial"/>
            <w:bCs/>
            <w:color w:val="0563C1" w:themeColor="hyperlink"/>
            <w:sz w:val="16"/>
            <w:szCs w:val="16"/>
            <w:u w:val="single"/>
            <w:lang w:val="tr-TR"/>
          </w:rPr>
          <w:t>erayc@marjinal.com</w:t>
        </w:r>
      </w:hyperlink>
      <w:r w:rsidRPr="000D7779">
        <w:rPr>
          <w:rFonts w:ascii="Verdana" w:eastAsia="Times New Roman" w:hAnsi="Verdana" w:cs="Arial"/>
          <w:bCs/>
          <w:sz w:val="16"/>
          <w:szCs w:val="16"/>
          <w:lang w:val="tr-TR"/>
        </w:rPr>
        <w:t>.tr</w:t>
      </w:r>
      <w:r w:rsidRPr="000D7779">
        <w:rPr>
          <w:rFonts w:ascii="Verdana" w:eastAsia="Times New Roman" w:hAnsi="Verdana" w:cs="Arial"/>
          <w:bCs/>
          <w:sz w:val="16"/>
          <w:szCs w:val="16"/>
          <w:lang w:val="tr-TR"/>
        </w:rPr>
        <w:br/>
      </w:r>
    </w:p>
    <w:p w14:paraId="1FC3C70F" w14:textId="76F6F500" w:rsidR="000441F3" w:rsidRDefault="000528B1" w:rsidP="000528B1">
      <w:pPr>
        <w:spacing w:after="0" w:line="360" w:lineRule="auto"/>
        <w:rPr>
          <w:rFonts w:ascii="Verdana" w:eastAsia="Times New Roman" w:hAnsi="Verdana" w:cs="Arial"/>
          <w:bCs/>
          <w:sz w:val="16"/>
          <w:szCs w:val="16"/>
          <w:lang w:val="tr-TR"/>
        </w:rPr>
      </w:pPr>
      <w:proofErr w:type="spellStart"/>
      <w:r w:rsidRPr="000D7779">
        <w:rPr>
          <w:rFonts w:ascii="Verdana" w:eastAsia="Times New Roman" w:hAnsi="Verdana" w:cs="Arial"/>
          <w:b/>
          <w:bCs/>
          <w:sz w:val="16"/>
          <w:szCs w:val="16"/>
          <w:lang w:val="tr-TR"/>
        </w:rPr>
        <w:t>Fortinet</w:t>
      </w:r>
      <w:proofErr w:type="spellEnd"/>
      <w:r w:rsidRPr="000D7779">
        <w:rPr>
          <w:rFonts w:ascii="Verdana" w:eastAsia="Times New Roman" w:hAnsi="Verdana" w:cs="Arial"/>
          <w:b/>
          <w:bCs/>
          <w:sz w:val="16"/>
          <w:szCs w:val="16"/>
          <w:lang w:val="tr-TR"/>
        </w:rPr>
        <w:t xml:space="preserve"> Hakkında</w:t>
      </w:r>
    </w:p>
    <w:p w14:paraId="1F9ECB8F" w14:textId="01C17D77" w:rsidR="000441F3" w:rsidRPr="000441F3" w:rsidRDefault="000441F3" w:rsidP="000528B1">
      <w:pPr>
        <w:spacing w:after="0" w:line="360" w:lineRule="auto"/>
        <w:rPr>
          <w:rFonts w:ascii="Verdana" w:eastAsia="Times New Roman" w:hAnsi="Verdana" w:cs="Arial"/>
          <w:bCs/>
          <w:sz w:val="16"/>
          <w:szCs w:val="16"/>
          <w:lang w:val="tr-TR"/>
        </w:rPr>
      </w:pPr>
      <w:proofErr w:type="spellStart"/>
      <w:r w:rsidRPr="000441F3">
        <w:rPr>
          <w:rFonts w:ascii="Verdana" w:eastAsia="Times New Roman" w:hAnsi="Verdana" w:cs="Arial"/>
          <w:bCs/>
          <w:sz w:val="16"/>
          <w:szCs w:val="16"/>
          <w:lang w:val="tr-TR"/>
        </w:rPr>
        <w:t>Fortinet</w:t>
      </w:r>
      <w:proofErr w:type="spellEnd"/>
      <w:r>
        <w:rPr>
          <w:rFonts w:ascii="Verdana" w:eastAsia="Times New Roman" w:hAnsi="Verdana" w:cs="Arial"/>
          <w:bCs/>
          <w:sz w:val="16"/>
          <w:szCs w:val="16"/>
          <w:lang w:val="tr-TR"/>
        </w:rPr>
        <w:t xml:space="preserve">, </w:t>
      </w:r>
      <w:r w:rsidRPr="000441F3">
        <w:rPr>
          <w:rFonts w:ascii="Verdana" w:eastAsia="Times New Roman" w:hAnsi="Verdana" w:cs="Arial"/>
          <w:bCs/>
          <w:sz w:val="16"/>
          <w:szCs w:val="16"/>
          <w:lang w:val="tr-TR"/>
        </w:rPr>
        <w:t xml:space="preserve">dünya çapındaki işletmelerin, servis sağlayıcıların </w:t>
      </w:r>
      <w:proofErr w:type="spellStart"/>
      <w:r w:rsidRPr="000441F3">
        <w:rPr>
          <w:rFonts w:ascii="Verdana" w:eastAsia="Times New Roman" w:hAnsi="Verdana" w:cs="Arial"/>
          <w:bCs/>
          <w:sz w:val="16"/>
          <w:szCs w:val="16"/>
          <w:lang w:val="tr-TR"/>
        </w:rPr>
        <w:t>ve</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kamu</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kurumlarının</w:t>
      </w:r>
      <w:proofErr w:type="spellEnd"/>
      <w:r w:rsidRPr="000441F3">
        <w:rPr>
          <w:rFonts w:ascii="Verdana" w:eastAsia="Times New Roman" w:hAnsi="Verdana" w:cs="Arial"/>
          <w:bCs/>
          <w:sz w:val="16"/>
          <w:szCs w:val="16"/>
          <w:lang w:val="tr-TR"/>
        </w:rPr>
        <w:t xml:space="preserve"> BT </w:t>
      </w:r>
      <w:proofErr w:type="spellStart"/>
      <w:r w:rsidRPr="000441F3">
        <w:rPr>
          <w:rFonts w:ascii="Verdana" w:eastAsia="Times New Roman" w:hAnsi="Verdana" w:cs="Arial"/>
          <w:bCs/>
          <w:sz w:val="16"/>
          <w:szCs w:val="16"/>
          <w:lang w:val="tr-TR"/>
        </w:rPr>
        <w:t>güvenliği</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altyapılarını</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sadeleştirirken</w:t>
      </w:r>
      <w:proofErr w:type="spellEnd"/>
      <w:r w:rsidRPr="000441F3">
        <w:rPr>
          <w:rFonts w:ascii="Verdana" w:eastAsia="Times New Roman" w:hAnsi="Verdana" w:cs="Arial"/>
          <w:bCs/>
          <w:sz w:val="16"/>
          <w:szCs w:val="16"/>
          <w:lang w:val="tr-TR"/>
        </w:rPr>
        <w:t xml:space="preserve">, her </w:t>
      </w:r>
      <w:proofErr w:type="spellStart"/>
      <w:r w:rsidRPr="000441F3">
        <w:rPr>
          <w:rFonts w:ascii="Verdana" w:eastAsia="Times New Roman" w:hAnsi="Verdana" w:cs="Arial"/>
          <w:bCs/>
          <w:sz w:val="16"/>
          <w:szCs w:val="16"/>
          <w:lang w:val="tr-TR"/>
        </w:rPr>
        <w:t>geçen</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gün</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farklılaşan</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siber</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güvenlik</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tehditlerine</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karşı</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kapsamlı</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bütünleşik</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ve</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yüksek</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performanslı</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koruma</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sağlar</w:t>
      </w:r>
      <w:proofErr w:type="spellEnd"/>
      <w:r w:rsidRPr="000441F3">
        <w:rPr>
          <w:rFonts w:ascii="Verdana" w:eastAsia="Times New Roman" w:hAnsi="Verdana" w:cs="Arial"/>
          <w:bCs/>
          <w:sz w:val="16"/>
          <w:szCs w:val="16"/>
          <w:lang w:val="tr-TR"/>
        </w:rPr>
        <w:t xml:space="preserve">. Fortinet </w:t>
      </w:r>
      <w:proofErr w:type="spellStart"/>
      <w:r w:rsidRPr="000441F3">
        <w:rPr>
          <w:rFonts w:ascii="Verdana" w:eastAsia="Times New Roman" w:hAnsi="Verdana" w:cs="Arial"/>
          <w:bCs/>
          <w:sz w:val="16"/>
          <w:szCs w:val="16"/>
          <w:lang w:val="tr-TR"/>
        </w:rPr>
        <w:t>çözümleri</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kurumların</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en</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değerli</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varlıklarını</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koruma</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altına</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almak</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amacıyla</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sektördeki</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en</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üst</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seviye</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tehdit</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araştırma</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güvenlik</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zekâsı</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ve</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analitik</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çalışmalarıyla</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sürekli</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güçlendirilir</w:t>
      </w:r>
      <w:proofErr w:type="spellEnd"/>
      <w:r w:rsidRPr="000441F3">
        <w:rPr>
          <w:rFonts w:ascii="Verdana" w:eastAsia="Times New Roman" w:hAnsi="Verdana" w:cs="Arial"/>
          <w:bCs/>
          <w:sz w:val="16"/>
          <w:szCs w:val="16"/>
          <w:lang w:val="tr-TR"/>
        </w:rPr>
        <w:t xml:space="preserve">. Tek </w:t>
      </w:r>
      <w:proofErr w:type="spellStart"/>
      <w:r w:rsidRPr="000441F3">
        <w:rPr>
          <w:rFonts w:ascii="Verdana" w:eastAsia="Times New Roman" w:hAnsi="Verdana" w:cs="Arial"/>
          <w:bCs/>
          <w:sz w:val="16"/>
          <w:szCs w:val="16"/>
          <w:lang w:val="tr-TR"/>
        </w:rPr>
        <w:t>bir</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alanda</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hizmet</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sunan</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güvenlik</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sağlayıcılarının</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aksine</w:t>
      </w:r>
      <w:proofErr w:type="spellEnd"/>
      <w:r w:rsidRPr="000441F3">
        <w:rPr>
          <w:rFonts w:ascii="Verdana" w:eastAsia="Times New Roman" w:hAnsi="Verdana" w:cs="Arial"/>
          <w:bCs/>
          <w:sz w:val="16"/>
          <w:szCs w:val="16"/>
          <w:lang w:val="tr-TR"/>
        </w:rPr>
        <w:t xml:space="preserve">, Fortinet </w:t>
      </w:r>
      <w:proofErr w:type="spellStart"/>
      <w:r w:rsidRPr="000441F3">
        <w:rPr>
          <w:rFonts w:ascii="Verdana" w:eastAsia="Times New Roman" w:hAnsi="Verdana" w:cs="Arial"/>
          <w:bCs/>
          <w:sz w:val="16"/>
          <w:szCs w:val="16"/>
          <w:lang w:val="tr-TR"/>
        </w:rPr>
        <w:t>işletmelerin</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bulut</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sanal</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veya</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fiziksel</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ortamlardaki</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ağ</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uygulama</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ve</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mobil</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güvenlik</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sorunlarını</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ortadan</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kaldıracak</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yetkinliğe</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sahiptir</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Dünyanın</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en</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büyük</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kuruluşlarının</w:t>
      </w:r>
      <w:proofErr w:type="spellEnd"/>
      <w:r w:rsidRPr="000441F3">
        <w:rPr>
          <w:rFonts w:ascii="Verdana" w:eastAsia="Times New Roman" w:hAnsi="Verdana" w:cs="Arial"/>
          <w:bCs/>
          <w:sz w:val="16"/>
          <w:szCs w:val="16"/>
          <w:lang w:val="tr-TR"/>
        </w:rPr>
        <w:t xml:space="preserve"> da </w:t>
      </w:r>
      <w:proofErr w:type="spellStart"/>
      <w:r w:rsidRPr="000441F3">
        <w:rPr>
          <w:rFonts w:ascii="Verdana" w:eastAsia="Times New Roman" w:hAnsi="Verdana" w:cs="Arial"/>
          <w:bCs/>
          <w:sz w:val="16"/>
          <w:szCs w:val="16"/>
          <w:lang w:val="tr-TR"/>
        </w:rPr>
        <w:t>aralarında</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bulunduğu</w:t>
      </w:r>
      <w:proofErr w:type="spellEnd"/>
      <w:r w:rsidRPr="000441F3">
        <w:rPr>
          <w:rFonts w:ascii="Verdana" w:eastAsia="Times New Roman" w:hAnsi="Verdana" w:cs="Arial"/>
          <w:bCs/>
          <w:sz w:val="16"/>
          <w:szCs w:val="16"/>
          <w:lang w:val="tr-TR"/>
        </w:rPr>
        <w:t xml:space="preserve"> 210.000’den </w:t>
      </w:r>
      <w:proofErr w:type="spellStart"/>
      <w:r w:rsidRPr="000441F3">
        <w:rPr>
          <w:rFonts w:ascii="Verdana" w:eastAsia="Times New Roman" w:hAnsi="Verdana" w:cs="Arial"/>
          <w:bCs/>
          <w:sz w:val="16"/>
          <w:szCs w:val="16"/>
          <w:lang w:val="tr-TR"/>
        </w:rPr>
        <w:t>fazla</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müşteri</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hayati</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öneme</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sahip</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sistemleri</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ve</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içeriklerinin</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korunması</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konusunda</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Fortinet'e</w:t>
      </w:r>
      <w:proofErr w:type="spellEnd"/>
      <w:r w:rsidRPr="000441F3">
        <w:rPr>
          <w:rFonts w:ascii="Verdana" w:eastAsia="Times New Roman" w:hAnsi="Verdana" w:cs="Arial"/>
          <w:bCs/>
          <w:sz w:val="16"/>
          <w:szCs w:val="16"/>
          <w:lang w:val="tr-TR"/>
        </w:rPr>
        <w:t xml:space="preserve"> </w:t>
      </w:r>
      <w:proofErr w:type="spellStart"/>
      <w:r w:rsidRPr="000441F3">
        <w:rPr>
          <w:rFonts w:ascii="Verdana" w:eastAsia="Times New Roman" w:hAnsi="Verdana" w:cs="Arial"/>
          <w:bCs/>
          <w:sz w:val="16"/>
          <w:szCs w:val="16"/>
          <w:lang w:val="tr-TR"/>
        </w:rPr>
        <w:t>güvenmektedir</w:t>
      </w:r>
      <w:proofErr w:type="spellEnd"/>
      <w:r w:rsidRPr="000441F3">
        <w:rPr>
          <w:rFonts w:ascii="Verdana" w:eastAsia="Times New Roman" w:hAnsi="Verdana" w:cs="Arial"/>
          <w:bCs/>
          <w:sz w:val="16"/>
          <w:szCs w:val="16"/>
          <w:lang w:val="tr-TR"/>
        </w:rPr>
        <w:t>.</w:t>
      </w:r>
    </w:p>
    <w:sectPr w:rsidR="000441F3" w:rsidRPr="000441F3" w:rsidSect="001C66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6A5D59"/>
    <w:multiLevelType w:val="hybridMultilevel"/>
    <w:tmpl w:val="F7201F8A"/>
    <w:lvl w:ilvl="0" w:tplc="51FA4144">
      <w:start w:val="1"/>
      <w:numFmt w:val="bullet"/>
      <w:lvlText w:val="• "/>
      <w:lvlJc w:val="left"/>
      <w:pPr>
        <w:ind w:hanging="360"/>
      </w:pPr>
    </w:lvl>
    <w:lvl w:ilvl="1" w:tplc="2E90C67E">
      <w:numFmt w:val="decimal"/>
      <w:lvlText w:val=""/>
      <w:lvlJc w:val="left"/>
    </w:lvl>
    <w:lvl w:ilvl="2" w:tplc="5F2C7B5C">
      <w:numFmt w:val="decimal"/>
      <w:lvlText w:val=""/>
      <w:lvlJc w:val="left"/>
    </w:lvl>
    <w:lvl w:ilvl="3" w:tplc="EAC41F3E">
      <w:numFmt w:val="decimal"/>
      <w:lvlText w:val=""/>
      <w:lvlJc w:val="left"/>
    </w:lvl>
    <w:lvl w:ilvl="4" w:tplc="E2B00DB8">
      <w:numFmt w:val="decimal"/>
      <w:lvlText w:val=""/>
      <w:lvlJc w:val="left"/>
    </w:lvl>
    <w:lvl w:ilvl="5" w:tplc="A4503E7E">
      <w:numFmt w:val="decimal"/>
      <w:lvlText w:val=""/>
      <w:lvlJc w:val="left"/>
    </w:lvl>
    <w:lvl w:ilvl="6" w:tplc="B2FA9CC8">
      <w:numFmt w:val="decimal"/>
      <w:lvlText w:val=""/>
      <w:lvlJc w:val="left"/>
    </w:lvl>
    <w:lvl w:ilvl="7" w:tplc="1E1C7E08">
      <w:numFmt w:val="decimal"/>
      <w:lvlText w:val=""/>
      <w:lvlJc w:val="left"/>
    </w:lvl>
    <w:lvl w:ilvl="8" w:tplc="8D9617B0">
      <w:numFmt w:val="decimal"/>
      <w:lvlText w:val=""/>
      <w:lvlJc w:val="left"/>
    </w:lvl>
  </w:abstractNum>
  <w:abstractNum w:abstractNumId="1" w15:restartNumberingAfterBreak="0">
    <w:nsid w:val="674C0A7D"/>
    <w:multiLevelType w:val="hybridMultilevel"/>
    <w:tmpl w:val="3F9CD610"/>
    <w:lvl w:ilvl="0" w:tplc="AB600298">
      <w:start w:val="1"/>
      <w:numFmt w:val="bullet"/>
      <w:lvlText w:val="• "/>
      <w:lvlJc w:val="left"/>
      <w:pPr>
        <w:ind w:hanging="360"/>
      </w:pPr>
    </w:lvl>
    <w:lvl w:ilvl="1" w:tplc="DC3EF6C8">
      <w:numFmt w:val="decimal"/>
      <w:lvlText w:val=""/>
      <w:lvlJc w:val="left"/>
    </w:lvl>
    <w:lvl w:ilvl="2" w:tplc="DF4E39FE">
      <w:numFmt w:val="decimal"/>
      <w:lvlText w:val=""/>
      <w:lvlJc w:val="left"/>
    </w:lvl>
    <w:lvl w:ilvl="3" w:tplc="43102D6E">
      <w:numFmt w:val="decimal"/>
      <w:lvlText w:val=""/>
      <w:lvlJc w:val="left"/>
    </w:lvl>
    <w:lvl w:ilvl="4" w:tplc="364A15FC">
      <w:numFmt w:val="decimal"/>
      <w:lvlText w:val=""/>
      <w:lvlJc w:val="left"/>
    </w:lvl>
    <w:lvl w:ilvl="5" w:tplc="BE321EC2">
      <w:numFmt w:val="decimal"/>
      <w:lvlText w:val=""/>
      <w:lvlJc w:val="left"/>
    </w:lvl>
    <w:lvl w:ilvl="6" w:tplc="5A922A9A">
      <w:numFmt w:val="decimal"/>
      <w:lvlText w:val=""/>
      <w:lvlJc w:val="left"/>
    </w:lvl>
    <w:lvl w:ilvl="7" w:tplc="B95CB52A">
      <w:numFmt w:val="decimal"/>
      <w:lvlText w:val=""/>
      <w:lvlJc w:val="left"/>
    </w:lvl>
    <w:lvl w:ilvl="8" w:tplc="8AF0B81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CD4"/>
    <w:rsid w:val="00021E88"/>
    <w:rsid w:val="000441F3"/>
    <w:rsid w:val="000528B1"/>
    <w:rsid w:val="000913C9"/>
    <w:rsid w:val="000D7779"/>
    <w:rsid w:val="00671486"/>
    <w:rsid w:val="00C55086"/>
    <w:rsid w:val="00C66BEC"/>
    <w:rsid w:val="00C9145D"/>
    <w:rsid w:val="00D2049A"/>
    <w:rsid w:val="00DC7227"/>
    <w:rsid w:val="00F20CD4"/>
    <w:rsid w:val="00FB52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993CB"/>
  <w15:chartTrackingRefBased/>
  <w15:docId w15:val="{6D33D5CA-EF1B-4466-866E-796FB25EC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8B1"/>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550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rayc@marjin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481</Words>
  <Characters>2746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Ulaş Tuna</dc:creator>
  <cp:keywords/>
  <dc:description/>
  <cp:lastModifiedBy>Beril Pelesen</cp:lastModifiedBy>
  <cp:revision>6</cp:revision>
  <dcterms:created xsi:type="dcterms:W3CDTF">2020-05-11T07:45:00Z</dcterms:created>
  <dcterms:modified xsi:type="dcterms:W3CDTF">2020-05-13T06:28:00Z</dcterms:modified>
</cp:coreProperties>
</file>