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070BDE75" w:rsidR="00D322B8" w:rsidRPr="00C00FCE" w:rsidRDefault="00D322B8" w:rsidP="64669C14">
      <w:pPr>
        <w:rPr>
          <w:rFonts w:ascii="Tahoma" w:eastAsia="Tahoma" w:hAnsi="Tahoma" w:cs="Tahoma"/>
          <w:b/>
          <w:bCs/>
          <w:u w:val="single"/>
        </w:rPr>
      </w:pPr>
      <w:r w:rsidRPr="00C00FCE">
        <w:rPr>
          <w:rFonts w:ascii="Tahoma" w:eastAsia="Tahoma" w:hAnsi="Tahoma" w:cs="Tahoma"/>
          <w:b/>
          <w:bCs/>
          <w:u w:val="single"/>
        </w:rPr>
        <w:t>BASIN BÜLTENİ</w:t>
      </w:r>
      <w:r w:rsidRPr="00135527">
        <w:rPr>
          <w:u w:val="single"/>
        </w:rPr>
        <w:tab/>
      </w:r>
      <w:r w:rsidRPr="00135527">
        <w:rPr>
          <w:u w:val="single"/>
        </w:rPr>
        <w:tab/>
      </w:r>
      <w:r w:rsidRPr="00135527">
        <w:rPr>
          <w:u w:val="single"/>
        </w:rPr>
        <w:tab/>
      </w:r>
      <w:r w:rsidRPr="00135527">
        <w:rPr>
          <w:u w:val="single"/>
        </w:rPr>
        <w:tab/>
      </w:r>
      <w:r w:rsidRPr="00135527">
        <w:rPr>
          <w:u w:val="single"/>
        </w:rPr>
        <w:tab/>
      </w:r>
      <w:r w:rsidRPr="00C00FCE">
        <w:rPr>
          <w:rFonts w:ascii="Tahoma" w:eastAsia="Tahoma" w:hAnsi="Tahoma" w:cs="Tahoma"/>
          <w:b/>
          <w:bCs/>
          <w:u w:val="single"/>
        </w:rPr>
        <w:t xml:space="preserve">                                            </w:t>
      </w:r>
      <w:r w:rsidR="426E5EA5" w:rsidRPr="00C00FCE">
        <w:rPr>
          <w:rFonts w:ascii="Tahoma" w:eastAsia="Tahoma" w:hAnsi="Tahoma" w:cs="Tahoma"/>
          <w:b/>
          <w:bCs/>
          <w:u w:val="single"/>
        </w:rPr>
        <w:t>04</w:t>
      </w:r>
      <w:r w:rsidRPr="00135527">
        <w:rPr>
          <w:rFonts w:ascii="Tahoma" w:hAnsi="Tahoma"/>
          <w:b/>
          <w:u w:val="single"/>
        </w:rPr>
        <w:t>.</w:t>
      </w:r>
      <w:r w:rsidR="00A4756C" w:rsidRPr="00135527">
        <w:rPr>
          <w:rFonts w:ascii="Tahoma" w:hAnsi="Tahoma"/>
          <w:b/>
          <w:u w:val="single"/>
        </w:rPr>
        <w:t>05</w:t>
      </w:r>
      <w:r w:rsidRPr="00135527">
        <w:rPr>
          <w:rFonts w:ascii="Tahoma" w:hAnsi="Tahoma"/>
          <w:b/>
          <w:u w:val="single"/>
        </w:rPr>
        <w:t>.202</w:t>
      </w:r>
      <w:r w:rsidR="00A4756C" w:rsidRPr="00135527">
        <w:rPr>
          <w:rFonts w:ascii="Tahoma" w:hAnsi="Tahoma"/>
          <w:b/>
          <w:u w:val="single"/>
        </w:rPr>
        <w:t>3</w:t>
      </w:r>
    </w:p>
    <w:p w14:paraId="335CEAF7" w14:textId="60ACD4D6" w:rsidR="00D322B8" w:rsidRPr="00A23CC9" w:rsidRDefault="00D322B8" w:rsidP="00A23CC9">
      <w:pPr>
        <w:rPr>
          <w:rFonts w:ascii="Arial" w:hAnsi="Arial"/>
          <w:b/>
        </w:rPr>
      </w:pPr>
    </w:p>
    <w:p w14:paraId="15528324" w14:textId="3BF990CC" w:rsidR="00265ED3" w:rsidRDefault="008F6541" w:rsidP="006620CF">
      <w:pPr>
        <w:spacing w:after="0" w:line="300" w:lineRule="auto"/>
        <w:contextualSpacing/>
        <w:jc w:val="center"/>
        <w:rPr>
          <w:rFonts w:ascii="Arial" w:hAnsi="Arial" w:cs="Arial"/>
          <w:b/>
          <w:bCs/>
          <w:sz w:val="40"/>
          <w:szCs w:val="40"/>
        </w:rPr>
      </w:pPr>
      <w:r w:rsidRPr="00EF1855">
        <w:rPr>
          <w:rFonts w:ascii="Arial" w:hAnsi="Arial" w:cs="Arial"/>
          <w:b/>
          <w:bCs/>
          <w:sz w:val="40"/>
          <w:szCs w:val="40"/>
        </w:rPr>
        <w:t xml:space="preserve">Fiyat dalgalanmaları ve arz güvenliği riskleri </w:t>
      </w:r>
      <w:r w:rsidR="002520CD" w:rsidRPr="00EF1855">
        <w:rPr>
          <w:rFonts w:ascii="Arial" w:hAnsi="Arial" w:cs="Arial"/>
          <w:b/>
          <w:bCs/>
          <w:sz w:val="40"/>
          <w:szCs w:val="40"/>
        </w:rPr>
        <w:t xml:space="preserve">enerji </w:t>
      </w:r>
      <w:r w:rsidR="00374533" w:rsidRPr="00EF1855">
        <w:rPr>
          <w:rFonts w:ascii="Arial" w:hAnsi="Arial" w:cs="Arial"/>
          <w:b/>
          <w:bCs/>
          <w:sz w:val="40"/>
          <w:szCs w:val="40"/>
        </w:rPr>
        <w:t>piyasa</w:t>
      </w:r>
      <w:r w:rsidR="002520CD" w:rsidRPr="00EF1855">
        <w:rPr>
          <w:rFonts w:ascii="Arial" w:hAnsi="Arial" w:cs="Arial"/>
          <w:b/>
          <w:bCs/>
          <w:sz w:val="40"/>
          <w:szCs w:val="40"/>
        </w:rPr>
        <w:t>sın</w:t>
      </w:r>
      <w:r w:rsidR="00374533" w:rsidRPr="00EF1855">
        <w:rPr>
          <w:rFonts w:ascii="Arial" w:hAnsi="Arial" w:cs="Arial"/>
          <w:b/>
          <w:bCs/>
          <w:sz w:val="40"/>
          <w:szCs w:val="40"/>
        </w:rPr>
        <w:t>ı yeni eksene taşıdı</w:t>
      </w:r>
    </w:p>
    <w:p w14:paraId="0704C3D2" w14:textId="77777777" w:rsidR="00D322B8" w:rsidRPr="00B25D38" w:rsidRDefault="00D322B8" w:rsidP="00D322B8">
      <w:pPr>
        <w:spacing w:after="0" w:line="300" w:lineRule="auto"/>
        <w:contextualSpacing/>
        <w:jc w:val="both"/>
        <w:rPr>
          <w:rFonts w:ascii="Arial" w:hAnsi="Arial" w:cs="Arial"/>
          <w:highlight w:val="yellow"/>
        </w:rPr>
      </w:pPr>
    </w:p>
    <w:p w14:paraId="2979A449" w14:textId="028FA8CE" w:rsidR="003E04BA" w:rsidRDefault="001B535E" w:rsidP="00DE2A18">
      <w:pPr>
        <w:spacing w:after="0" w:line="300" w:lineRule="auto"/>
        <w:contextualSpacing/>
        <w:jc w:val="center"/>
        <w:rPr>
          <w:rFonts w:ascii="Arial" w:hAnsi="Arial" w:cs="Arial"/>
          <w:b/>
          <w:bCs/>
          <w:sz w:val="24"/>
          <w:szCs w:val="24"/>
        </w:rPr>
      </w:pPr>
      <w:r w:rsidRPr="00197D29">
        <w:rPr>
          <w:rFonts w:ascii="Arial" w:hAnsi="Arial" w:cs="Arial"/>
          <w:b/>
          <w:bCs/>
          <w:sz w:val="24"/>
          <w:szCs w:val="24"/>
        </w:rPr>
        <w:t>KPMG ve Enerji IQ iş birliği ile hazırlanan “Enerji Sektörel Bakış</w:t>
      </w:r>
      <w:r>
        <w:rPr>
          <w:rFonts w:ascii="Arial" w:hAnsi="Arial" w:cs="Arial"/>
          <w:b/>
          <w:bCs/>
          <w:sz w:val="24"/>
          <w:szCs w:val="24"/>
        </w:rPr>
        <w:t xml:space="preserve"> 202</w:t>
      </w:r>
      <w:r w:rsidR="00F400F6">
        <w:rPr>
          <w:rFonts w:ascii="Arial" w:hAnsi="Arial" w:cs="Arial"/>
          <w:b/>
          <w:bCs/>
          <w:sz w:val="24"/>
          <w:szCs w:val="24"/>
        </w:rPr>
        <w:t>2</w:t>
      </w:r>
      <w:r w:rsidRPr="00197D29">
        <w:rPr>
          <w:rFonts w:ascii="Arial" w:hAnsi="Arial" w:cs="Arial"/>
          <w:b/>
          <w:bCs/>
          <w:sz w:val="24"/>
          <w:szCs w:val="24"/>
        </w:rPr>
        <w:t xml:space="preserve">” raporu Türkiye'nin elektrik, doğal gaz ve </w:t>
      </w:r>
      <w:r w:rsidR="00A43AC1">
        <w:rPr>
          <w:rFonts w:ascii="Arial" w:hAnsi="Arial" w:cs="Arial"/>
          <w:b/>
          <w:bCs/>
          <w:sz w:val="24"/>
          <w:szCs w:val="24"/>
        </w:rPr>
        <w:t xml:space="preserve">yenilenebilir enerji </w:t>
      </w:r>
      <w:r w:rsidRPr="00197D29">
        <w:rPr>
          <w:rFonts w:ascii="Arial" w:hAnsi="Arial" w:cs="Arial"/>
          <w:b/>
          <w:bCs/>
          <w:sz w:val="24"/>
          <w:szCs w:val="24"/>
        </w:rPr>
        <w:t>piyasalarının 202</w:t>
      </w:r>
      <w:r w:rsidR="00F400F6">
        <w:rPr>
          <w:rFonts w:ascii="Arial" w:hAnsi="Arial" w:cs="Arial"/>
          <w:b/>
          <w:bCs/>
          <w:sz w:val="24"/>
          <w:szCs w:val="24"/>
        </w:rPr>
        <w:t>2</w:t>
      </w:r>
      <w:r w:rsidRPr="00197D29">
        <w:rPr>
          <w:rFonts w:ascii="Arial" w:hAnsi="Arial" w:cs="Arial"/>
          <w:b/>
          <w:bCs/>
          <w:sz w:val="24"/>
          <w:szCs w:val="24"/>
        </w:rPr>
        <w:t xml:space="preserve"> yılındaki görünümüne dair önemli </w:t>
      </w:r>
      <w:r w:rsidRPr="00DE2A18">
        <w:rPr>
          <w:rFonts w:ascii="Arial" w:hAnsi="Arial" w:cs="Arial"/>
          <w:b/>
          <w:bCs/>
          <w:sz w:val="24"/>
          <w:szCs w:val="24"/>
        </w:rPr>
        <w:t xml:space="preserve">bilgilere yer veriliyor. Rapora göre </w:t>
      </w:r>
      <w:r w:rsidR="00374533">
        <w:rPr>
          <w:rFonts w:ascii="Arial" w:hAnsi="Arial" w:cs="Arial"/>
          <w:b/>
          <w:bCs/>
          <w:sz w:val="24"/>
          <w:szCs w:val="24"/>
        </w:rPr>
        <w:t xml:space="preserve">2022 yılı, fiyat dalgalanmalarının ve arz güvenliğiyle ilgili artan </w:t>
      </w:r>
      <w:proofErr w:type="spellStart"/>
      <w:r w:rsidR="00374533">
        <w:rPr>
          <w:rFonts w:ascii="Arial" w:hAnsi="Arial" w:cs="Arial"/>
          <w:b/>
          <w:bCs/>
          <w:sz w:val="24"/>
          <w:szCs w:val="24"/>
        </w:rPr>
        <w:t>rikslerin</w:t>
      </w:r>
      <w:proofErr w:type="spellEnd"/>
      <w:r w:rsidR="00374533">
        <w:rPr>
          <w:rFonts w:ascii="Arial" w:hAnsi="Arial" w:cs="Arial"/>
          <w:b/>
          <w:bCs/>
          <w:sz w:val="24"/>
          <w:szCs w:val="24"/>
        </w:rPr>
        <w:t xml:space="preserve"> etkisiyle elektrik ve doğal gaz piyasalarında bir eksen değişikliğine neden oldu. Piyasalardaki şok dalgaları, </w:t>
      </w:r>
      <w:r w:rsidR="003E04BA">
        <w:rPr>
          <w:rFonts w:ascii="Arial" w:hAnsi="Arial" w:cs="Arial"/>
          <w:b/>
          <w:bCs/>
          <w:sz w:val="24"/>
          <w:szCs w:val="24"/>
        </w:rPr>
        <w:t xml:space="preserve">küresel bazda </w:t>
      </w:r>
      <w:r w:rsidR="00374533">
        <w:rPr>
          <w:rFonts w:ascii="Arial" w:hAnsi="Arial" w:cs="Arial"/>
          <w:b/>
          <w:bCs/>
          <w:sz w:val="24"/>
          <w:szCs w:val="24"/>
        </w:rPr>
        <w:t>geçici süre için devreye alınan regülasyonlarla dengelen</w:t>
      </w:r>
      <w:r w:rsidR="003E04BA">
        <w:rPr>
          <w:rFonts w:ascii="Arial" w:hAnsi="Arial" w:cs="Arial"/>
          <w:b/>
          <w:bCs/>
          <w:sz w:val="24"/>
          <w:szCs w:val="24"/>
        </w:rPr>
        <w:t>meye çalışıldı. Dönüşüm ve değişimi odağına alan yeni piyasa yapısının, orta ve uzun vadede yatırımları, enerji tedarik altyapısını ve sektördeki iş modellerini yeniden şekillendirmesi bekleniyor.</w:t>
      </w:r>
    </w:p>
    <w:p w14:paraId="78FFFAB0" w14:textId="77777777" w:rsidR="00D322B8" w:rsidRPr="00997F8E" w:rsidRDefault="00D322B8" w:rsidP="004A399D">
      <w:pPr>
        <w:spacing w:after="0" w:line="300" w:lineRule="auto"/>
        <w:contextualSpacing/>
        <w:jc w:val="both"/>
        <w:rPr>
          <w:rFonts w:ascii="Arial" w:hAnsi="Arial" w:cs="Arial"/>
        </w:rPr>
      </w:pPr>
    </w:p>
    <w:p w14:paraId="005AD3C4" w14:textId="4B2FE3ED" w:rsidR="00B05134" w:rsidRDefault="00F400F6" w:rsidP="00135527">
      <w:pPr>
        <w:spacing w:after="0" w:line="300" w:lineRule="auto"/>
        <w:contextualSpacing/>
        <w:jc w:val="both"/>
        <w:rPr>
          <w:rFonts w:ascii="Arial" w:hAnsi="Arial" w:cs="Arial"/>
        </w:rPr>
      </w:pPr>
      <w:r>
        <w:rPr>
          <w:rFonts w:ascii="Arial" w:hAnsi="Arial" w:cs="Arial"/>
        </w:rPr>
        <w:t xml:space="preserve">Şirketlere </w:t>
      </w:r>
      <w:r w:rsidR="00C33EC5" w:rsidRPr="00C33EC5">
        <w:rPr>
          <w:rFonts w:ascii="Arial" w:hAnsi="Arial" w:cs="Arial"/>
        </w:rPr>
        <w:t>danışmanlık alanında teknoloji temelli hizmetler sunan</w:t>
      </w:r>
      <w:r w:rsidR="00C33EC5">
        <w:rPr>
          <w:rFonts w:ascii="Arial" w:hAnsi="Arial" w:cs="Arial"/>
        </w:rPr>
        <w:t xml:space="preserve"> </w:t>
      </w:r>
      <w:r w:rsidR="00B05134" w:rsidRPr="00B05134">
        <w:rPr>
          <w:rFonts w:ascii="Arial" w:hAnsi="Arial" w:cs="Arial"/>
        </w:rPr>
        <w:t>KPMG ve</w:t>
      </w:r>
      <w:r w:rsidR="00AC557A">
        <w:rPr>
          <w:rFonts w:ascii="Arial" w:hAnsi="Arial" w:cs="Arial"/>
        </w:rPr>
        <w:t xml:space="preserve"> e</w:t>
      </w:r>
      <w:r w:rsidR="00AC557A" w:rsidRPr="00AC557A">
        <w:rPr>
          <w:rFonts w:ascii="Arial" w:hAnsi="Arial" w:cs="Arial"/>
        </w:rPr>
        <w:t xml:space="preserve">nerji </w:t>
      </w:r>
      <w:r w:rsidR="00AC557A">
        <w:rPr>
          <w:rFonts w:ascii="Arial" w:hAnsi="Arial" w:cs="Arial"/>
        </w:rPr>
        <w:t>p</w:t>
      </w:r>
      <w:r w:rsidR="00AC557A" w:rsidRPr="00AC557A">
        <w:rPr>
          <w:rFonts w:ascii="Arial" w:hAnsi="Arial" w:cs="Arial"/>
        </w:rPr>
        <w:t>iyasası</w:t>
      </w:r>
      <w:r w:rsidR="00AC557A">
        <w:rPr>
          <w:rFonts w:ascii="Arial" w:hAnsi="Arial" w:cs="Arial"/>
        </w:rPr>
        <w:t>na yönelik b</w:t>
      </w:r>
      <w:r w:rsidR="00AC557A" w:rsidRPr="00AC557A">
        <w:rPr>
          <w:rFonts w:ascii="Arial" w:hAnsi="Arial" w:cs="Arial"/>
        </w:rPr>
        <w:t xml:space="preserve">ilgi ve </w:t>
      </w:r>
      <w:r w:rsidR="00AC557A">
        <w:rPr>
          <w:rFonts w:ascii="Arial" w:hAnsi="Arial" w:cs="Arial"/>
        </w:rPr>
        <w:t>d</w:t>
      </w:r>
      <w:r w:rsidR="00AC557A" w:rsidRPr="00AC557A">
        <w:rPr>
          <w:rFonts w:ascii="Arial" w:hAnsi="Arial" w:cs="Arial"/>
        </w:rPr>
        <w:t xml:space="preserve">anışmanlık </w:t>
      </w:r>
      <w:r w:rsidR="00AC557A">
        <w:rPr>
          <w:rFonts w:ascii="Arial" w:hAnsi="Arial" w:cs="Arial"/>
        </w:rPr>
        <w:t>h</w:t>
      </w:r>
      <w:r w:rsidR="00AC557A" w:rsidRPr="00AC557A">
        <w:rPr>
          <w:rFonts w:ascii="Arial" w:hAnsi="Arial" w:cs="Arial"/>
        </w:rPr>
        <w:t>izmetleri</w:t>
      </w:r>
      <w:r w:rsidR="00B05134" w:rsidRPr="00B05134">
        <w:rPr>
          <w:rFonts w:ascii="Arial" w:hAnsi="Arial" w:cs="Arial"/>
        </w:rPr>
        <w:t xml:space="preserve"> </w:t>
      </w:r>
      <w:r w:rsidR="00AC557A">
        <w:rPr>
          <w:rFonts w:ascii="Arial" w:hAnsi="Arial" w:cs="Arial"/>
        </w:rPr>
        <w:t xml:space="preserve">veren </w:t>
      </w:r>
      <w:r w:rsidR="00B05134" w:rsidRPr="00B05134">
        <w:rPr>
          <w:rFonts w:ascii="Arial" w:hAnsi="Arial" w:cs="Arial"/>
        </w:rPr>
        <w:t xml:space="preserve">Enerji IQ tarafından </w:t>
      </w:r>
      <w:r w:rsidR="00C97C6C">
        <w:rPr>
          <w:rFonts w:ascii="Arial" w:hAnsi="Arial" w:cs="Arial"/>
        </w:rPr>
        <w:t xml:space="preserve">ortak hazırlanan, </w:t>
      </w:r>
      <w:r w:rsidR="00AC557A">
        <w:rPr>
          <w:rFonts w:ascii="Arial" w:hAnsi="Arial" w:cs="Arial"/>
        </w:rPr>
        <w:t xml:space="preserve">Türkiye’deki enerji sektörünün </w:t>
      </w:r>
      <w:r w:rsidR="00AC557A" w:rsidRPr="00B05134">
        <w:rPr>
          <w:rFonts w:ascii="Arial" w:hAnsi="Arial" w:cs="Arial"/>
        </w:rPr>
        <w:t>202</w:t>
      </w:r>
      <w:r>
        <w:rPr>
          <w:rFonts w:ascii="Arial" w:hAnsi="Arial" w:cs="Arial"/>
        </w:rPr>
        <w:t>2</w:t>
      </w:r>
      <w:r w:rsidR="00AC557A" w:rsidRPr="00B05134">
        <w:rPr>
          <w:rFonts w:ascii="Arial" w:hAnsi="Arial" w:cs="Arial"/>
        </w:rPr>
        <w:t xml:space="preserve"> yılı</w:t>
      </w:r>
      <w:r w:rsidR="00AC557A">
        <w:rPr>
          <w:rFonts w:ascii="Arial" w:hAnsi="Arial" w:cs="Arial"/>
        </w:rPr>
        <w:t xml:space="preserve"> görünümünü ortaya koyan </w:t>
      </w:r>
      <w:r w:rsidR="00C33EC5">
        <w:rPr>
          <w:rFonts w:ascii="Arial" w:hAnsi="Arial" w:cs="Arial"/>
        </w:rPr>
        <w:t>“</w:t>
      </w:r>
      <w:r w:rsidR="00C33EC5" w:rsidRPr="00C33EC5">
        <w:rPr>
          <w:rFonts w:ascii="Arial" w:hAnsi="Arial" w:cs="Arial"/>
        </w:rPr>
        <w:t>Enerji Sektörel</w:t>
      </w:r>
      <w:r w:rsidR="00C33EC5">
        <w:rPr>
          <w:rFonts w:ascii="Arial" w:hAnsi="Arial" w:cs="Arial"/>
        </w:rPr>
        <w:t xml:space="preserve"> </w:t>
      </w:r>
      <w:r w:rsidR="00C33EC5" w:rsidRPr="00C33EC5">
        <w:rPr>
          <w:rFonts w:ascii="Arial" w:hAnsi="Arial" w:cs="Arial"/>
        </w:rPr>
        <w:t>Bakış</w:t>
      </w:r>
      <w:r w:rsidR="00C33EC5">
        <w:rPr>
          <w:rFonts w:ascii="Arial" w:hAnsi="Arial" w:cs="Arial"/>
        </w:rPr>
        <w:t>” raporu</w:t>
      </w:r>
      <w:r w:rsidR="00AC557A">
        <w:rPr>
          <w:rFonts w:ascii="Arial" w:hAnsi="Arial" w:cs="Arial"/>
        </w:rPr>
        <w:t xml:space="preserve"> yayı</w:t>
      </w:r>
      <w:r w:rsidR="001B535E">
        <w:rPr>
          <w:rFonts w:ascii="Arial" w:hAnsi="Arial" w:cs="Arial"/>
        </w:rPr>
        <w:t>m</w:t>
      </w:r>
      <w:r w:rsidR="00AC557A">
        <w:rPr>
          <w:rFonts w:ascii="Arial" w:hAnsi="Arial" w:cs="Arial"/>
        </w:rPr>
        <w:t xml:space="preserve">landı. Global </w:t>
      </w:r>
      <w:r w:rsidR="00445F3E" w:rsidRPr="00445F3E">
        <w:rPr>
          <w:rFonts w:ascii="Arial" w:hAnsi="Arial" w:cs="Arial"/>
        </w:rPr>
        <w:t xml:space="preserve">ve </w:t>
      </w:r>
      <w:r w:rsidR="00AC557A">
        <w:rPr>
          <w:rFonts w:ascii="Arial" w:hAnsi="Arial" w:cs="Arial"/>
        </w:rPr>
        <w:t xml:space="preserve">yerel </w:t>
      </w:r>
      <w:r w:rsidR="00AC557A" w:rsidRPr="00445F3E">
        <w:rPr>
          <w:rFonts w:ascii="Arial" w:hAnsi="Arial" w:cs="Arial"/>
        </w:rPr>
        <w:t>ekonomik görünümü</w:t>
      </w:r>
      <w:r w:rsidR="00AC557A">
        <w:rPr>
          <w:rFonts w:ascii="Arial" w:hAnsi="Arial" w:cs="Arial"/>
        </w:rPr>
        <w:t xml:space="preserve">n yanı sıra </w:t>
      </w:r>
      <w:r w:rsidR="00445F3E" w:rsidRPr="00445F3E">
        <w:rPr>
          <w:rFonts w:ascii="Arial" w:hAnsi="Arial" w:cs="Arial"/>
        </w:rPr>
        <w:t xml:space="preserve">son küresel gelişmeler ışığında hazırlanan raporda, Türkiye'nin elektrik, doğal gaz ve </w:t>
      </w:r>
      <w:r w:rsidR="00265ED3">
        <w:rPr>
          <w:rFonts w:ascii="Arial" w:hAnsi="Arial" w:cs="Arial"/>
        </w:rPr>
        <w:t xml:space="preserve">yenilenebilir enerji </w:t>
      </w:r>
      <w:r w:rsidR="00445F3E" w:rsidRPr="00445F3E">
        <w:rPr>
          <w:rFonts w:ascii="Arial" w:hAnsi="Arial" w:cs="Arial"/>
        </w:rPr>
        <w:t xml:space="preserve">piyasalarının </w:t>
      </w:r>
      <w:r w:rsidR="00445F3E">
        <w:rPr>
          <w:rFonts w:ascii="Arial" w:hAnsi="Arial" w:cs="Arial"/>
        </w:rPr>
        <w:t xml:space="preserve">görünümüne </w:t>
      </w:r>
      <w:r w:rsidR="00AC557A">
        <w:rPr>
          <w:rFonts w:ascii="Arial" w:hAnsi="Arial" w:cs="Arial"/>
        </w:rPr>
        <w:t xml:space="preserve">dair önemli bilgilere </w:t>
      </w:r>
      <w:r w:rsidR="00445F3E" w:rsidRPr="00445F3E">
        <w:rPr>
          <w:rFonts w:ascii="Arial" w:hAnsi="Arial" w:cs="Arial"/>
        </w:rPr>
        <w:t>yer veriliyor.</w:t>
      </w:r>
    </w:p>
    <w:p w14:paraId="1E46F907" w14:textId="77777777" w:rsidR="00135527" w:rsidRDefault="00135527" w:rsidP="00135527">
      <w:pPr>
        <w:spacing w:after="0" w:line="300" w:lineRule="auto"/>
        <w:contextualSpacing/>
        <w:jc w:val="both"/>
        <w:rPr>
          <w:rFonts w:ascii="Arial" w:hAnsi="Arial" w:cs="Arial"/>
        </w:rPr>
      </w:pPr>
    </w:p>
    <w:p w14:paraId="17C311A4" w14:textId="5960FCC8" w:rsidR="00DB4AB8" w:rsidRPr="00135527" w:rsidRDefault="00DB4AB8" w:rsidP="00135527">
      <w:pPr>
        <w:spacing w:after="0" w:line="300" w:lineRule="auto"/>
        <w:contextualSpacing/>
        <w:jc w:val="both"/>
        <w:rPr>
          <w:rFonts w:ascii="Arial" w:hAnsi="Arial" w:cs="Arial"/>
        </w:rPr>
      </w:pPr>
      <w:r w:rsidRPr="00135527">
        <w:rPr>
          <w:rFonts w:ascii="Arial" w:hAnsi="Arial" w:cs="Arial"/>
        </w:rPr>
        <w:t xml:space="preserve">Raporla ilgili değerlendirmede bulunan </w:t>
      </w:r>
      <w:r w:rsidRPr="00135527">
        <w:rPr>
          <w:rFonts w:ascii="Arial" w:hAnsi="Arial" w:cs="Arial"/>
          <w:b/>
          <w:bCs/>
        </w:rPr>
        <w:t xml:space="preserve">KPMG </w:t>
      </w:r>
      <w:r w:rsidR="00376EE4" w:rsidRPr="00135527">
        <w:rPr>
          <w:rFonts w:ascii="Arial" w:hAnsi="Arial" w:cs="Arial"/>
          <w:b/>
          <w:bCs/>
        </w:rPr>
        <w:t>Türkiye Petrol ve Doğal Gaz Lideri Hakan Demirelli</w:t>
      </w:r>
      <w:r w:rsidRPr="00135527">
        <w:rPr>
          <w:rFonts w:ascii="Arial" w:hAnsi="Arial" w:cs="Arial"/>
        </w:rPr>
        <w:t>, “</w:t>
      </w:r>
      <w:r w:rsidR="00070A71" w:rsidRPr="00135527">
        <w:rPr>
          <w:rFonts w:ascii="Arial" w:hAnsi="Arial" w:cs="Arial"/>
        </w:rPr>
        <w:t>Enerji sektörü küresel olarak büyük bir dönüşüm sürecinde. 2022 sonu itibarı ile dünyada 300’den fazla şirketin küresel bir girişim olan RE100’e katıldığı ve yüzde 100 yeşil enerji üretim taahhüdünde bulunduğu belirtiliyor. Türkiye’de de önümüzdeki dönemde enerji sektörü başta olmak üzere sektörler genelinde yeşil enerji uygulamalarının yaygınlaştığını göreceğiz</w:t>
      </w:r>
      <w:r w:rsidR="006666F0" w:rsidRPr="00135527">
        <w:rPr>
          <w:rFonts w:ascii="Arial" w:hAnsi="Arial" w:cs="Arial"/>
        </w:rPr>
        <w:t>.</w:t>
      </w:r>
      <w:r w:rsidRPr="00135527">
        <w:rPr>
          <w:rFonts w:ascii="Arial" w:hAnsi="Arial" w:cs="Arial"/>
        </w:rPr>
        <w:t>” dedi.</w:t>
      </w:r>
    </w:p>
    <w:p w14:paraId="1ADCA62E" w14:textId="77777777" w:rsidR="00A23CC9" w:rsidRPr="00135527" w:rsidRDefault="00A23CC9" w:rsidP="00135527">
      <w:pPr>
        <w:spacing w:after="0" w:line="300" w:lineRule="auto"/>
        <w:contextualSpacing/>
        <w:jc w:val="both"/>
        <w:rPr>
          <w:rFonts w:ascii="Arial" w:hAnsi="Arial" w:cs="Arial"/>
        </w:rPr>
      </w:pPr>
    </w:p>
    <w:p w14:paraId="20C0C448" w14:textId="17D0F60C" w:rsidR="00376EE4" w:rsidRPr="00135527" w:rsidRDefault="00376EE4" w:rsidP="00135527">
      <w:pPr>
        <w:spacing w:after="0" w:line="300" w:lineRule="auto"/>
        <w:contextualSpacing/>
        <w:jc w:val="both"/>
        <w:rPr>
          <w:rFonts w:ascii="Arial" w:hAnsi="Arial"/>
        </w:rPr>
      </w:pPr>
      <w:r w:rsidRPr="00135527">
        <w:rPr>
          <w:rFonts w:ascii="Arial" w:hAnsi="Arial" w:cs="Arial"/>
          <w:b/>
          <w:bCs/>
        </w:rPr>
        <w:t xml:space="preserve">KPMG Türkiye Elektrik ve Altyapı Lideri </w:t>
      </w:r>
      <w:r w:rsidR="00F11CE7" w:rsidRPr="00135527">
        <w:rPr>
          <w:rFonts w:ascii="Arial" w:hAnsi="Arial" w:cs="Arial"/>
          <w:b/>
          <w:bCs/>
        </w:rPr>
        <w:t>Orhan Turan</w:t>
      </w:r>
      <w:r w:rsidRPr="00135527">
        <w:rPr>
          <w:rFonts w:ascii="Arial" w:hAnsi="Arial" w:cs="Arial"/>
          <w:b/>
          <w:bCs/>
        </w:rPr>
        <w:t xml:space="preserve"> </w:t>
      </w:r>
      <w:r w:rsidRPr="00135527">
        <w:rPr>
          <w:rFonts w:ascii="Arial" w:hAnsi="Arial" w:cs="Arial"/>
        </w:rPr>
        <w:t>ise raporu</w:t>
      </w:r>
      <w:r w:rsidR="00A23CC9" w:rsidRPr="00135527">
        <w:rPr>
          <w:rFonts w:ascii="Arial" w:hAnsi="Arial" w:cs="Arial"/>
        </w:rPr>
        <w:t>,</w:t>
      </w:r>
      <w:r w:rsidRPr="00135527">
        <w:rPr>
          <w:rFonts w:ascii="Arial" w:hAnsi="Arial" w:cs="Arial"/>
        </w:rPr>
        <w:t xml:space="preserve"> “</w:t>
      </w:r>
      <w:r w:rsidR="006666F0" w:rsidRPr="00135527">
        <w:rPr>
          <w:rFonts w:ascii="Arial" w:hAnsi="Arial" w:cs="Arial"/>
        </w:rPr>
        <w:t xml:space="preserve">Yeşil enerjiye geçiş günümüzün en önemli ve öncelikli gündem maddelerinden. Bu sürecin doğru ve hızlı bir şekilde yönetilmesi için yeşil finansman uygulamalarının sürekli kılınması </w:t>
      </w:r>
      <w:r w:rsidR="00917149" w:rsidRPr="00135527">
        <w:rPr>
          <w:rFonts w:ascii="Arial" w:hAnsi="Arial" w:cs="Arial"/>
        </w:rPr>
        <w:t>gerekli</w:t>
      </w:r>
      <w:r w:rsidR="006666F0" w:rsidRPr="00135527">
        <w:rPr>
          <w:rFonts w:ascii="Arial" w:hAnsi="Arial" w:cs="Arial"/>
        </w:rPr>
        <w:t>.</w:t>
      </w:r>
      <w:r w:rsidR="00917149" w:rsidRPr="00135527">
        <w:rPr>
          <w:rFonts w:ascii="Arial" w:hAnsi="Arial" w:cs="Arial"/>
        </w:rPr>
        <w:t xml:space="preserve"> Finans sektörünün doğru pozisyon alarak yeşil dönüşüm projelerine yeterli kaynağı sağlaması oldukça önemli.</w:t>
      </w:r>
      <w:r w:rsidRPr="00135527">
        <w:rPr>
          <w:rFonts w:ascii="Arial" w:hAnsi="Arial" w:cs="Arial"/>
        </w:rPr>
        <w:t>” şeklinde değerlendirdi.</w:t>
      </w:r>
    </w:p>
    <w:p w14:paraId="26BF7478" w14:textId="77777777" w:rsidR="00A23CC9" w:rsidRPr="00135527" w:rsidRDefault="00A23CC9" w:rsidP="00135527">
      <w:pPr>
        <w:spacing w:after="0" w:line="300" w:lineRule="auto"/>
        <w:contextualSpacing/>
        <w:jc w:val="both"/>
        <w:rPr>
          <w:rFonts w:ascii="Arial" w:hAnsi="Arial" w:cs="Arial"/>
        </w:rPr>
      </w:pPr>
    </w:p>
    <w:p w14:paraId="4710F935" w14:textId="15CC3344" w:rsidR="003E04BA" w:rsidRDefault="00A23CC9" w:rsidP="00135527">
      <w:pPr>
        <w:spacing w:after="0" w:line="300" w:lineRule="auto"/>
        <w:contextualSpacing/>
        <w:jc w:val="both"/>
        <w:rPr>
          <w:rFonts w:ascii="Arial" w:hAnsi="Arial" w:cs="Arial"/>
        </w:rPr>
      </w:pPr>
      <w:r w:rsidRPr="00135527">
        <w:rPr>
          <w:rFonts w:ascii="Arial" w:hAnsi="Arial"/>
          <w:b/>
        </w:rPr>
        <w:t>Enerji IQ Bilgi Servisleri Genel Müdürü Emre Ertürk</w:t>
      </w:r>
      <w:r w:rsidRPr="00135527">
        <w:rPr>
          <w:rFonts w:ascii="Arial" w:hAnsi="Arial"/>
        </w:rPr>
        <w:t xml:space="preserve"> de </w:t>
      </w:r>
      <w:r w:rsidR="00F400F6" w:rsidRPr="00135527">
        <w:rPr>
          <w:rFonts w:ascii="Arial" w:hAnsi="Arial"/>
        </w:rPr>
        <w:t xml:space="preserve">değerlendirmesinde şunları söyledi: </w:t>
      </w:r>
      <w:r w:rsidR="002520CD" w:rsidRPr="00135527">
        <w:rPr>
          <w:rFonts w:ascii="Arial" w:hAnsi="Arial" w:cs="Arial"/>
        </w:rPr>
        <w:t xml:space="preserve">“Rusya ve Ukrayna arasında geçen yıl şubat ayında başlayan sorun, enerji piyasasında Avrupa merkezli bir değişim ve dönüşüm dalgası oluşturdu. </w:t>
      </w:r>
      <w:r w:rsidR="00F678E2" w:rsidRPr="00135527">
        <w:rPr>
          <w:rFonts w:ascii="Arial" w:hAnsi="Arial" w:cs="Arial"/>
        </w:rPr>
        <w:t xml:space="preserve">Bu dönüşümün etkileri, artık coğrafi açıdan </w:t>
      </w:r>
      <w:r w:rsidR="00920D18" w:rsidRPr="00135527">
        <w:rPr>
          <w:rFonts w:ascii="Arial" w:hAnsi="Arial" w:cs="Arial"/>
        </w:rPr>
        <w:t xml:space="preserve">bölgeye </w:t>
      </w:r>
      <w:r w:rsidR="00F678E2" w:rsidRPr="00135527">
        <w:rPr>
          <w:rFonts w:ascii="Arial" w:hAnsi="Arial" w:cs="Arial"/>
        </w:rPr>
        <w:t xml:space="preserve">uzak piyasalarda da gözlemlenebiliyor. Türkiye piyasası da bu döngünün içerisinde. </w:t>
      </w:r>
      <w:r w:rsidR="00D45F45" w:rsidRPr="00135527">
        <w:rPr>
          <w:rFonts w:ascii="Arial" w:hAnsi="Arial" w:cs="Arial"/>
        </w:rPr>
        <w:t>Nitelikli bilgiye</w:t>
      </w:r>
      <w:r w:rsidR="00135527" w:rsidRPr="00135527">
        <w:rPr>
          <w:rFonts w:ascii="Arial" w:hAnsi="Arial" w:cs="Arial"/>
        </w:rPr>
        <w:t>;</w:t>
      </w:r>
      <w:r w:rsidR="00D45F45" w:rsidRPr="00135527">
        <w:rPr>
          <w:rFonts w:ascii="Arial" w:hAnsi="Arial" w:cs="Arial"/>
        </w:rPr>
        <w:t xml:space="preserve"> doğru, hızlı ve zamanında </w:t>
      </w:r>
      <w:proofErr w:type="spellStart"/>
      <w:r w:rsidR="00D45F45" w:rsidRPr="00135527">
        <w:rPr>
          <w:rFonts w:ascii="Arial" w:hAnsi="Arial" w:cs="Arial"/>
        </w:rPr>
        <w:t>erşim</w:t>
      </w:r>
      <w:proofErr w:type="spellEnd"/>
      <w:r w:rsidR="00D45F45" w:rsidRPr="00135527">
        <w:rPr>
          <w:rFonts w:ascii="Arial" w:hAnsi="Arial" w:cs="Arial"/>
        </w:rPr>
        <w:t>, risk yönetimi ve stratejik karar mekanizmaları açısından büyük önem taşıyor.</w:t>
      </w:r>
      <w:r w:rsidR="00F678E2" w:rsidRPr="00135527">
        <w:rPr>
          <w:rFonts w:ascii="Arial" w:hAnsi="Arial" w:cs="Arial"/>
        </w:rPr>
        <w:t>”</w:t>
      </w:r>
    </w:p>
    <w:p w14:paraId="39D7CF25" w14:textId="77777777" w:rsidR="00D45F45" w:rsidRDefault="00D45F45" w:rsidP="00135527">
      <w:pPr>
        <w:spacing w:after="0" w:line="300" w:lineRule="auto"/>
        <w:contextualSpacing/>
        <w:jc w:val="both"/>
        <w:rPr>
          <w:rFonts w:ascii="Arial" w:hAnsi="Arial" w:cs="Arial"/>
        </w:rPr>
      </w:pPr>
    </w:p>
    <w:p w14:paraId="78BC6AB2" w14:textId="5C4B8E66" w:rsidR="00B05134" w:rsidRDefault="00F678E2" w:rsidP="00135527">
      <w:pPr>
        <w:spacing w:after="0" w:line="300" w:lineRule="auto"/>
        <w:contextualSpacing/>
        <w:jc w:val="both"/>
        <w:rPr>
          <w:rFonts w:ascii="Arial" w:hAnsi="Arial" w:cs="Arial"/>
        </w:rPr>
      </w:pPr>
      <w:r w:rsidRPr="00917149">
        <w:rPr>
          <w:rFonts w:ascii="Arial" w:hAnsi="Arial" w:cs="Arial"/>
          <w:b/>
          <w:bCs/>
        </w:rPr>
        <w:t xml:space="preserve">Enerji IQ Bilgi Servisleri Çözüm Ortağı </w:t>
      </w:r>
      <w:r w:rsidRPr="00D45F45">
        <w:rPr>
          <w:rFonts w:ascii="Arial" w:hAnsi="Arial" w:cs="Arial"/>
          <w:b/>
          <w:bCs/>
        </w:rPr>
        <w:t xml:space="preserve">Alper </w:t>
      </w:r>
      <w:proofErr w:type="spellStart"/>
      <w:r w:rsidRPr="00D45F45">
        <w:rPr>
          <w:rFonts w:ascii="Arial" w:hAnsi="Arial" w:cs="Arial"/>
          <w:b/>
          <w:bCs/>
        </w:rPr>
        <w:t>Özmumcu</w:t>
      </w:r>
      <w:proofErr w:type="spellEnd"/>
      <w:r w:rsidRPr="00D45F45">
        <w:rPr>
          <w:rFonts w:ascii="Arial" w:hAnsi="Arial" w:cs="Arial"/>
          <w:b/>
          <w:bCs/>
        </w:rPr>
        <w:t xml:space="preserve"> </w:t>
      </w:r>
      <w:r w:rsidRPr="00917149">
        <w:rPr>
          <w:rFonts w:ascii="Arial" w:hAnsi="Arial" w:cs="Arial"/>
        </w:rPr>
        <w:t xml:space="preserve">ise </w:t>
      </w:r>
      <w:r w:rsidR="00D45F45" w:rsidRPr="00917149">
        <w:rPr>
          <w:rFonts w:ascii="Arial" w:hAnsi="Arial" w:cs="Arial"/>
        </w:rPr>
        <w:t>raporla ilgili görüşlerini şöyle aktardı:</w:t>
      </w:r>
      <w:r w:rsidR="00135527">
        <w:rPr>
          <w:rFonts w:ascii="Arial" w:hAnsi="Arial" w:cs="Arial"/>
        </w:rPr>
        <w:t xml:space="preserve"> </w:t>
      </w:r>
      <w:r w:rsidR="00D45F45" w:rsidRPr="00917149">
        <w:rPr>
          <w:rFonts w:ascii="Arial" w:hAnsi="Arial" w:cs="Arial"/>
        </w:rPr>
        <w:t>“</w:t>
      </w:r>
      <w:r w:rsidR="00D45F45">
        <w:rPr>
          <w:rFonts w:ascii="Arial" w:hAnsi="Arial" w:cs="Arial"/>
        </w:rPr>
        <w:t xml:space="preserve">Verilere dayanarak yaptığımız karşılaştırmalı analizler, bize piyasanın geleceği adına matematiksel temele dayalı somut ipuçları veriyor. Bu çalışmalarımızın temel konularına raporda yer vererek geleceğe dönük bir perspektifle 2022 yılını </w:t>
      </w:r>
      <w:r w:rsidR="00920D18">
        <w:rPr>
          <w:rFonts w:ascii="Arial" w:hAnsi="Arial" w:cs="Arial"/>
        </w:rPr>
        <w:t>inceledik.”</w:t>
      </w:r>
    </w:p>
    <w:p w14:paraId="46FFFEA1" w14:textId="77777777" w:rsidR="00135527" w:rsidRDefault="00135527" w:rsidP="00135527">
      <w:pPr>
        <w:spacing w:after="0" w:line="300" w:lineRule="auto"/>
        <w:contextualSpacing/>
        <w:jc w:val="both"/>
        <w:rPr>
          <w:rFonts w:ascii="Arial" w:hAnsi="Arial" w:cs="Arial"/>
        </w:rPr>
      </w:pPr>
    </w:p>
    <w:p w14:paraId="7332B88B" w14:textId="77777777" w:rsidR="00C02B76" w:rsidRDefault="00C02B76" w:rsidP="00135527">
      <w:pPr>
        <w:spacing w:after="0" w:line="300" w:lineRule="auto"/>
        <w:contextualSpacing/>
        <w:jc w:val="both"/>
        <w:rPr>
          <w:rFonts w:ascii="Arial" w:hAnsi="Arial" w:cs="Arial"/>
          <w:b/>
          <w:bCs/>
        </w:rPr>
      </w:pPr>
      <w:r w:rsidRPr="00C02B76">
        <w:rPr>
          <w:rFonts w:ascii="Arial" w:hAnsi="Arial" w:cs="Arial"/>
          <w:b/>
          <w:bCs/>
        </w:rPr>
        <w:t>Enerji sektörü CEO’ları olası bir resesyona hazır</w:t>
      </w:r>
    </w:p>
    <w:p w14:paraId="34C54499" w14:textId="3654EDC7" w:rsidR="009B3E1C" w:rsidRPr="00C02B76" w:rsidRDefault="00AC557A" w:rsidP="00135527">
      <w:pPr>
        <w:spacing w:after="0" w:line="300" w:lineRule="auto"/>
        <w:contextualSpacing/>
        <w:jc w:val="both"/>
        <w:rPr>
          <w:rFonts w:ascii="Arial" w:hAnsi="Arial" w:cs="Arial"/>
          <w:b/>
          <w:bCs/>
        </w:rPr>
      </w:pPr>
      <w:r>
        <w:rPr>
          <w:rFonts w:ascii="Arial" w:hAnsi="Arial" w:cs="Arial"/>
        </w:rPr>
        <w:t xml:space="preserve">Rapora göre </w:t>
      </w:r>
      <w:r w:rsidR="00C02B76">
        <w:rPr>
          <w:rFonts w:ascii="Arial" w:hAnsi="Arial" w:cs="Arial"/>
        </w:rPr>
        <w:t>küresel çapta e</w:t>
      </w:r>
      <w:r w:rsidR="009B3E1C" w:rsidRPr="009B3E1C">
        <w:rPr>
          <w:rFonts w:ascii="Arial" w:hAnsi="Arial" w:cs="Arial"/>
        </w:rPr>
        <w:t>nerji sektörü CEO’ları 2022 ve sonrasında olası bir</w:t>
      </w:r>
      <w:r w:rsidR="00C02B76">
        <w:rPr>
          <w:rFonts w:ascii="Arial" w:hAnsi="Arial" w:cs="Arial"/>
        </w:rPr>
        <w:t xml:space="preserve"> </w:t>
      </w:r>
      <w:r w:rsidR="009B3E1C" w:rsidRPr="009B3E1C">
        <w:rPr>
          <w:rFonts w:ascii="Arial" w:hAnsi="Arial" w:cs="Arial"/>
        </w:rPr>
        <w:t xml:space="preserve">resesyona hazır. CEO’ların </w:t>
      </w:r>
      <w:r w:rsidR="00C02B76">
        <w:rPr>
          <w:rFonts w:ascii="Arial" w:hAnsi="Arial" w:cs="Arial"/>
        </w:rPr>
        <w:t xml:space="preserve">yüzde </w:t>
      </w:r>
      <w:r w:rsidR="009B3E1C" w:rsidRPr="009B3E1C">
        <w:rPr>
          <w:rFonts w:ascii="Arial" w:hAnsi="Arial" w:cs="Arial"/>
        </w:rPr>
        <w:t>87’si önümüzdeki 12 ay</w:t>
      </w:r>
      <w:r w:rsidR="00C02B76">
        <w:rPr>
          <w:rFonts w:ascii="Arial" w:hAnsi="Arial" w:cs="Arial"/>
        </w:rPr>
        <w:t xml:space="preserve"> </w:t>
      </w:r>
      <w:r w:rsidR="009B3E1C" w:rsidRPr="009B3E1C">
        <w:rPr>
          <w:rFonts w:ascii="Arial" w:hAnsi="Arial" w:cs="Arial"/>
        </w:rPr>
        <w:t>içerisinde bir resesyon yaşanabileceğini söylüyor. CEO’ların</w:t>
      </w:r>
      <w:r w:rsidR="00C02B76">
        <w:rPr>
          <w:rFonts w:ascii="Arial" w:hAnsi="Arial" w:cs="Arial"/>
        </w:rPr>
        <w:t xml:space="preserve"> yüzde </w:t>
      </w:r>
      <w:r w:rsidR="009B3E1C" w:rsidRPr="009B3E1C">
        <w:rPr>
          <w:rFonts w:ascii="Arial" w:hAnsi="Arial" w:cs="Arial"/>
        </w:rPr>
        <w:t>57’si bu resesyonun hafif ve kısa süreli olacağını</w:t>
      </w:r>
      <w:r w:rsidR="00C02B76">
        <w:rPr>
          <w:rFonts w:ascii="Arial" w:hAnsi="Arial" w:cs="Arial"/>
        </w:rPr>
        <w:t xml:space="preserve"> </w:t>
      </w:r>
      <w:r w:rsidR="009B3E1C" w:rsidRPr="009B3E1C">
        <w:rPr>
          <w:rFonts w:ascii="Arial" w:hAnsi="Arial" w:cs="Arial"/>
        </w:rPr>
        <w:t xml:space="preserve">düşünürken </w:t>
      </w:r>
      <w:r w:rsidR="00C02B76">
        <w:rPr>
          <w:rFonts w:ascii="Arial" w:hAnsi="Arial" w:cs="Arial"/>
        </w:rPr>
        <w:t xml:space="preserve">yüzde </w:t>
      </w:r>
      <w:r w:rsidR="009B3E1C" w:rsidRPr="009B3E1C">
        <w:rPr>
          <w:rFonts w:ascii="Arial" w:hAnsi="Arial" w:cs="Arial"/>
        </w:rPr>
        <w:t>75’i önümüzdeki 3 yılda yaşanması beklenen</w:t>
      </w:r>
      <w:r w:rsidR="00C02B76">
        <w:rPr>
          <w:rFonts w:ascii="Arial" w:hAnsi="Arial" w:cs="Arial"/>
        </w:rPr>
        <w:t xml:space="preserve"> </w:t>
      </w:r>
      <w:r w:rsidR="009B3E1C" w:rsidRPr="009B3E1C">
        <w:rPr>
          <w:rFonts w:ascii="Arial" w:hAnsi="Arial" w:cs="Arial"/>
        </w:rPr>
        <w:t>büyümeyi tersine çevireceğine inanıyor.</w:t>
      </w:r>
      <w:r w:rsidR="00C02B76">
        <w:rPr>
          <w:rFonts w:ascii="Arial" w:hAnsi="Arial" w:cs="Arial"/>
        </w:rPr>
        <w:t xml:space="preserve"> </w:t>
      </w:r>
      <w:r w:rsidR="009B3E1C" w:rsidRPr="009B3E1C">
        <w:rPr>
          <w:rFonts w:ascii="Arial" w:hAnsi="Arial" w:cs="Arial"/>
        </w:rPr>
        <w:t>CEO’lara endişe</w:t>
      </w:r>
      <w:r w:rsidR="00C02B76">
        <w:rPr>
          <w:rFonts w:ascii="Arial" w:hAnsi="Arial" w:cs="Arial"/>
        </w:rPr>
        <w:t xml:space="preserve"> </w:t>
      </w:r>
      <w:r w:rsidR="009B3E1C" w:rsidRPr="009B3E1C">
        <w:rPr>
          <w:rFonts w:ascii="Arial" w:hAnsi="Arial" w:cs="Arial"/>
        </w:rPr>
        <w:t>ettikleri en büyük riskler sorulduğunda; faiz oranları,</w:t>
      </w:r>
      <w:r w:rsidR="00C02B76">
        <w:rPr>
          <w:rFonts w:ascii="Arial" w:hAnsi="Arial" w:cs="Arial"/>
        </w:rPr>
        <w:t xml:space="preserve"> </w:t>
      </w:r>
      <w:r w:rsidR="009B3E1C" w:rsidRPr="009B3E1C">
        <w:rPr>
          <w:rFonts w:ascii="Arial" w:hAnsi="Arial" w:cs="Arial"/>
        </w:rPr>
        <w:t>enflasyon ve resesyon</w:t>
      </w:r>
      <w:r w:rsidR="00C02B76">
        <w:rPr>
          <w:rFonts w:ascii="Arial" w:hAnsi="Arial" w:cs="Arial"/>
        </w:rPr>
        <w:t xml:space="preserve"> </w:t>
      </w:r>
      <w:r w:rsidR="009B3E1C" w:rsidRPr="009B3E1C">
        <w:rPr>
          <w:rFonts w:ascii="Arial" w:hAnsi="Arial" w:cs="Arial"/>
        </w:rPr>
        <w:t>ilk 3 sırayı alıyor.</w:t>
      </w:r>
      <w:r w:rsidR="00C02B76">
        <w:rPr>
          <w:rFonts w:ascii="Arial" w:hAnsi="Arial" w:cs="Arial"/>
        </w:rPr>
        <w:t xml:space="preserve"> </w:t>
      </w:r>
      <w:r w:rsidR="009B3E1C" w:rsidRPr="009B3E1C">
        <w:rPr>
          <w:rFonts w:ascii="Arial" w:hAnsi="Arial" w:cs="Arial"/>
        </w:rPr>
        <w:t xml:space="preserve">Buna rağmen, </w:t>
      </w:r>
      <w:r w:rsidR="00C02B76">
        <w:rPr>
          <w:rFonts w:ascii="Arial" w:hAnsi="Arial" w:cs="Arial"/>
        </w:rPr>
        <w:t>e</w:t>
      </w:r>
      <w:r w:rsidR="009B3E1C" w:rsidRPr="009B3E1C">
        <w:rPr>
          <w:rFonts w:ascii="Arial" w:hAnsi="Arial" w:cs="Arial"/>
        </w:rPr>
        <w:t>nerji CEO’larının birçoğu, şirketlerinin, enerji</w:t>
      </w:r>
      <w:r w:rsidR="00C02B76">
        <w:rPr>
          <w:rFonts w:ascii="Arial" w:hAnsi="Arial" w:cs="Arial"/>
        </w:rPr>
        <w:t xml:space="preserve"> </w:t>
      </w:r>
      <w:r w:rsidR="009B3E1C" w:rsidRPr="009B3E1C">
        <w:rPr>
          <w:rFonts w:ascii="Arial" w:hAnsi="Arial" w:cs="Arial"/>
        </w:rPr>
        <w:t>sektörünün ve</w:t>
      </w:r>
      <w:r w:rsidR="00C02B76">
        <w:rPr>
          <w:rFonts w:ascii="Arial" w:hAnsi="Arial" w:cs="Arial"/>
        </w:rPr>
        <w:t xml:space="preserve"> </w:t>
      </w:r>
      <w:r w:rsidR="009B3E1C" w:rsidRPr="009B3E1C">
        <w:rPr>
          <w:rFonts w:ascii="Arial" w:hAnsi="Arial" w:cs="Arial"/>
        </w:rPr>
        <w:t>küresel ekonominin önümüzdeki 3 yıl içinde</w:t>
      </w:r>
      <w:r w:rsidR="00C02B76">
        <w:rPr>
          <w:rFonts w:ascii="Arial" w:hAnsi="Arial" w:cs="Arial"/>
        </w:rPr>
        <w:t xml:space="preserve"> </w:t>
      </w:r>
      <w:r w:rsidR="009B3E1C" w:rsidRPr="009B3E1C">
        <w:rPr>
          <w:rFonts w:ascii="Arial" w:hAnsi="Arial" w:cs="Arial"/>
        </w:rPr>
        <w:t>yaşayacağı büyüme konusunda oldukça iyimser.</w:t>
      </w:r>
      <w:r w:rsidR="00C02B76">
        <w:rPr>
          <w:rFonts w:ascii="Arial" w:hAnsi="Arial" w:cs="Arial"/>
        </w:rPr>
        <w:t xml:space="preserve"> </w:t>
      </w:r>
      <w:r w:rsidR="009B3E1C" w:rsidRPr="009B3E1C">
        <w:rPr>
          <w:rFonts w:ascii="Arial" w:hAnsi="Arial" w:cs="Arial"/>
        </w:rPr>
        <w:t>CEO’lar</w:t>
      </w:r>
      <w:r w:rsidR="00C02B76">
        <w:rPr>
          <w:rFonts w:ascii="Arial" w:hAnsi="Arial" w:cs="Arial"/>
        </w:rPr>
        <w:t xml:space="preserve"> </w:t>
      </w:r>
      <w:r w:rsidR="009B3E1C" w:rsidRPr="009B3E1C">
        <w:rPr>
          <w:rFonts w:ascii="Arial" w:hAnsi="Arial" w:cs="Arial"/>
        </w:rPr>
        <w:t>artan belirsizliğe rağmen dayanıklı kalmaya devam ediyor ve</w:t>
      </w:r>
      <w:r w:rsidR="00C02B76">
        <w:rPr>
          <w:rFonts w:ascii="Arial" w:hAnsi="Arial" w:cs="Arial"/>
        </w:rPr>
        <w:t xml:space="preserve"> </w:t>
      </w:r>
      <w:r w:rsidR="009B3E1C" w:rsidRPr="009B3E1C">
        <w:rPr>
          <w:rFonts w:ascii="Arial" w:hAnsi="Arial" w:cs="Arial"/>
        </w:rPr>
        <w:t>uzun vadeli, sürdürülebilir büyümeye odaklanıyor.</w:t>
      </w:r>
    </w:p>
    <w:p w14:paraId="0EE565FF" w14:textId="77777777" w:rsidR="009B3E1C" w:rsidRPr="009B3E1C" w:rsidRDefault="009B3E1C" w:rsidP="00135527">
      <w:pPr>
        <w:spacing w:after="0" w:line="300" w:lineRule="auto"/>
        <w:contextualSpacing/>
        <w:jc w:val="both"/>
        <w:rPr>
          <w:rFonts w:ascii="Arial" w:hAnsi="Arial" w:cs="Arial"/>
        </w:rPr>
      </w:pPr>
    </w:p>
    <w:p w14:paraId="43627E16" w14:textId="77777777" w:rsidR="00381BB1" w:rsidRPr="00381BB1" w:rsidRDefault="00381BB1" w:rsidP="00135527">
      <w:pPr>
        <w:spacing w:after="0" w:line="300" w:lineRule="auto"/>
        <w:contextualSpacing/>
        <w:jc w:val="both"/>
        <w:rPr>
          <w:rFonts w:ascii="Arial" w:hAnsi="Arial" w:cs="Arial"/>
          <w:b/>
          <w:bCs/>
        </w:rPr>
      </w:pPr>
      <w:r w:rsidRPr="00381BB1">
        <w:rPr>
          <w:rFonts w:ascii="Arial" w:hAnsi="Arial" w:cs="Arial"/>
          <w:b/>
          <w:bCs/>
        </w:rPr>
        <w:t>Enerjide yeşil dönüşüm şirketlerin gündeminde</w:t>
      </w:r>
    </w:p>
    <w:p w14:paraId="36B13EA2" w14:textId="3E67729E" w:rsidR="009B3E1C" w:rsidRPr="009B3E1C" w:rsidRDefault="005955C2" w:rsidP="00135527">
      <w:pPr>
        <w:spacing w:after="0" w:line="300" w:lineRule="auto"/>
        <w:contextualSpacing/>
        <w:jc w:val="both"/>
        <w:rPr>
          <w:rFonts w:ascii="Arial" w:hAnsi="Arial" w:cs="Arial"/>
        </w:rPr>
      </w:pPr>
      <w:r>
        <w:rPr>
          <w:rFonts w:ascii="Arial" w:hAnsi="Arial" w:cs="Arial"/>
        </w:rPr>
        <w:t xml:space="preserve">Enerji sektöründe </w:t>
      </w:r>
      <w:r w:rsidR="009B3E1C" w:rsidRPr="009B3E1C">
        <w:rPr>
          <w:rFonts w:ascii="Arial" w:hAnsi="Arial" w:cs="Arial"/>
        </w:rPr>
        <w:t>yeşil dönüşüm</w:t>
      </w:r>
      <w:r>
        <w:rPr>
          <w:rFonts w:ascii="Arial" w:hAnsi="Arial" w:cs="Arial"/>
        </w:rPr>
        <w:t>ün de artık</w:t>
      </w:r>
      <w:r w:rsidR="009B3E1C" w:rsidRPr="009B3E1C">
        <w:rPr>
          <w:rFonts w:ascii="Arial" w:hAnsi="Arial" w:cs="Arial"/>
        </w:rPr>
        <w:t xml:space="preserve"> kritik ve kilit bir rol</w:t>
      </w:r>
      <w:r>
        <w:rPr>
          <w:rFonts w:ascii="Arial" w:hAnsi="Arial" w:cs="Arial"/>
        </w:rPr>
        <w:t xml:space="preserve"> </w:t>
      </w:r>
      <w:r w:rsidR="009B3E1C" w:rsidRPr="009B3E1C">
        <w:rPr>
          <w:rFonts w:ascii="Arial" w:hAnsi="Arial" w:cs="Arial"/>
        </w:rPr>
        <w:t>oyna</w:t>
      </w:r>
      <w:r>
        <w:rPr>
          <w:rFonts w:ascii="Arial" w:hAnsi="Arial" w:cs="Arial"/>
        </w:rPr>
        <w:t xml:space="preserve">dığında dikkat çekilen raporda, </w:t>
      </w:r>
      <w:r w:rsidR="009B3E1C" w:rsidRPr="009B3E1C">
        <w:rPr>
          <w:rFonts w:ascii="Arial" w:hAnsi="Arial" w:cs="Arial"/>
        </w:rPr>
        <w:t>2022 sonu itibarı ile dünyada 300’den fazla şirket</w:t>
      </w:r>
      <w:r w:rsidR="00381BB1">
        <w:rPr>
          <w:rFonts w:ascii="Arial" w:hAnsi="Arial" w:cs="Arial"/>
        </w:rPr>
        <w:t>in</w:t>
      </w:r>
      <w:r w:rsidR="009B3E1C" w:rsidRPr="009B3E1C">
        <w:rPr>
          <w:rFonts w:ascii="Arial" w:hAnsi="Arial" w:cs="Arial"/>
        </w:rPr>
        <w:t xml:space="preserve"> küresel bir</w:t>
      </w:r>
      <w:r w:rsidR="00381BB1">
        <w:rPr>
          <w:rFonts w:ascii="Arial" w:hAnsi="Arial" w:cs="Arial"/>
        </w:rPr>
        <w:t xml:space="preserve"> </w:t>
      </w:r>
      <w:r w:rsidR="009B3E1C" w:rsidRPr="009B3E1C">
        <w:rPr>
          <w:rFonts w:ascii="Arial" w:hAnsi="Arial" w:cs="Arial"/>
        </w:rPr>
        <w:t>girişim olan RE100’e katıl</w:t>
      </w:r>
      <w:r w:rsidR="00381BB1">
        <w:rPr>
          <w:rFonts w:ascii="Arial" w:hAnsi="Arial" w:cs="Arial"/>
        </w:rPr>
        <w:t>dığı</w:t>
      </w:r>
      <w:r w:rsidR="009B3E1C" w:rsidRPr="009B3E1C">
        <w:rPr>
          <w:rFonts w:ascii="Arial" w:hAnsi="Arial" w:cs="Arial"/>
        </w:rPr>
        <w:t xml:space="preserve"> ve </w:t>
      </w:r>
      <w:r w:rsidR="00381BB1">
        <w:rPr>
          <w:rFonts w:ascii="Arial" w:hAnsi="Arial" w:cs="Arial"/>
        </w:rPr>
        <w:t xml:space="preserve">yüzde </w:t>
      </w:r>
      <w:r w:rsidR="009B3E1C" w:rsidRPr="009B3E1C">
        <w:rPr>
          <w:rFonts w:ascii="Arial" w:hAnsi="Arial" w:cs="Arial"/>
        </w:rPr>
        <w:t>100 yeşil enerji üretim</w:t>
      </w:r>
      <w:r w:rsidR="00381BB1">
        <w:rPr>
          <w:rFonts w:ascii="Arial" w:hAnsi="Arial" w:cs="Arial"/>
        </w:rPr>
        <w:t xml:space="preserve"> </w:t>
      </w:r>
      <w:r w:rsidR="009B3E1C" w:rsidRPr="009B3E1C">
        <w:rPr>
          <w:rFonts w:ascii="Arial" w:hAnsi="Arial" w:cs="Arial"/>
        </w:rPr>
        <w:t xml:space="preserve">taahhüdünde </w:t>
      </w:r>
      <w:r w:rsidR="00381BB1">
        <w:rPr>
          <w:rFonts w:ascii="Arial" w:hAnsi="Arial" w:cs="Arial"/>
        </w:rPr>
        <w:t>bulunduğu belirtiliyor</w:t>
      </w:r>
      <w:r w:rsidR="009B3E1C" w:rsidRPr="009B3E1C">
        <w:rPr>
          <w:rFonts w:ascii="Arial" w:hAnsi="Arial" w:cs="Arial"/>
        </w:rPr>
        <w:t>. Bazı şirketler de düşük</w:t>
      </w:r>
      <w:r w:rsidR="00381BB1">
        <w:rPr>
          <w:rFonts w:ascii="Arial" w:hAnsi="Arial" w:cs="Arial"/>
        </w:rPr>
        <w:t xml:space="preserve"> </w:t>
      </w:r>
      <w:r w:rsidR="009B3E1C" w:rsidRPr="009B3E1C">
        <w:rPr>
          <w:rFonts w:ascii="Arial" w:hAnsi="Arial" w:cs="Arial"/>
        </w:rPr>
        <w:t>karbonlu,</w:t>
      </w:r>
      <w:r w:rsidR="00381BB1">
        <w:rPr>
          <w:rFonts w:ascii="Arial" w:hAnsi="Arial" w:cs="Arial"/>
        </w:rPr>
        <w:t xml:space="preserve"> </w:t>
      </w:r>
      <w:r w:rsidR="009B3E1C" w:rsidRPr="009B3E1C">
        <w:rPr>
          <w:rFonts w:ascii="Arial" w:hAnsi="Arial" w:cs="Arial"/>
        </w:rPr>
        <w:t>hatta net sıfır karbonlu bir ekonomiye geçiş için iddialı</w:t>
      </w:r>
      <w:r w:rsidR="00381BB1">
        <w:rPr>
          <w:rFonts w:ascii="Arial" w:hAnsi="Arial" w:cs="Arial"/>
        </w:rPr>
        <w:t xml:space="preserve"> </w:t>
      </w:r>
      <w:r w:rsidR="009B3E1C" w:rsidRPr="009B3E1C">
        <w:rPr>
          <w:rFonts w:ascii="Arial" w:hAnsi="Arial" w:cs="Arial"/>
        </w:rPr>
        <w:t xml:space="preserve">karbon azaltma hedefleri </w:t>
      </w:r>
      <w:r w:rsidR="00381BB1">
        <w:rPr>
          <w:rFonts w:ascii="Arial" w:hAnsi="Arial" w:cs="Arial"/>
        </w:rPr>
        <w:t>belirledi</w:t>
      </w:r>
      <w:r w:rsidR="009B3E1C" w:rsidRPr="009B3E1C">
        <w:rPr>
          <w:rFonts w:ascii="Arial" w:hAnsi="Arial" w:cs="Arial"/>
        </w:rPr>
        <w:t>.</w:t>
      </w:r>
      <w:r w:rsidR="00381BB1">
        <w:rPr>
          <w:rFonts w:ascii="Arial" w:hAnsi="Arial" w:cs="Arial"/>
        </w:rPr>
        <w:t xml:space="preserve"> </w:t>
      </w:r>
      <w:r w:rsidR="009B3E1C" w:rsidRPr="009B3E1C">
        <w:rPr>
          <w:rFonts w:ascii="Arial" w:hAnsi="Arial" w:cs="Arial"/>
        </w:rPr>
        <w:t xml:space="preserve">Yenilenebilir enerji sertifikası </w:t>
      </w:r>
      <w:r w:rsidR="00381BB1">
        <w:rPr>
          <w:rFonts w:ascii="Arial" w:hAnsi="Arial" w:cs="Arial"/>
        </w:rPr>
        <w:t xml:space="preserve">da </w:t>
      </w:r>
      <w:r w:rsidR="009B3E1C" w:rsidRPr="009B3E1C">
        <w:rPr>
          <w:rFonts w:ascii="Arial" w:hAnsi="Arial" w:cs="Arial"/>
        </w:rPr>
        <w:t xml:space="preserve">kurumların dışarıdan yenilenebilir enerji temin ettiklerini kanıtlayan bir sertifika </w:t>
      </w:r>
      <w:r w:rsidR="00381BB1">
        <w:rPr>
          <w:rFonts w:ascii="Arial" w:hAnsi="Arial" w:cs="Arial"/>
        </w:rPr>
        <w:t>türü olarak öne çıkıyor</w:t>
      </w:r>
      <w:r w:rsidR="009B3E1C" w:rsidRPr="009B3E1C">
        <w:rPr>
          <w:rFonts w:ascii="Arial" w:hAnsi="Arial" w:cs="Arial"/>
        </w:rPr>
        <w:t>.</w:t>
      </w:r>
      <w:r w:rsidR="00381BB1">
        <w:rPr>
          <w:rFonts w:ascii="Arial" w:hAnsi="Arial" w:cs="Arial"/>
        </w:rPr>
        <w:t xml:space="preserve"> </w:t>
      </w:r>
      <w:r w:rsidR="009B3E1C" w:rsidRPr="009B3E1C">
        <w:rPr>
          <w:rFonts w:ascii="Arial" w:hAnsi="Arial" w:cs="Arial"/>
        </w:rPr>
        <w:t xml:space="preserve">2022 yılında Türkiye’de IREC Yenilenebilir Enerji Sertifika sistemine kayıtlı aktif santral sayısı 390’a </w:t>
      </w:r>
      <w:r w:rsidR="00381BB1">
        <w:rPr>
          <w:rFonts w:ascii="Arial" w:hAnsi="Arial" w:cs="Arial"/>
        </w:rPr>
        <w:t>ulaşırken</w:t>
      </w:r>
      <w:r w:rsidR="009B3E1C" w:rsidRPr="009B3E1C">
        <w:rPr>
          <w:rFonts w:ascii="Arial" w:hAnsi="Arial" w:cs="Arial"/>
        </w:rPr>
        <w:t xml:space="preserve"> toplam kurulu</w:t>
      </w:r>
      <w:r w:rsidR="00381BB1">
        <w:rPr>
          <w:rFonts w:ascii="Arial" w:hAnsi="Arial" w:cs="Arial"/>
        </w:rPr>
        <w:t xml:space="preserve"> </w:t>
      </w:r>
      <w:r w:rsidR="009B3E1C" w:rsidRPr="009B3E1C">
        <w:rPr>
          <w:rFonts w:ascii="Arial" w:hAnsi="Arial" w:cs="Arial"/>
        </w:rPr>
        <w:t xml:space="preserve">güç 7 </w:t>
      </w:r>
      <w:proofErr w:type="spellStart"/>
      <w:r w:rsidR="009B3E1C" w:rsidRPr="009B3E1C">
        <w:rPr>
          <w:rFonts w:ascii="Arial" w:hAnsi="Arial" w:cs="Arial"/>
        </w:rPr>
        <w:t>GW’ı</w:t>
      </w:r>
      <w:proofErr w:type="spellEnd"/>
      <w:r w:rsidR="009B3E1C" w:rsidRPr="009B3E1C">
        <w:rPr>
          <w:rFonts w:ascii="Arial" w:hAnsi="Arial" w:cs="Arial"/>
        </w:rPr>
        <w:t xml:space="preserve"> </w:t>
      </w:r>
      <w:r w:rsidR="00381BB1">
        <w:rPr>
          <w:rFonts w:ascii="Arial" w:hAnsi="Arial" w:cs="Arial"/>
        </w:rPr>
        <w:t xml:space="preserve">geçti. </w:t>
      </w:r>
      <w:r w:rsidR="009B3E1C" w:rsidRPr="009B3E1C">
        <w:rPr>
          <w:rFonts w:ascii="Arial" w:hAnsi="Arial" w:cs="Arial"/>
        </w:rPr>
        <w:t>Türkiye Ulusal Enerji Planı’nı</w:t>
      </w:r>
      <w:r w:rsidR="00381BB1">
        <w:rPr>
          <w:rFonts w:ascii="Arial" w:hAnsi="Arial" w:cs="Arial"/>
        </w:rPr>
        <w:t xml:space="preserve"> hakkında değerlendirilin de yer aldığı raporda, p</w:t>
      </w:r>
      <w:r w:rsidR="009B3E1C" w:rsidRPr="009B3E1C">
        <w:rPr>
          <w:rFonts w:ascii="Arial" w:hAnsi="Arial" w:cs="Arial"/>
        </w:rPr>
        <w:t xml:space="preserve">landaki projeksiyona göre </w:t>
      </w:r>
      <w:r w:rsidR="00381BB1">
        <w:rPr>
          <w:rFonts w:ascii="Arial" w:hAnsi="Arial" w:cs="Arial"/>
        </w:rPr>
        <w:t xml:space="preserve">ülkemizde </w:t>
      </w:r>
      <w:r w:rsidR="009B3E1C" w:rsidRPr="009B3E1C">
        <w:rPr>
          <w:rFonts w:ascii="Arial" w:hAnsi="Arial" w:cs="Arial"/>
        </w:rPr>
        <w:t>2020 – 2035 döneminde elektrik tüketimi</w:t>
      </w:r>
      <w:r w:rsidR="00381BB1">
        <w:rPr>
          <w:rFonts w:ascii="Arial" w:hAnsi="Arial" w:cs="Arial"/>
        </w:rPr>
        <w:t>nin</w:t>
      </w:r>
      <w:r w:rsidR="009B3E1C" w:rsidRPr="009B3E1C">
        <w:rPr>
          <w:rFonts w:ascii="Arial" w:hAnsi="Arial" w:cs="Arial"/>
        </w:rPr>
        <w:t xml:space="preserve"> 510</w:t>
      </w:r>
      <w:r w:rsidR="00381BB1">
        <w:rPr>
          <w:rFonts w:ascii="Arial" w:hAnsi="Arial" w:cs="Arial"/>
        </w:rPr>
        <w:t>,</w:t>
      </w:r>
      <w:r w:rsidR="009B3E1C" w:rsidRPr="009B3E1C">
        <w:rPr>
          <w:rFonts w:ascii="Arial" w:hAnsi="Arial" w:cs="Arial"/>
        </w:rPr>
        <w:t>4 TWh’e yükselece</w:t>
      </w:r>
      <w:r w:rsidR="00381BB1">
        <w:rPr>
          <w:rFonts w:ascii="Arial" w:hAnsi="Arial" w:cs="Arial"/>
        </w:rPr>
        <w:t>ği, e</w:t>
      </w:r>
      <w:r w:rsidR="009B3E1C" w:rsidRPr="009B3E1C">
        <w:rPr>
          <w:rFonts w:ascii="Arial" w:hAnsi="Arial" w:cs="Arial"/>
        </w:rPr>
        <w:t>lektrikteki kurulu gü</w:t>
      </w:r>
      <w:r w:rsidR="00381BB1">
        <w:rPr>
          <w:rFonts w:ascii="Arial" w:hAnsi="Arial" w:cs="Arial"/>
        </w:rPr>
        <w:t xml:space="preserve">cün </w:t>
      </w:r>
      <w:r w:rsidR="009B3E1C" w:rsidRPr="009B3E1C">
        <w:rPr>
          <w:rFonts w:ascii="Arial" w:hAnsi="Arial" w:cs="Arial"/>
        </w:rPr>
        <w:t>ise</w:t>
      </w:r>
      <w:r w:rsidR="00381BB1">
        <w:rPr>
          <w:rFonts w:ascii="Arial" w:hAnsi="Arial" w:cs="Arial"/>
        </w:rPr>
        <w:t xml:space="preserve"> </w:t>
      </w:r>
      <w:r w:rsidR="009B3E1C" w:rsidRPr="009B3E1C">
        <w:rPr>
          <w:rFonts w:ascii="Arial" w:hAnsi="Arial" w:cs="Arial"/>
        </w:rPr>
        <w:t>bugünkü 103</w:t>
      </w:r>
      <w:r w:rsidR="00381BB1">
        <w:rPr>
          <w:rFonts w:ascii="Arial" w:hAnsi="Arial" w:cs="Arial"/>
        </w:rPr>
        <w:t>,</w:t>
      </w:r>
      <w:r w:rsidR="009B3E1C" w:rsidRPr="009B3E1C">
        <w:rPr>
          <w:rFonts w:ascii="Arial" w:hAnsi="Arial" w:cs="Arial"/>
        </w:rPr>
        <w:t xml:space="preserve">5 </w:t>
      </w:r>
      <w:proofErr w:type="spellStart"/>
      <w:r w:rsidR="009B3E1C" w:rsidRPr="009B3E1C">
        <w:rPr>
          <w:rFonts w:ascii="Arial" w:hAnsi="Arial" w:cs="Arial"/>
        </w:rPr>
        <w:t>GW’tan</w:t>
      </w:r>
      <w:proofErr w:type="spellEnd"/>
      <w:r w:rsidR="009B3E1C" w:rsidRPr="009B3E1C">
        <w:rPr>
          <w:rFonts w:ascii="Arial" w:hAnsi="Arial" w:cs="Arial"/>
        </w:rPr>
        <w:t xml:space="preserve"> 189</w:t>
      </w:r>
      <w:r w:rsidR="00381BB1">
        <w:rPr>
          <w:rFonts w:ascii="Arial" w:hAnsi="Arial" w:cs="Arial"/>
        </w:rPr>
        <w:t>,</w:t>
      </w:r>
      <w:r w:rsidR="009B3E1C" w:rsidRPr="009B3E1C">
        <w:rPr>
          <w:rFonts w:ascii="Arial" w:hAnsi="Arial" w:cs="Arial"/>
        </w:rPr>
        <w:t xml:space="preserve">7 </w:t>
      </w:r>
      <w:proofErr w:type="spellStart"/>
      <w:r w:rsidR="009B3E1C" w:rsidRPr="009B3E1C">
        <w:rPr>
          <w:rFonts w:ascii="Arial" w:hAnsi="Arial" w:cs="Arial"/>
        </w:rPr>
        <w:t>MW’a</w:t>
      </w:r>
      <w:proofErr w:type="spellEnd"/>
      <w:r w:rsidR="009B3E1C" w:rsidRPr="009B3E1C">
        <w:rPr>
          <w:rFonts w:ascii="Arial" w:hAnsi="Arial" w:cs="Arial"/>
        </w:rPr>
        <w:t xml:space="preserve"> </w:t>
      </w:r>
      <w:r w:rsidR="00381BB1">
        <w:rPr>
          <w:rFonts w:ascii="Arial" w:hAnsi="Arial" w:cs="Arial"/>
        </w:rPr>
        <w:t>çıkacağı belirtiliyor</w:t>
      </w:r>
      <w:r w:rsidR="009B3E1C" w:rsidRPr="009B3E1C">
        <w:rPr>
          <w:rFonts w:ascii="Arial" w:hAnsi="Arial" w:cs="Arial"/>
        </w:rPr>
        <w:t>.</w:t>
      </w:r>
    </w:p>
    <w:p w14:paraId="48BCA8CA" w14:textId="77777777" w:rsidR="009B3E1C" w:rsidRPr="009B3E1C" w:rsidRDefault="009B3E1C" w:rsidP="00135527">
      <w:pPr>
        <w:spacing w:after="0" w:line="300" w:lineRule="auto"/>
        <w:contextualSpacing/>
        <w:jc w:val="both"/>
        <w:rPr>
          <w:rFonts w:ascii="Arial" w:hAnsi="Arial" w:cs="Arial"/>
        </w:rPr>
      </w:pPr>
    </w:p>
    <w:p w14:paraId="08A4225B" w14:textId="577C99FE" w:rsidR="009B3E1C" w:rsidRPr="00381BB1" w:rsidRDefault="00381BB1" w:rsidP="00135527">
      <w:pPr>
        <w:spacing w:after="0" w:line="300" w:lineRule="auto"/>
        <w:contextualSpacing/>
        <w:jc w:val="both"/>
        <w:rPr>
          <w:rFonts w:ascii="Arial" w:hAnsi="Arial" w:cs="Arial"/>
          <w:b/>
          <w:bCs/>
        </w:rPr>
      </w:pPr>
      <w:r w:rsidRPr="00381BB1">
        <w:rPr>
          <w:rFonts w:ascii="Arial" w:hAnsi="Arial" w:cs="Arial"/>
          <w:b/>
          <w:bCs/>
        </w:rPr>
        <w:t>Birincil enerji tüketimi içindeki yenilenebilir enerji kaynaklarının payı artıyor</w:t>
      </w:r>
    </w:p>
    <w:p w14:paraId="66071414" w14:textId="3A38C6A6" w:rsidR="009B3E1C" w:rsidRPr="009B3E1C" w:rsidRDefault="009B3E1C" w:rsidP="00135527">
      <w:pPr>
        <w:spacing w:after="0" w:line="300" w:lineRule="auto"/>
        <w:contextualSpacing/>
        <w:jc w:val="both"/>
        <w:rPr>
          <w:rFonts w:ascii="Arial" w:hAnsi="Arial" w:cs="Arial"/>
        </w:rPr>
      </w:pPr>
      <w:r w:rsidRPr="009B3E1C">
        <w:rPr>
          <w:rFonts w:ascii="Arial" w:hAnsi="Arial" w:cs="Arial"/>
        </w:rPr>
        <w:t xml:space="preserve">Türkiye’nin 2020 yılı birincil enerji tüketimi 147,2 </w:t>
      </w:r>
      <w:proofErr w:type="spellStart"/>
      <w:r w:rsidRPr="009B3E1C">
        <w:rPr>
          <w:rFonts w:ascii="Arial" w:hAnsi="Arial" w:cs="Arial"/>
        </w:rPr>
        <w:t>Mtep</w:t>
      </w:r>
      <w:proofErr w:type="spellEnd"/>
      <w:r w:rsidRPr="009B3E1C">
        <w:rPr>
          <w:rFonts w:ascii="Arial" w:hAnsi="Arial" w:cs="Arial"/>
        </w:rPr>
        <w:t xml:space="preserve"> olarak gerçekleş</w:t>
      </w:r>
      <w:r w:rsidR="00381BB1">
        <w:rPr>
          <w:rFonts w:ascii="Arial" w:hAnsi="Arial" w:cs="Arial"/>
        </w:rPr>
        <w:t>irken</w:t>
      </w:r>
      <w:r w:rsidR="008F6541">
        <w:rPr>
          <w:rFonts w:ascii="Arial" w:hAnsi="Arial" w:cs="Arial"/>
        </w:rPr>
        <w:t>, Ulusal Enerji Planı’na göre</w:t>
      </w:r>
      <w:r w:rsidR="00381BB1">
        <w:rPr>
          <w:rFonts w:ascii="Arial" w:hAnsi="Arial" w:cs="Arial"/>
        </w:rPr>
        <w:t xml:space="preserve"> b</w:t>
      </w:r>
      <w:r w:rsidRPr="009B3E1C">
        <w:rPr>
          <w:rFonts w:ascii="Arial" w:hAnsi="Arial" w:cs="Arial"/>
        </w:rPr>
        <w:t xml:space="preserve">u miktarın 2035 yılına kadar 205,3 </w:t>
      </w:r>
      <w:proofErr w:type="spellStart"/>
      <w:r w:rsidRPr="009B3E1C">
        <w:rPr>
          <w:rFonts w:ascii="Arial" w:hAnsi="Arial" w:cs="Arial"/>
        </w:rPr>
        <w:t>Mtep’e</w:t>
      </w:r>
      <w:proofErr w:type="spellEnd"/>
      <w:r w:rsidR="00381BB1">
        <w:rPr>
          <w:rFonts w:ascii="Arial" w:hAnsi="Arial" w:cs="Arial"/>
        </w:rPr>
        <w:t xml:space="preserve"> </w:t>
      </w:r>
      <w:r w:rsidRPr="009B3E1C">
        <w:rPr>
          <w:rFonts w:ascii="Arial" w:hAnsi="Arial" w:cs="Arial"/>
        </w:rPr>
        <w:t xml:space="preserve">çıkacağı tahmin </w:t>
      </w:r>
      <w:r w:rsidR="00381BB1">
        <w:rPr>
          <w:rFonts w:ascii="Arial" w:hAnsi="Arial" w:cs="Arial"/>
        </w:rPr>
        <w:t>ediliyor</w:t>
      </w:r>
      <w:r w:rsidRPr="009B3E1C">
        <w:rPr>
          <w:rFonts w:ascii="Arial" w:hAnsi="Arial" w:cs="Arial"/>
        </w:rPr>
        <w:t>. Birincil enerji tüketimi 2000</w:t>
      </w:r>
      <w:r w:rsidR="00381BB1">
        <w:rPr>
          <w:rFonts w:ascii="Arial" w:hAnsi="Arial" w:cs="Arial"/>
        </w:rPr>
        <w:t xml:space="preserve"> </w:t>
      </w:r>
      <w:r w:rsidRPr="009B3E1C">
        <w:rPr>
          <w:rFonts w:ascii="Arial" w:hAnsi="Arial" w:cs="Arial"/>
        </w:rPr>
        <w:t>-</w:t>
      </w:r>
      <w:r w:rsidR="00381BB1">
        <w:rPr>
          <w:rFonts w:ascii="Arial" w:hAnsi="Arial" w:cs="Arial"/>
        </w:rPr>
        <w:t xml:space="preserve"> </w:t>
      </w:r>
      <w:r w:rsidRPr="009B3E1C">
        <w:rPr>
          <w:rFonts w:ascii="Arial" w:hAnsi="Arial" w:cs="Arial"/>
        </w:rPr>
        <w:t xml:space="preserve">2020 döneminde yıllık ortalama </w:t>
      </w:r>
      <w:r w:rsidR="00381BB1">
        <w:rPr>
          <w:rFonts w:ascii="Arial" w:hAnsi="Arial" w:cs="Arial"/>
        </w:rPr>
        <w:t xml:space="preserve">yüzde </w:t>
      </w:r>
      <w:r w:rsidRPr="009B3E1C">
        <w:rPr>
          <w:rFonts w:ascii="Arial" w:hAnsi="Arial" w:cs="Arial"/>
        </w:rPr>
        <w:t xml:space="preserve">3,1 oranında artış </w:t>
      </w:r>
      <w:r w:rsidR="00381BB1">
        <w:rPr>
          <w:rFonts w:ascii="Arial" w:hAnsi="Arial" w:cs="Arial"/>
        </w:rPr>
        <w:t>gösterdi</w:t>
      </w:r>
      <w:r w:rsidRPr="009B3E1C">
        <w:rPr>
          <w:rFonts w:ascii="Arial" w:hAnsi="Arial" w:cs="Arial"/>
        </w:rPr>
        <w:t>.</w:t>
      </w:r>
      <w:r w:rsidR="00381BB1">
        <w:rPr>
          <w:rFonts w:ascii="Arial" w:hAnsi="Arial" w:cs="Arial"/>
        </w:rPr>
        <w:t xml:space="preserve"> </w:t>
      </w:r>
      <w:r w:rsidRPr="009B3E1C">
        <w:rPr>
          <w:rFonts w:ascii="Arial" w:hAnsi="Arial" w:cs="Arial"/>
        </w:rPr>
        <w:t>2020</w:t>
      </w:r>
      <w:r w:rsidR="00381BB1">
        <w:rPr>
          <w:rFonts w:ascii="Arial" w:hAnsi="Arial" w:cs="Arial"/>
        </w:rPr>
        <w:t xml:space="preserve"> </w:t>
      </w:r>
      <w:r w:rsidRPr="009B3E1C">
        <w:rPr>
          <w:rFonts w:ascii="Arial" w:hAnsi="Arial" w:cs="Arial"/>
        </w:rPr>
        <w:t>-</w:t>
      </w:r>
      <w:r w:rsidR="00381BB1">
        <w:rPr>
          <w:rFonts w:ascii="Arial" w:hAnsi="Arial" w:cs="Arial"/>
        </w:rPr>
        <w:t xml:space="preserve"> </w:t>
      </w:r>
      <w:r w:rsidRPr="009B3E1C">
        <w:rPr>
          <w:rFonts w:ascii="Arial" w:hAnsi="Arial" w:cs="Arial"/>
        </w:rPr>
        <w:t xml:space="preserve">2035 döneminde ise </w:t>
      </w:r>
      <w:r w:rsidR="00381BB1">
        <w:rPr>
          <w:rFonts w:ascii="Arial" w:hAnsi="Arial" w:cs="Arial"/>
        </w:rPr>
        <w:t xml:space="preserve">yüzde </w:t>
      </w:r>
      <w:r w:rsidRPr="009B3E1C">
        <w:rPr>
          <w:rFonts w:ascii="Arial" w:hAnsi="Arial" w:cs="Arial"/>
        </w:rPr>
        <w:t xml:space="preserve">2,2 oranında artış olacağı </w:t>
      </w:r>
      <w:r w:rsidR="00381BB1">
        <w:rPr>
          <w:rFonts w:ascii="Arial" w:hAnsi="Arial" w:cs="Arial"/>
        </w:rPr>
        <w:t>tahmin ediliyor</w:t>
      </w:r>
      <w:r w:rsidRPr="009B3E1C">
        <w:rPr>
          <w:rFonts w:ascii="Arial" w:hAnsi="Arial" w:cs="Arial"/>
        </w:rPr>
        <w:t xml:space="preserve">. 2020 yılında </w:t>
      </w:r>
      <w:r w:rsidR="00381BB1">
        <w:rPr>
          <w:rFonts w:ascii="Arial" w:hAnsi="Arial" w:cs="Arial"/>
        </w:rPr>
        <w:t xml:space="preserve">yüzde </w:t>
      </w:r>
      <w:r w:rsidRPr="009B3E1C">
        <w:rPr>
          <w:rFonts w:ascii="Arial" w:hAnsi="Arial" w:cs="Arial"/>
        </w:rPr>
        <w:t>16,7 olan birincil enerji tüketimi</w:t>
      </w:r>
      <w:r w:rsidR="00381BB1">
        <w:rPr>
          <w:rFonts w:ascii="Arial" w:hAnsi="Arial" w:cs="Arial"/>
        </w:rPr>
        <w:t xml:space="preserve"> </w:t>
      </w:r>
      <w:r w:rsidRPr="009B3E1C">
        <w:rPr>
          <w:rFonts w:ascii="Arial" w:hAnsi="Arial" w:cs="Arial"/>
        </w:rPr>
        <w:t>içindeki yenilenebilir enerji kaynaklarının payı</w:t>
      </w:r>
      <w:r w:rsidR="00381BB1">
        <w:rPr>
          <w:rFonts w:ascii="Arial" w:hAnsi="Arial" w:cs="Arial"/>
        </w:rPr>
        <w:t>nın</w:t>
      </w:r>
      <w:r w:rsidRPr="009B3E1C">
        <w:rPr>
          <w:rFonts w:ascii="Arial" w:hAnsi="Arial" w:cs="Arial"/>
        </w:rPr>
        <w:t xml:space="preserve"> 2035 yılında </w:t>
      </w:r>
      <w:r w:rsidR="00381BB1">
        <w:rPr>
          <w:rFonts w:ascii="Arial" w:hAnsi="Arial" w:cs="Arial"/>
        </w:rPr>
        <w:t xml:space="preserve">yüzde </w:t>
      </w:r>
      <w:r w:rsidRPr="009B3E1C">
        <w:rPr>
          <w:rFonts w:ascii="Arial" w:hAnsi="Arial" w:cs="Arial"/>
        </w:rPr>
        <w:t>23,7’ye yükseleceği öngörül</w:t>
      </w:r>
      <w:r w:rsidR="00381BB1">
        <w:rPr>
          <w:rFonts w:ascii="Arial" w:hAnsi="Arial" w:cs="Arial"/>
        </w:rPr>
        <w:t>üyor</w:t>
      </w:r>
      <w:r w:rsidRPr="009B3E1C">
        <w:rPr>
          <w:rFonts w:ascii="Arial" w:hAnsi="Arial" w:cs="Arial"/>
        </w:rPr>
        <w:t>. Nükleer enerji</w:t>
      </w:r>
      <w:r w:rsidR="00381BB1">
        <w:rPr>
          <w:rFonts w:ascii="Arial" w:hAnsi="Arial" w:cs="Arial"/>
        </w:rPr>
        <w:t xml:space="preserve"> payının</w:t>
      </w:r>
      <w:r w:rsidRPr="009B3E1C">
        <w:rPr>
          <w:rFonts w:ascii="Arial" w:hAnsi="Arial" w:cs="Arial"/>
        </w:rPr>
        <w:t xml:space="preserve"> 2035</w:t>
      </w:r>
      <w:r w:rsidR="00381BB1">
        <w:rPr>
          <w:rFonts w:ascii="Arial" w:hAnsi="Arial" w:cs="Arial"/>
        </w:rPr>
        <w:t xml:space="preserve"> </w:t>
      </w:r>
      <w:r w:rsidRPr="009B3E1C">
        <w:rPr>
          <w:rFonts w:ascii="Arial" w:hAnsi="Arial" w:cs="Arial"/>
        </w:rPr>
        <w:t xml:space="preserve">yılına kadar </w:t>
      </w:r>
      <w:r w:rsidR="00381BB1">
        <w:rPr>
          <w:rFonts w:ascii="Arial" w:hAnsi="Arial" w:cs="Arial"/>
        </w:rPr>
        <w:t xml:space="preserve">yüzde </w:t>
      </w:r>
      <w:r w:rsidRPr="009B3E1C">
        <w:rPr>
          <w:rFonts w:ascii="Arial" w:hAnsi="Arial" w:cs="Arial"/>
        </w:rPr>
        <w:t xml:space="preserve">5,9 </w:t>
      </w:r>
      <w:r w:rsidR="00381BB1">
        <w:rPr>
          <w:rFonts w:ascii="Arial" w:hAnsi="Arial" w:cs="Arial"/>
        </w:rPr>
        <w:t xml:space="preserve">olacağı, </w:t>
      </w:r>
      <w:r w:rsidRPr="009B3E1C">
        <w:rPr>
          <w:rFonts w:ascii="Arial" w:hAnsi="Arial" w:cs="Arial"/>
        </w:rPr>
        <w:t xml:space="preserve">2020 yılında </w:t>
      </w:r>
      <w:r w:rsidR="00381BB1">
        <w:rPr>
          <w:rFonts w:ascii="Arial" w:hAnsi="Arial" w:cs="Arial"/>
        </w:rPr>
        <w:t xml:space="preserve">yüzde </w:t>
      </w:r>
      <w:r w:rsidRPr="009B3E1C">
        <w:rPr>
          <w:rFonts w:ascii="Arial" w:hAnsi="Arial" w:cs="Arial"/>
        </w:rPr>
        <w:t>83,3 olan fosil kaynaklarının payı</w:t>
      </w:r>
      <w:r w:rsidR="00381BB1">
        <w:rPr>
          <w:rFonts w:ascii="Arial" w:hAnsi="Arial" w:cs="Arial"/>
        </w:rPr>
        <w:t>nın ise</w:t>
      </w:r>
      <w:r w:rsidRPr="009B3E1C">
        <w:rPr>
          <w:rFonts w:ascii="Arial" w:hAnsi="Arial" w:cs="Arial"/>
        </w:rPr>
        <w:t xml:space="preserve"> 2035 yılında </w:t>
      </w:r>
      <w:r w:rsidR="00381BB1">
        <w:rPr>
          <w:rFonts w:ascii="Arial" w:hAnsi="Arial" w:cs="Arial"/>
        </w:rPr>
        <w:t xml:space="preserve">yüzde </w:t>
      </w:r>
      <w:r w:rsidRPr="009B3E1C">
        <w:rPr>
          <w:rFonts w:ascii="Arial" w:hAnsi="Arial" w:cs="Arial"/>
        </w:rPr>
        <w:t>70,4 oranına</w:t>
      </w:r>
      <w:r w:rsidR="00381BB1">
        <w:rPr>
          <w:rFonts w:ascii="Arial" w:hAnsi="Arial" w:cs="Arial"/>
        </w:rPr>
        <w:t xml:space="preserve"> </w:t>
      </w:r>
      <w:r w:rsidRPr="009B3E1C">
        <w:rPr>
          <w:rFonts w:ascii="Arial" w:hAnsi="Arial" w:cs="Arial"/>
        </w:rPr>
        <w:t xml:space="preserve">düşeceği </w:t>
      </w:r>
      <w:r w:rsidR="00381BB1">
        <w:rPr>
          <w:rFonts w:ascii="Arial" w:hAnsi="Arial" w:cs="Arial"/>
        </w:rPr>
        <w:t>tahmin ediliyor</w:t>
      </w:r>
      <w:r w:rsidRPr="009B3E1C">
        <w:rPr>
          <w:rFonts w:ascii="Arial" w:hAnsi="Arial" w:cs="Arial"/>
        </w:rPr>
        <w:t>. Kömür payı</w:t>
      </w:r>
      <w:r w:rsidR="00381BB1">
        <w:rPr>
          <w:rFonts w:ascii="Arial" w:hAnsi="Arial" w:cs="Arial"/>
        </w:rPr>
        <w:t>nın ise</w:t>
      </w:r>
      <w:r w:rsidRPr="009B3E1C">
        <w:rPr>
          <w:rFonts w:ascii="Arial" w:hAnsi="Arial" w:cs="Arial"/>
        </w:rPr>
        <w:t xml:space="preserve"> </w:t>
      </w:r>
      <w:r w:rsidR="00381BB1">
        <w:rPr>
          <w:rFonts w:ascii="Arial" w:hAnsi="Arial" w:cs="Arial"/>
        </w:rPr>
        <w:t xml:space="preserve">yüzde </w:t>
      </w:r>
      <w:r w:rsidRPr="009B3E1C">
        <w:rPr>
          <w:rFonts w:ascii="Arial" w:hAnsi="Arial" w:cs="Arial"/>
        </w:rPr>
        <w:t xml:space="preserve">21,4’e doğal gazın ise </w:t>
      </w:r>
      <w:r w:rsidR="00381BB1">
        <w:rPr>
          <w:rFonts w:ascii="Arial" w:hAnsi="Arial" w:cs="Arial"/>
        </w:rPr>
        <w:t xml:space="preserve">yüzde </w:t>
      </w:r>
      <w:r w:rsidRPr="009B3E1C">
        <w:rPr>
          <w:rFonts w:ascii="Arial" w:hAnsi="Arial" w:cs="Arial"/>
        </w:rPr>
        <w:t>22,5’e gerileyeceği tahmin</w:t>
      </w:r>
      <w:r w:rsidR="00381BB1">
        <w:rPr>
          <w:rFonts w:ascii="Arial" w:hAnsi="Arial" w:cs="Arial"/>
        </w:rPr>
        <w:t xml:space="preserve"> edilirken </w:t>
      </w:r>
      <w:r w:rsidR="00381BB1" w:rsidRPr="009B3E1C">
        <w:rPr>
          <w:rFonts w:ascii="Arial" w:hAnsi="Arial" w:cs="Arial"/>
        </w:rPr>
        <w:t xml:space="preserve">petrolün </w:t>
      </w:r>
      <w:r w:rsidR="00381BB1">
        <w:rPr>
          <w:rFonts w:ascii="Arial" w:hAnsi="Arial" w:cs="Arial"/>
        </w:rPr>
        <w:t xml:space="preserve">payının ise yüzde </w:t>
      </w:r>
      <w:r w:rsidR="00381BB1" w:rsidRPr="009B3E1C">
        <w:rPr>
          <w:rFonts w:ascii="Arial" w:hAnsi="Arial" w:cs="Arial"/>
        </w:rPr>
        <w:t>26,5</w:t>
      </w:r>
      <w:r w:rsidR="00381BB1">
        <w:rPr>
          <w:rFonts w:ascii="Arial" w:hAnsi="Arial" w:cs="Arial"/>
        </w:rPr>
        <w:t xml:space="preserve"> olabileceği belirtiliyor. </w:t>
      </w:r>
    </w:p>
    <w:p w14:paraId="389A2E7D" w14:textId="77777777" w:rsidR="009B3E1C" w:rsidRPr="009B3E1C" w:rsidRDefault="009B3E1C" w:rsidP="00135527">
      <w:pPr>
        <w:spacing w:after="0" w:line="300" w:lineRule="auto"/>
        <w:contextualSpacing/>
        <w:jc w:val="both"/>
        <w:rPr>
          <w:rFonts w:ascii="Arial" w:hAnsi="Arial" w:cs="Arial"/>
        </w:rPr>
      </w:pPr>
    </w:p>
    <w:p w14:paraId="0DF6487B" w14:textId="4DC6F40F" w:rsidR="009B3E1C" w:rsidRPr="00381BB1" w:rsidRDefault="009B3E1C" w:rsidP="00135527">
      <w:pPr>
        <w:spacing w:after="0" w:line="300" w:lineRule="auto"/>
        <w:contextualSpacing/>
        <w:jc w:val="both"/>
        <w:rPr>
          <w:rFonts w:ascii="Arial" w:hAnsi="Arial" w:cs="Arial"/>
          <w:b/>
          <w:bCs/>
        </w:rPr>
      </w:pPr>
      <w:r w:rsidRPr="00381BB1">
        <w:rPr>
          <w:rFonts w:ascii="Arial" w:hAnsi="Arial" w:cs="Arial"/>
          <w:b/>
          <w:bCs/>
        </w:rPr>
        <w:t xml:space="preserve">Nihai </w:t>
      </w:r>
      <w:r w:rsidR="00381BB1" w:rsidRPr="00381BB1">
        <w:rPr>
          <w:rFonts w:ascii="Arial" w:hAnsi="Arial" w:cs="Arial"/>
          <w:b/>
          <w:bCs/>
        </w:rPr>
        <w:t>enerji tüketiminde sanayinin payının artması bekleniyor</w:t>
      </w:r>
    </w:p>
    <w:p w14:paraId="127F1C5A" w14:textId="61A3D5B2" w:rsidR="009B3E1C" w:rsidRPr="009B3E1C" w:rsidRDefault="009B3E1C" w:rsidP="00135527">
      <w:pPr>
        <w:spacing w:after="0" w:line="300" w:lineRule="auto"/>
        <w:contextualSpacing/>
        <w:jc w:val="both"/>
        <w:rPr>
          <w:rFonts w:ascii="Arial" w:hAnsi="Arial" w:cs="Arial"/>
        </w:rPr>
      </w:pPr>
      <w:r w:rsidRPr="009B3E1C">
        <w:rPr>
          <w:rFonts w:ascii="Arial" w:hAnsi="Arial" w:cs="Arial"/>
        </w:rPr>
        <w:t xml:space="preserve">2020 yılında 105,5 </w:t>
      </w:r>
      <w:proofErr w:type="spellStart"/>
      <w:r w:rsidRPr="009B3E1C">
        <w:rPr>
          <w:rFonts w:ascii="Arial" w:hAnsi="Arial" w:cs="Arial"/>
        </w:rPr>
        <w:t>Mtep</w:t>
      </w:r>
      <w:proofErr w:type="spellEnd"/>
      <w:r w:rsidRPr="009B3E1C">
        <w:rPr>
          <w:rFonts w:ascii="Arial" w:hAnsi="Arial" w:cs="Arial"/>
        </w:rPr>
        <w:t xml:space="preserve"> olan nihai enerji tüketimi</w:t>
      </w:r>
      <w:r w:rsidR="00381BB1">
        <w:rPr>
          <w:rFonts w:ascii="Arial" w:hAnsi="Arial" w:cs="Arial"/>
        </w:rPr>
        <w:t>n</w:t>
      </w:r>
      <w:r w:rsidRPr="009B3E1C">
        <w:rPr>
          <w:rFonts w:ascii="Arial" w:hAnsi="Arial" w:cs="Arial"/>
        </w:rPr>
        <w:t xml:space="preserve"> 2035 yılına kadar 148,5 </w:t>
      </w:r>
      <w:proofErr w:type="spellStart"/>
      <w:r w:rsidRPr="009B3E1C">
        <w:rPr>
          <w:rFonts w:ascii="Arial" w:hAnsi="Arial" w:cs="Arial"/>
        </w:rPr>
        <w:t>Mtep’e</w:t>
      </w:r>
      <w:proofErr w:type="spellEnd"/>
      <w:r w:rsidRPr="009B3E1C">
        <w:rPr>
          <w:rFonts w:ascii="Arial" w:hAnsi="Arial" w:cs="Arial"/>
        </w:rPr>
        <w:t xml:space="preserve"> yükseleceği öngörül</w:t>
      </w:r>
      <w:r w:rsidR="00381BB1">
        <w:rPr>
          <w:rFonts w:ascii="Arial" w:hAnsi="Arial" w:cs="Arial"/>
        </w:rPr>
        <w:t>üyor</w:t>
      </w:r>
      <w:r w:rsidRPr="009B3E1C">
        <w:rPr>
          <w:rFonts w:ascii="Arial" w:hAnsi="Arial" w:cs="Arial"/>
        </w:rPr>
        <w:t>. 2020 yılında</w:t>
      </w:r>
      <w:r w:rsidR="00381BB1">
        <w:rPr>
          <w:rFonts w:ascii="Arial" w:hAnsi="Arial" w:cs="Arial"/>
        </w:rPr>
        <w:t xml:space="preserve"> yüzde </w:t>
      </w:r>
      <w:r w:rsidRPr="009B3E1C">
        <w:rPr>
          <w:rFonts w:ascii="Arial" w:hAnsi="Arial" w:cs="Arial"/>
        </w:rPr>
        <w:t xml:space="preserve">34,4 ile nihai tüketimi içinde en yüksek paya sahip olan sanayi </w:t>
      </w:r>
      <w:r w:rsidRPr="009B3E1C">
        <w:rPr>
          <w:rFonts w:ascii="Arial" w:hAnsi="Arial" w:cs="Arial"/>
        </w:rPr>
        <w:lastRenderedPageBreak/>
        <w:t>sektörünün payı</w:t>
      </w:r>
      <w:r w:rsidR="00381BB1">
        <w:rPr>
          <w:rFonts w:ascii="Arial" w:hAnsi="Arial" w:cs="Arial"/>
        </w:rPr>
        <w:t>nın</w:t>
      </w:r>
      <w:r w:rsidRPr="009B3E1C">
        <w:rPr>
          <w:rFonts w:ascii="Arial" w:hAnsi="Arial" w:cs="Arial"/>
        </w:rPr>
        <w:t xml:space="preserve"> 2035 yılına kadar </w:t>
      </w:r>
      <w:r w:rsidR="00381BB1">
        <w:rPr>
          <w:rFonts w:ascii="Arial" w:hAnsi="Arial" w:cs="Arial"/>
        </w:rPr>
        <w:t xml:space="preserve">yüzde </w:t>
      </w:r>
      <w:r w:rsidRPr="009B3E1C">
        <w:rPr>
          <w:rFonts w:ascii="Arial" w:hAnsi="Arial" w:cs="Arial"/>
        </w:rPr>
        <w:t>38,7’ye yükselmesi</w:t>
      </w:r>
      <w:r w:rsidR="00381BB1">
        <w:rPr>
          <w:rFonts w:ascii="Arial" w:hAnsi="Arial" w:cs="Arial"/>
        </w:rPr>
        <w:t xml:space="preserve"> bekleniyor</w:t>
      </w:r>
      <w:r w:rsidRPr="009B3E1C">
        <w:rPr>
          <w:rFonts w:ascii="Arial" w:hAnsi="Arial" w:cs="Arial"/>
        </w:rPr>
        <w:t xml:space="preserve">. Mesken ve hizmet sektörünün toplam </w:t>
      </w:r>
      <w:r w:rsidR="00381BB1">
        <w:rPr>
          <w:rFonts w:ascii="Arial" w:hAnsi="Arial" w:cs="Arial"/>
        </w:rPr>
        <w:t xml:space="preserve">yüzde </w:t>
      </w:r>
      <w:r w:rsidRPr="009B3E1C">
        <w:rPr>
          <w:rFonts w:ascii="Arial" w:hAnsi="Arial" w:cs="Arial"/>
        </w:rPr>
        <w:t>40,1’lik payı</w:t>
      </w:r>
      <w:r w:rsidR="00381BB1">
        <w:rPr>
          <w:rFonts w:ascii="Arial" w:hAnsi="Arial" w:cs="Arial"/>
        </w:rPr>
        <w:t>nın</w:t>
      </w:r>
      <w:r w:rsidRPr="009B3E1C">
        <w:rPr>
          <w:rFonts w:ascii="Arial" w:hAnsi="Arial" w:cs="Arial"/>
        </w:rPr>
        <w:t xml:space="preserve"> ise </w:t>
      </w:r>
      <w:r w:rsidR="00381BB1">
        <w:rPr>
          <w:rFonts w:ascii="Arial" w:hAnsi="Arial" w:cs="Arial"/>
        </w:rPr>
        <w:t xml:space="preserve">yüzde </w:t>
      </w:r>
      <w:r w:rsidRPr="009B3E1C">
        <w:rPr>
          <w:rFonts w:ascii="Arial" w:hAnsi="Arial" w:cs="Arial"/>
        </w:rPr>
        <w:t xml:space="preserve">34,9’a gerileyeceği </w:t>
      </w:r>
      <w:r w:rsidR="00381BB1">
        <w:rPr>
          <w:rFonts w:ascii="Arial" w:hAnsi="Arial" w:cs="Arial"/>
        </w:rPr>
        <w:t>düşünülüyor.</w:t>
      </w:r>
    </w:p>
    <w:p w14:paraId="316F5D4C" w14:textId="77777777" w:rsidR="009B3E1C" w:rsidRPr="009B3E1C" w:rsidRDefault="009B3E1C" w:rsidP="00135527">
      <w:pPr>
        <w:spacing w:after="0" w:line="300" w:lineRule="auto"/>
        <w:contextualSpacing/>
        <w:jc w:val="both"/>
        <w:rPr>
          <w:rFonts w:ascii="Arial" w:hAnsi="Arial" w:cs="Arial"/>
        </w:rPr>
      </w:pPr>
    </w:p>
    <w:p w14:paraId="185AF3B8" w14:textId="4C32F735" w:rsidR="009B3E1C" w:rsidRPr="00A43AC1" w:rsidRDefault="009B3E1C" w:rsidP="00135527">
      <w:pPr>
        <w:spacing w:after="0" w:line="300" w:lineRule="auto"/>
        <w:contextualSpacing/>
        <w:jc w:val="both"/>
        <w:rPr>
          <w:rFonts w:ascii="Arial" w:hAnsi="Arial" w:cs="Arial"/>
          <w:b/>
          <w:bCs/>
        </w:rPr>
      </w:pPr>
      <w:r w:rsidRPr="00A43AC1">
        <w:rPr>
          <w:rFonts w:ascii="Arial" w:hAnsi="Arial" w:cs="Arial"/>
          <w:b/>
          <w:bCs/>
        </w:rPr>
        <w:t xml:space="preserve">Elektrik </w:t>
      </w:r>
      <w:r w:rsidR="00A43AC1" w:rsidRPr="00A43AC1">
        <w:rPr>
          <w:rFonts w:ascii="Arial" w:hAnsi="Arial" w:cs="Arial"/>
          <w:b/>
          <w:bCs/>
        </w:rPr>
        <w:t>tüketimi 2035 yılına kadar 510,5 TWh seviyesine ulaşacak</w:t>
      </w:r>
    </w:p>
    <w:p w14:paraId="2C0A5111" w14:textId="39E1BE7C" w:rsidR="009B3E1C" w:rsidRPr="009B3E1C" w:rsidRDefault="009B3E1C" w:rsidP="00135527">
      <w:pPr>
        <w:spacing w:after="0" w:line="300" w:lineRule="auto"/>
        <w:contextualSpacing/>
        <w:jc w:val="both"/>
        <w:rPr>
          <w:rFonts w:ascii="Arial" w:hAnsi="Arial" w:cs="Arial"/>
        </w:rPr>
      </w:pPr>
      <w:r w:rsidRPr="009B3E1C">
        <w:rPr>
          <w:rFonts w:ascii="Arial" w:hAnsi="Arial" w:cs="Arial"/>
        </w:rPr>
        <w:t>2000</w:t>
      </w:r>
      <w:r w:rsidR="00381BB1">
        <w:rPr>
          <w:rFonts w:ascii="Arial" w:hAnsi="Arial" w:cs="Arial"/>
        </w:rPr>
        <w:t xml:space="preserve"> </w:t>
      </w:r>
      <w:r w:rsidRPr="009B3E1C">
        <w:rPr>
          <w:rFonts w:ascii="Arial" w:hAnsi="Arial" w:cs="Arial"/>
        </w:rPr>
        <w:t>-</w:t>
      </w:r>
      <w:r w:rsidR="00381BB1">
        <w:rPr>
          <w:rFonts w:ascii="Arial" w:hAnsi="Arial" w:cs="Arial"/>
        </w:rPr>
        <w:t xml:space="preserve"> </w:t>
      </w:r>
      <w:r w:rsidRPr="009B3E1C">
        <w:rPr>
          <w:rFonts w:ascii="Arial" w:hAnsi="Arial" w:cs="Arial"/>
        </w:rPr>
        <w:t xml:space="preserve">2020 döneminde yılda ortalama </w:t>
      </w:r>
      <w:r w:rsidR="00381BB1">
        <w:rPr>
          <w:rFonts w:ascii="Arial" w:hAnsi="Arial" w:cs="Arial"/>
        </w:rPr>
        <w:t xml:space="preserve">yüzde </w:t>
      </w:r>
      <w:r w:rsidRPr="009B3E1C">
        <w:rPr>
          <w:rFonts w:ascii="Arial" w:hAnsi="Arial" w:cs="Arial"/>
        </w:rPr>
        <w:t xml:space="preserve">4,4 artarak 128 </w:t>
      </w:r>
      <w:proofErr w:type="spellStart"/>
      <w:r w:rsidRPr="009B3E1C">
        <w:rPr>
          <w:rFonts w:ascii="Arial" w:hAnsi="Arial" w:cs="Arial"/>
        </w:rPr>
        <w:t>TWh’ten</w:t>
      </w:r>
      <w:proofErr w:type="spellEnd"/>
      <w:r w:rsidRPr="009B3E1C">
        <w:rPr>
          <w:rFonts w:ascii="Arial" w:hAnsi="Arial" w:cs="Arial"/>
        </w:rPr>
        <w:t xml:space="preserve"> 306,1 </w:t>
      </w:r>
      <w:proofErr w:type="spellStart"/>
      <w:r w:rsidRPr="009B3E1C">
        <w:rPr>
          <w:rFonts w:ascii="Arial" w:hAnsi="Arial" w:cs="Arial"/>
        </w:rPr>
        <w:t>TWh’e</w:t>
      </w:r>
      <w:proofErr w:type="spellEnd"/>
      <w:r w:rsidRPr="009B3E1C">
        <w:rPr>
          <w:rFonts w:ascii="Arial" w:hAnsi="Arial" w:cs="Arial"/>
        </w:rPr>
        <w:t xml:space="preserve"> yükselen elektrik tüketimi</w:t>
      </w:r>
      <w:r w:rsidR="00381BB1">
        <w:rPr>
          <w:rFonts w:ascii="Arial" w:hAnsi="Arial" w:cs="Arial"/>
        </w:rPr>
        <w:t xml:space="preserve">nin ise </w:t>
      </w:r>
      <w:r w:rsidRPr="009B3E1C">
        <w:rPr>
          <w:rFonts w:ascii="Arial" w:hAnsi="Arial" w:cs="Arial"/>
        </w:rPr>
        <w:t>2035 yılına kadar</w:t>
      </w:r>
      <w:r w:rsidR="00381BB1">
        <w:rPr>
          <w:rFonts w:ascii="Arial" w:hAnsi="Arial" w:cs="Arial"/>
        </w:rPr>
        <w:t xml:space="preserve"> </w:t>
      </w:r>
      <w:r w:rsidRPr="009B3E1C">
        <w:rPr>
          <w:rFonts w:ascii="Arial" w:hAnsi="Arial" w:cs="Arial"/>
        </w:rPr>
        <w:t xml:space="preserve">yıllık ortalama </w:t>
      </w:r>
      <w:r w:rsidR="00381BB1">
        <w:rPr>
          <w:rFonts w:ascii="Arial" w:hAnsi="Arial" w:cs="Arial"/>
        </w:rPr>
        <w:t xml:space="preserve">yüzde </w:t>
      </w:r>
      <w:r w:rsidRPr="009B3E1C">
        <w:rPr>
          <w:rFonts w:ascii="Arial" w:hAnsi="Arial" w:cs="Arial"/>
        </w:rPr>
        <w:t xml:space="preserve">3,5 düzeyinde artarak 510,5 TWh seviyesine ulaşacağı </w:t>
      </w:r>
      <w:r w:rsidR="00381BB1">
        <w:rPr>
          <w:rFonts w:ascii="Arial" w:hAnsi="Arial" w:cs="Arial"/>
        </w:rPr>
        <w:t>öngörülüyor</w:t>
      </w:r>
      <w:r w:rsidRPr="009B3E1C">
        <w:rPr>
          <w:rFonts w:ascii="Arial" w:hAnsi="Arial" w:cs="Arial"/>
        </w:rPr>
        <w:t>. Tahmin dönemi boyunca yıllık</w:t>
      </w:r>
      <w:r w:rsidR="00381BB1">
        <w:rPr>
          <w:rFonts w:ascii="Arial" w:hAnsi="Arial" w:cs="Arial"/>
        </w:rPr>
        <w:t xml:space="preserve"> </w:t>
      </w:r>
      <w:r w:rsidRPr="009B3E1C">
        <w:rPr>
          <w:rFonts w:ascii="Arial" w:hAnsi="Arial" w:cs="Arial"/>
        </w:rPr>
        <w:t xml:space="preserve">bazda sanayi sektöründe </w:t>
      </w:r>
      <w:r w:rsidR="00381BB1">
        <w:rPr>
          <w:rFonts w:ascii="Arial" w:hAnsi="Arial" w:cs="Arial"/>
        </w:rPr>
        <w:t xml:space="preserve">yüzde </w:t>
      </w:r>
      <w:r w:rsidRPr="009B3E1C">
        <w:rPr>
          <w:rFonts w:ascii="Arial" w:hAnsi="Arial" w:cs="Arial"/>
        </w:rPr>
        <w:t xml:space="preserve">3,7, meskenlerde </w:t>
      </w:r>
      <w:r w:rsidR="00381BB1">
        <w:rPr>
          <w:rFonts w:ascii="Arial" w:hAnsi="Arial" w:cs="Arial"/>
        </w:rPr>
        <w:t xml:space="preserve">yüzde </w:t>
      </w:r>
      <w:r w:rsidRPr="009B3E1C">
        <w:rPr>
          <w:rFonts w:ascii="Arial" w:hAnsi="Arial" w:cs="Arial"/>
        </w:rPr>
        <w:t xml:space="preserve">2,3, hizmet sektöründe </w:t>
      </w:r>
      <w:r w:rsidR="00381BB1">
        <w:rPr>
          <w:rFonts w:ascii="Arial" w:hAnsi="Arial" w:cs="Arial"/>
        </w:rPr>
        <w:t xml:space="preserve">yüzde </w:t>
      </w:r>
      <w:r w:rsidRPr="009B3E1C">
        <w:rPr>
          <w:rFonts w:ascii="Arial" w:hAnsi="Arial" w:cs="Arial"/>
        </w:rPr>
        <w:t xml:space="preserve">2,2 yıllık ortalama elektrik tüketim artışı </w:t>
      </w:r>
      <w:r w:rsidR="00381BB1">
        <w:rPr>
          <w:rFonts w:ascii="Arial" w:hAnsi="Arial" w:cs="Arial"/>
        </w:rPr>
        <w:t xml:space="preserve">olması bekleniyor. </w:t>
      </w:r>
      <w:r w:rsidRPr="009B3E1C">
        <w:rPr>
          <w:rFonts w:ascii="Arial" w:hAnsi="Arial" w:cs="Arial"/>
        </w:rPr>
        <w:t xml:space="preserve">2020 yılında nihai enerji tüketimi içinde </w:t>
      </w:r>
      <w:r w:rsidR="00381BB1">
        <w:rPr>
          <w:rFonts w:ascii="Arial" w:hAnsi="Arial" w:cs="Arial"/>
        </w:rPr>
        <w:t xml:space="preserve">yüzde </w:t>
      </w:r>
      <w:r w:rsidRPr="009B3E1C">
        <w:rPr>
          <w:rFonts w:ascii="Arial" w:hAnsi="Arial" w:cs="Arial"/>
        </w:rPr>
        <w:t>21,8’lik orana sahip elektrik enerjisinin payı</w:t>
      </w:r>
      <w:r w:rsidR="00A43AC1">
        <w:rPr>
          <w:rFonts w:ascii="Arial" w:hAnsi="Arial" w:cs="Arial"/>
        </w:rPr>
        <w:t>nın</w:t>
      </w:r>
      <w:r w:rsidRPr="009B3E1C">
        <w:rPr>
          <w:rFonts w:ascii="Arial" w:hAnsi="Arial" w:cs="Arial"/>
        </w:rPr>
        <w:t xml:space="preserve"> 2035 yılında </w:t>
      </w:r>
      <w:r w:rsidR="00A43AC1">
        <w:rPr>
          <w:rFonts w:ascii="Arial" w:hAnsi="Arial" w:cs="Arial"/>
        </w:rPr>
        <w:t xml:space="preserve">yüzde </w:t>
      </w:r>
      <w:r w:rsidRPr="009B3E1C">
        <w:rPr>
          <w:rFonts w:ascii="Arial" w:hAnsi="Arial" w:cs="Arial"/>
        </w:rPr>
        <w:t xml:space="preserve">24,9’a ulaşacağı </w:t>
      </w:r>
      <w:r w:rsidR="00A43AC1">
        <w:rPr>
          <w:rFonts w:ascii="Arial" w:hAnsi="Arial" w:cs="Arial"/>
        </w:rPr>
        <w:t xml:space="preserve">tahmin ediliyor. Öte yandan </w:t>
      </w:r>
      <w:r w:rsidRPr="009B3E1C">
        <w:rPr>
          <w:rFonts w:ascii="Arial" w:hAnsi="Arial" w:cs="Arial"/>
        </w:rPr>
        <w:t xml:space="preserve">2020 yılında elektrik üretiminde </w:t>
      </w:r>
      <w:r w:rsidR="00A43AC1">
        <w:rPr>
          <w:rFonts w:ascii="Arial" w:hAnsi="Arial" w:cs="Arial"/>
        </w:rPr>
        <w:t xml:space="preserve">yüzde </w:t>
      </w:r>
      <w:r w:rsidRPr="009B3E1C">
        <w:rPr>
          <w:rFonts w:ascii="Arial" w:hAnsi="Arial" w:cs="Arial"/>
        </w:rPr>
        <w:t>11,7 oranına sahip kesintili yenilenebilir enerji kaynaklarının payı</w:t>
      </w:r>
      <w:r w:rsidR="00A43AC1">
        <w:rPr>
          <w:rFonts w:ascii="Arial" w:hAnsi="Arial" w:cs="Arial"/>
        </w:rPr>
        <w:t>nın</w:t>
      </w:r>
      <w:r w:rsidRPr="009B3E1C">
        <w:rPr>
          <w:rFonts w:ascii="Arial" w:hAnsi="Arial" w:cs="Arial"/>
        </w:rPr>
        <w:t xml:space="preserve"> 2035 yılına kadar</w:t>
      </w:r>
      <w:r w:rsidR="00A43AC1">
        <w:rPr>
          <w:rFonts w:ascii="Arial" w:hAnsi="Arial" w:cs="Arial"/>
        </w:rPr>
        <w:t xml:space="preserve"> </w:t>
      </w:r>
      <w:r w:rsidRPr="009B3E1C">
        <w:rPr>
          <w:rFonts w:ascii="Arial" w:hAnsi="Arial" w:cs="Arial"/>
        </w:rPr>
        <w:t xml:space="preserve">kademeli olarak </w:t>
      </w:r>
      <w:r w:rsidR="00A43AC1">
        <w:rPr>
          <w:rFonts w:ascii="Arial" w:hAnsi="Arial" w:cs="Arial"/>
        </w:rPr>
        <w:t xml:space="preserve">yüzde </w:t>
      </w:r>
      <w:r w:rsidRPr="009B3E1C">
        <w:rPr>
          <w:rFonts w:ascii="Arial" w:hAnsi="Arial" w:cs="Arial"/>
        </w:rPr>
        <w:t xml:space="preserve">34,3’e yükselmesi </w:t>
      </w:r>
      <w:r w:rsidR="00A43AC1">
        <w:rPr>
          <w:rFonts w:ascii="Arial" w:hAnsi="Arial" w:cs="Arial"/>
        </w:rPr>
        <w:t xml:space="preserve">beklenirken </w:t>
      </w:r>
      <w:r w:rsidRPr="009B3E1C">
        <w:rPr>
          <w:rFonts w:ascii="Arial" w:hAnsi="Arial" w:cs="Arial"/>
        </w:rPr>
        <w:t xml:space="preserve">2020 yılında elektrik üretiminde </w:t>
      </w:r>
      <w:r w:rsidR="00A43AC1">
        <w:rPr>
          <w:rFonts w:ascii="Arial" w:hAnsi="Arial" w:cs="Arial"/>
        </w:rPr>
        <w:t xml:space="preserve">yüzde </w:t>
      </w:r>
      <w:r w:rsidRPr="009B3E1C">
        <w:rPr>
          <w:rFonts w:ascii="Arial" w:hAnsi="Arial" w:cs="Arial"/>
        </w:rPr>
        <w:t>42,4 olan yenilenebilir enerji</w:t>
      </w:r>
      <w:r w:rsidR="00A43AC1">
        <w:rPr>
          <w:rFonts w:ascii="Arial" w:hAnsi="Arial" w:cs="Arial"/>
        </w:rPr>
        <w:t xml:space="preserve"> </w:t>
      </w:r>
      <w:r w:rsidRPr="009B3E1C">
        <w:rPr>
          <w:rFonts w:ascii="Arial" w:hAnsi="Arial" w:cs="Arial"/>
        </w:rPr>
        <w:t>kaynaklarının payı</w:t>
      </w:r>
      <w:r w:rsidR="00A43AC1">
        <w:rPr>
          <w:rFonts w:ascii="Arial" w:hAnsi="Arial" w:cs="Arial"/>
        </w:rPr>
        <w:t>nın ise</w:t>
      </w:r>
      <w:r w:rsidRPr="009B3E1C">
        <w:rPr>
          <w:rFonts w:ascii="Arial" w:hAnsi="Arial" w:cs="Arial"/>
        </w:rPr>
        <w:t xml:space="preserve"> 2035 yılına kadar </w:t>
      </w:r>
      <w:r w:rsidR="00A43AC1">
        <w:rPr>
          <w:rFonts w:ascii="Arial" w:hAnsi="Arial" w:cs="Arial"/>
        </w:rPr>
        <w:t xml:space="preserve">yüzde </w:t>
      </w:r>
      <w:r w:rsidRPr="009B3E1C">
        <w:rPr>
          <w:rFonts w:ascii="Arial" w:hAnsi="Arial" w:cs="Arial"/>
        </w:rPr>
        <w:t xml:space="preserve">54,8’e çıkması </w:t>
      </w:r>
      <w:r w:rsidR="00A43AC1">
        <w:rPr>
          <w:rFonts w:ascii="Arial" w:hAnsi="Arial" w:cs="Arial"/>
        </w:rPr>
        <w:t>öngörülüyor</w:t>
      </w:r>
      <w:r w:rsidRPr="009B3E1C">
        <w:rPr>
          <w:rFonts w:ascii="Arial" w:hAnsi="Arial" w:cs="Arial"/>
        </w:rPr>
        <w:t>. Hidroelektrik santrallerinin payı</w:t>
      </w:r>
      <w:r w:rsidR="00A43AC1">
        <w:rPr>
          <w:rFonts w:ascii="Arial" w:hAnsi="Arial" w:cs="Arial"/>
        </w:rPr>
        <w:t>nın</w:t>
      </w:r>
      <w:r w:rsidRPr="009B3E1C">
        <w:rPr>
          <w:rFonts w:ascii="Arial" w:hAnsi="Arial" w:cs="Arial"/>
        </w:rPr>
        <w:t xml:space="preserve"> ise 2035 yılına kadar</w:t>
      </w:r>
      <w:r w:rsidR="00A43AC1">
        <w:rPr>
          <w:rFonts w:ascii="Arial" w:hAnsi="Arial" w:cs="Arial"/>
        </w:rPr>
        <w:t xml:space="preserve"> yüzde </w:t>
      </w:r>
      <w:r w:rsidRPr="009B3E1C">
        <w:rPr>
          <w:rFonts w:ascii="Arial" w:hAnsi="Arial" w:cs="Arial"/>
        </w:rPr>
        <w:t xml:space="preserve">17,3’e çıkması tahmin </w:t>
      </w:r>
      <w:r w:rsidR="00A43AC1">
        <w:rPr>
          <w:rFonts w:ascii="Arial" w:hAnsi="Arial" w:cs="Arial"/>
        </w:rPr>
        <w:t>ediliyor.</w:t>
      </w:r>
    </w:p>
    <w:p w14:paraId="22D4C442" w14:textId="77777777" w:rsidR="009B3E1C" w:rsidRPr="009B3E1C" w:rsidRDefault="009B3E1C" w:rsidP="00135527">
      <w:pPr>
        <w:spacing w:after="0" w:line="300" w:lineRule="auto"/>
        <w:contextualSpacing/>
        <w:jc w:val="both"/>
        <w:rPr>
          <w:rFonts w:ascii="Arial" w:hAnsi="Arial" w:cs="Arial"/>
        </w:rPr>
      </w:pPr>
    </w:p>
    <w:p w14:paraId="44C7845A" w14:textId="5FA2B8DC" w:rsidR="00A43AC1" w:rsidRPr="00A43AC1" w:rsidRDefault="00A43AC1" w:rsidP="00135527">
      <w:pPr>
        <w:spacing w:after="0" w:line="300" w:lineRule="auto"/>
        <w:contextualSpacing/>
        <w:jc w:val="both"/>
        <w:rPr>
          <w:rFonts w:ascii="Arial" w:hAnsi="Arial" w:cs="Arial"/>
          <w:b/>
          <w:bCs/>
        </w:rPr>
      </w:pPr>
      <w:r w:rsidRPr="00A43AC1">
        <w:rPr>
          <w:rFonts w:ascii="Arial" w:hAnsi="Arial" w:cs="Arial"/>
          <w:b/>
          <w:bCs/>
        </w:rPr>
        <w:t>Doğal gaz tüketimi azaldı</w:t>
      </w:r>
    </w:p>
    <w:p w14:paraId="51A775D0" w14:textId="13D8C0EA" w:rsidR="009B3E1C" w:rsidRPr="009B3E1C" w:rsidRDefault="009B3E1C" w:rsidP="00135527">
      <w:pPr>
        <w:spacing w:after="0" w:line="300" w:lineRule="auto"/>
        <w:contextualSpacing/>
        <w:jc w:val="both"/>
        <w:rPr>
          <w:rFonts w:ascii="Arial" w:hAnsi="Arial" w:cs="Arial"/>
        </w:rPr>
      </w:pPr>
      <w:r w:rsidRPr="009B3E1C">
        <w:rPr>
          <w:rFonts w:ascii="Arial" w:hAnsi="Arial" w:cs="Arial"/>
        </w:rPr>
        <w:t xml:space="preserve">2022 yılı süresince ithalat ve tedarik kısmında BOTAŞ’ın domine ettiği </w:t>
      </w:r>
      <w:r w:rsidR="00A43AC1">
        <w:rPr>
          <w:rFonts w:ascii="Arial" w:hAnsi="Arial" w:cs="Arial"/>
        </w:rPr>
        <w:t xml:space="preserve">doğal gaz </w:t>
      </w:r>
      <w:r w:rsidRPr="009B3E1C">
        <w:rPr>
          <w:rFonts w:ascii="Arial" w:hAnsi="Arial" w:cs="Arial"/>
        </w:rPr>
        <w:t>piyasa</w:t>
      </w:r>
      <w:r w:rsidR="00A43AC1">
        <w:rPr>
          <w:rFonts w:ascii="Arial" w:hAnsi="Arial" w:cs="Arial"/>
        </w:rPr>
        <w:t>sının</w:t>
      </w:r>
      <w:r w:rsidRPr="009B3E1C">
        <w:rPr>
          <w:rFonts w:ascii="Arial" w:hAnsi="Arial" w:cs="Arial"/>
        </w:rPr>
        <w:t xml:space="preserve"> yapısında önemli bir değişiklik olma</w:t>
      </w:r>
      <w:r w:rsidR="00A43AC1">
        <w:rPr>
          <w:rFonts w:ascii="Arial" w:hAnsi="Arial" w:cs="Arial"/>
        </w:rPr>
        <w:t xml:space="preserve">zken </w:t>
      </w:r>
      <w:r w:rsidRPr="009B3E1C">
        <w:rPr>
          <w:rFonts w:ascii="Arial" w:hAnsi="Arial" w:cs="Arial"/>
        </w:rPr>
        <w:t xml:space="preserve">BOTAŞ’ın </w:t>
      </w:r>
      <w:r w:rsidR="00A43AC1">
        <w:rPr>
          <w:rFonts w:ascii="Arial" w:hAnsi="Arial" w:cs="Arial"/>
        </w:rPr>
        <w:t>m</w:t>
      </w:r>
      <w:r w:rsidRPr="009B3E1C">
        <w:rPr>
          <w:rFonts w:ascii="Arial" w:hAnsi="Arial" w:cs="Arial"/>
        </w:rPr>
        <w:t>ayıs ayında Bulgaristan’a boru hattı ile doğal gaz ihraç etmesi üzerine, ithalat ve ihracattaki olası potansiyeli</w:t>
      </w:r>
      <w:r w:rsidR="00A43AC1">
        <w:rPr>
          <w:rFonts w:ascii="Arial" w:hAnsi="Arial" w:cs="Arial"/>
        </w:rPr>
        <w:t xml:space="preserve"> </w:t>
      </w:r>
      <w:r w:rsidRPr="009B3E1C">
        <w:rPr>
          <w:rFonts w:ascii="Arial" w:hAnsi="Arial" w:cs="Arial"/>
        </w:rPr>
        <w:t>değerlendirmek isteyen şirketlerin EPDK’ya yaptıkları lisans başvurularında artış gözlemlendi. Ancak özel sektörün</w:t>
      </w:r>
      <w:r w:rsidR="00A43AC1">
        <w:rPr>
          <w:rFonts w:ascii="Arial" w:hAnsi="Arial" w:cs="Arial"/>
        </w:rPr>
        <w:t xml:space="preserve"> </w:t>
      </w:r>
      <w:r w:rsidRPr="009B3E1C">
        <w:rPr>
          <w:rFonts w:ascii="Arial" w:hAnsi="Arial" w:cs="Arial"/>
        </w:rPr>
        <w:t>2022</w:t>
      </w:r>
      <w:r w:rsidR="00A43AC1">
        <w:rPr>
          <w:rFonts w:ascii="Arial" w:hAnsi="Arial" w:cs="Arial"/>
        </w:rPr>
        <w:t xml:space="preserve"> </w:t>
      </w:r>
      <w:r w:rsidRPr="009B3E1C">
        <w:rPr>
          <w:rFonts w:ascii="Arial" w:hAnsi="Arial" w:cs="Arial"/>
        </w:rPr>
        <w:t>yılında piyasadaki payı, bir önceki sene ulaşılan seviyenin oldukça altında kaldı.</w:t>
      </w:r>
      <w:r w:rsidR="00A43AC1">
        <w:rPr>
          <w:rFonts w:ascii="Arial" w:hAnsi="Arial" w:cs="Arial"/>
        </w:rPr>
        <w:t xml:space="preserve"> </w:t>
      </w:r>
      <w:r w:rsidRPr="009B3E1C">
        <w:rPr>
          <w:rFonts w:ascii="Arial" w:hAnsi="Arial" w:cs="Arial"/>
        </w:rPr>
        <w:t xml:space="preserve">2022 yılındaki doğal gaz tüketimi, bir önceki yıla göre </w:t>
      </w:r>
      <w:r w:rsidR="00A43AC1">
        <w:rPr>
          <w:rFonts w:ascii="Arial" w:hAnsi="Arial" w:cs="Arial"/>
        </w:rPr>
        <w:t xml:space="preserve">yüzde </w:t>
      </w:r>
      <w:r w:rsidRPr="009B3E1C">
        <w:rPr>
          <w:rFonts w:ascii="Arial" w:hAnsi="Arial" w:cs="Arial"/>
        </w:rPr>
        <w:t>9,8 azalarak 53</w:t>
      </w:r>
      <w:r w:rsidR="00A43AC1">
        <w:rPr>
          <w:rFonts w:ascii="Arial" w:hAnsi="Arial" w:cs="Arial"/>
        </w:rPr>
        <w:t>,</w:t>
      </w:r>
      <w:r w:rsidRPr="009B3E1C">
        <w:rPr>
          <w:rFonts w:ascii="Arial" w:hAnsi="Arial" w:cs="Arial"/>
        </w:rPr>
        <w:t xml:space="preserve">04 </w:t>
      </w:r>
      <w:proofErr w:type="spellStart"/>
      <w:r w:rsidRPr="009B3E1C">
        <w:rPr>
          <w:rFonts w:ascii="Arial" w:hAnsi="Arial" w:cs="Arial"/>
        </w:rPr>
        <w:t>bcm’e</w:t>
      </w:r>
      <w:proofErr w:type="spellEnd"/>
      <w:r w:rsidRPr="009B3E1C">
        <w:rPr>
          <w:rFonts w:ascii="Arial" w:hAnsi="Arial" w:cs="Arial"/>
        </w:rPr>
        <w:t xml:space="preserve"> geriledi.</w:t>
      </w:r>
      <w:r w:rsidR="00A43AC1">
        <w:rPr>
          <w:rFonts w:ascii="Arial" w:hAnsi="Arial" w:cs="Arial"/>
        </w:rPr>
        <w:t xml:space="preserve"> </w:t>
      </w:r>
      <w:r w:rsidRPr="009B3E1C">
        <w:rPr>
          <w:rFonts w:ascii="Arial" w:hAnsi="Arial" w:cs="Arial"/>
        </w:rPr>
        <w:t>Tüketimdeki gerilemede, başta</w:t>
      </w:r>
      <w:r w:rsidR="00A43AC1">
        <w:rPr>
          <w:rFonts w:ascii="Arial" w:hAnsi="Arial" w:cs="Arial"/>
        </w:rPr>
        <w:t xml:space="preserve"> </w:t>
      </w:r>
      <w:r w:rsidRPr="009B3E1C">
        <w:rPr>
          <w:rFonts w:ascii="Arial" w:hAnsi="Arial" w:cs="Arial"/>
        </w:rPr>
        <w:t>rezervuarlı hidroelektrik santrallerinden ve diğer yenilenebilir</w:t>
      </w:r>
      <w:r w:rsidR="00A43AC1">
        <w:rPr>
          <w:rFonts w:ascii="Arial" w:hAnsi="Arial" w:cs="Arial"/>
        </w:rPr>
        <w:t xml:space="preserve"> </w:t>
      </w:r>
      <w:r w:rsidRPr="009B3E1C">
        <w:rPr>
          <w:rFonts w:ascii="Arial" w:hAnsi="Arial" w:cs="Arial"/>
        </w:rPr>
        <w:t>kaynaklardan üretilen elektrik enerjisi miktarındaki artışla,</w:t>
      </w:r>
      <w:r w:rsidR="00A43AC1">
        <w:rPr>
          <w:rFonts w:ascii="Arial" w:hAnsi="Arial" w:cs="Arial"/>
        </w:rPr>
        <w:t xml:space="preserve"> </w:t>
      </w:r>
      <w:r w:rsidRPr="009B3E1C">
        <w:rPr>
          <w:rFonts w:ascii="Arial" w:hAnsi="Arial" w:cs="Arial"/>
        </w:rPr>
        <w:t>santrallerin doğal gaz tüketiminin</w:t>
      </w:r>
      <w:r w:rsidR="00A43AC1">
        <w:rPr>
          <w:rFonts w:ascii="Arial" w:hAnsi="Arial" w:cs="Arial"/>
        </w:rPr>
        <w:t xml:space="preserve"> </w:t>
      </w:r>
      <w:r w:rsidRPr="009B3E1C">
        <w:rPr>
          <w:rFonts w:ascii="Arial" w:hAnsi="Arial" w:cs="Arial"/>
        </w:rPr>
        <w:t>azalması temel etken oldu.</w:t>
      </w:r>
    </w:p>
    <w:p w14:paraId="205F94A4" w14:textId="77777777" w:rsidR="009B3E1C" w:rsidRPr="009B3E1C" w:rsidRDefault="009B3E1C" w:rsidP="00135527">
      <w:pPr>
        <w:spacing w:after="0" w:line="300" w:lineRule="auto"/>
        <w:contextualSpacing/>
        <w:jc w:val="both"/>
        <w:rPr>
          <w:rFonts w:ascii="Arial" w:hAnsi="Arial" w:cs="Arial"/>
        </w:rPr>
      </w:pPr>
    </w:p>
    <w:p w14:paraId="7E8D3198" w14:textId="6CAE1B36" w:rsidR="00F678E2" w:rsidRPr="00A43AC1" w:rsidRDefault="00F678E2" w:rsidP="00135527">
      <w:pPr>
        <w:spacing w:after="0" w:line="300" w:lineRule="auto"/>
        <w:contextualSpacing/>
        <w:jc w:val="both"/>
        <w:rPr>
          <w:rFonts w:ascii="Arial" w:hAnsi="Arial" w:cs="Arial"/>
          <w:b/>
          <w:bCs/>
        </w:rPr>
      </w:pPr>
      <w:r>
        <w:rPr>
          <w:rFonts w:ascii="Arial" w:hAnsi="Arial" w:cs="Arial"/>
          <w:b/>
          <w:bCs/>
        </w:rPr>
        <w:t>ABD, Türkiye’nin en yüksek paya sahip LNG tedarikçi</w:t>
      </w:r>
      <w:r w:rsidR="00135527">
        <w:rPr>
          <w:rFonts w:ascii="Arial" w:hAnsi="Arial" w:cs="Arial"/>
          <w:b/>
          <w:bCs/>
        </w:rPr>
        <w:t>lerinden</w:t>
      </w:r>
      <w:r>
        <w:rPr>
          <w:rFonts w:ascii="Arial" w:hAnsi="Arial" w:cs="Arial"/>
          <w:b/>
          <w:bCs/>
        </w:rPr>
        <w:t xml:space="preserve"> oldu</w:t>
      </w:r>
    </w:p>
    <w:p w14:paraId="164E52E9" w14:textId="69898083" w:rsidR="009B3E1C" w:rsidRPr="009B3E1C" w:rsidRDefault="009B3E1C" w:rsidP="00135527">
      <w:pPr>
        <w:spacing w:after="0" w:line="300" w:lineRule="auto"/>
        <w:contextualSpacing/>
        <w:jc w:val="both"/>
        <w:rPr>
          <w:rFonts w:ascii="Arial" w:hAnsi="Arial" w:cs="Arial"/>
        </w:rPr>
      </w:pPr>
      <w:r w:rsidRPr="009B3E1C">
        <w:rPr>
          <w:rFonts w:ascii="Arial" w:hAnsi="Arial" w:cs="Arial"/>
        </w:rPr>
        <w:t xml:space="preserve">Doğal gaz ithalatında </w:t>
      </w:r>
      <w:r w:rsidR="00A43AC1">
        <w:rPr>
          <w:rFonts w:ascii="Arial" w:hAnsi="Arial" w:cs="Arial"/>
        </w:rPr>
        <w:t xml:space="preserve">ise </w:t>
      </w:r>
      <w:r w:rsidRPr="009B3E1C">
        <w:rPr>
          <w:rFonts w:ascii="Arial" w:hAnsi="Arial" w:cs="Arial"/>
        </w:rPr>
        <w:t xml:space="preserve">Rusya, 21,57 </w:t>
      </w:r>
      <w:proofErr w:type="spellStart"/>
      <w:r w:rsidRPr="009B3E1C">
        <w:rPr>
          <w:rFonts w:ascii="Arial" w:hAnsi="Arial" w:cs="Arial"/>
        </w:rPr>
        <w:t>bcm</w:t>
      </w:r>
      <w:proofErr w:type="spellEnd"/>
      <w:r w:rsidRPr="009B3E1C">
        <w:rPr>
          <w:rFonts w:ascii="Arial" w:hAnsi="Arial" w:cs="Arial"/>
        </w:rPr>
        <w:t xml:space="preserve"> ile en yüksek paya sahip ülke konumunu korudu.</w:t>
      </w:r>
      <w:r w:rsidR="00A43AC1">
        <w:rPr>
          <w:rFonts w:ascii="Arial" w:hAnsi="Arial" w:cs="Arial"/>
        </w:rPr>
        <w:t xml:space="preserve"> </w:t>
      </w:r>
      <w:r w:rsidRPr="009B3E1C">
        <w:rPr>
          <w:rFonts w:ascii="Arial" w:hAnsi="Arial" w:cs="Arial"/>
        </w:rPr>
        <w:t>BOTAŞ’ın Azerbaycan ile olan 6,6</w:t>
      </w:r>
      <w:r w:rsidR="00A43AC1">
        <w:rPr>
          <w:rFonts w:ascii="Arial" w:hAnsi="Arial" w:cs="Arial"/>
        </w:rPr>
        <w:t xml:space="preserve"> </w:t>
      </w:r>
      <w:proofErr w:type="spellStart"/>
      <w:r w:rsidRPr="009B3E1C">
        <w:rPr>
          <w:rFonts w:ascii="Arial" w:hAnsi="Arial" w:cs="Arial"/>
        </w:rPr>
        <w:t>bcm</w:t>
      </w:r>
      <w:proofErr w:type="spellEnd"/>
      <w:r w:rsidRPr="009B3E1C">
        <w:rPr>
          <w:rFonts w:ascii="Arial" w:hAnsi="Arial" w:cs="Arial"/>
        </w:rPr>
        <w:t xml:space="preserve">/y miktarlı kontratının süresinin </w:t>
      </w:r>
      <w:proofErr w:type="gramStart"/>
      <w:r w:rsidR="00A43AC1">
        <w:rPr>
          <w:rFonts w:ascii="Arial" w:hAnsi="Arial" w:cs="Arial"/>
        </w:rPr>
        <w:t>n</w:t>
      </w:r>
      <w:r w:rsidRPr="009B3E1C">
        <w:rPr>
          <w:rFonts w:ascii="Arial" w:hAnsi="Arial" w:cs="Arial"/>
        </w:rPr>
        <w:t>isan</w:t>
      </w:r>
      <w:proofErr w:type="gramEnd"/>
      <w:r w:rsidRPr="009B3E1C">
        <w:rPr>
          <w:rFonts w:ascii="Arial" w:hAnsi="Arial" w:cs="Arial"/>
        </w:rPr>
        <w:t xml:space="preserve"> 2021 tarihinde</w:t>
      </w:r>
      <w:r w:rsidR="00A43AC1">
        <w:rPr>
          <w:rFonts w:ascii="Arial" w:hAnsi="Arial" w:cs="Arial"/>
        </w:rPr>
        <w:t xml:space="preserve"> </w:t>
      </w:r>
      <w:r w:rsidRPr="009B3E1C">
        <w:rPr>
          <w:rFonts w:ascii="Arial" w:hAnsi="Arial" w:cs="Arial"/>
        </w:rPr>
        <w:t>sona ermesi, Azerbaycan’dan ithal edilen doğal gaz miktarını bir</w:t>
      </w:r>
      <w:r w:rsidR="00A43AC1">
        <w:rPr>
          <w:rFonts w:ascii="Arial" w:hAnsi="Arial" w:cs="Arial"/>
        </w:rPr>
        <w:t xml:space="preserve">az </w:t>
      </w:r>
      <w:r w:rsidRPr="009B3E1C">
        <w:rPr>
          <w:rFonts w:ascii="Arial" w:hAnsi="Arial" w:cs="Arial"/>
        </w:rPr>
        <w:t>azalttı. Ancak bu düşüş,</w:t>
      </w:r>
      <w:r w:rsidR="00A43AC1">
        <w:rPr>
          <w:rFonts w:ascii="Arial" w:hAnsi="Arial" w:cs="Arial"/>
        </w:rPr>
        <w:t xml:space="preserve"> </w:t>
      </w:r>
      <w:r w:rsidRPr="009B3E1C">
        <w:rPr>
          <w:rFonts w:ascii="Arial" w:hAnsi="Arial" w:cs="Arial"/>
        </w:rPr>
        <w:t>spot boru gazı ithalatı ile bir miktar dengelendi.</w:t>
      </w:r>
      <w:r w:rsidR="00A43AC1">
        <w:rPr>
          <w:rFonts w:ascii="Arial" w:hAnsi="Arial" w:cs="Arial"/>
        </w:rPr>
        <w:t xml:space="preserve"> </w:t>
      </w:r>
      <w:r w:rsidRPr="009B3E1C">
        <w:rPr>
          <w:rFonts w:ascii="Arial" w:hAnsi="Arial" w:cs="Arial"/>
        </w:rPr>
        <w:t xml:space="preserve">Toplam doğal gaz ithalatı içerisinde spot </w:t>
      </w:r>
      <w:proofErr w:type="spellStart"/>
      <w:r w:rsidRPr="009B3E1C">
        <w:rPr>
          <w:rFonts w:ascii="Arial" w:hAnsi="Arial" w:cs="Arial"/>
        </w:rPr>
        <w:t>LNG’nin</w:t>
      </w:r>
      <w:proofErr w:type="spellEnd"/>
      <w:r w:rsidRPr="009B3E1C">
        <w:rPr>
          <w:rFonts w:ascii="Arial" w:hAnsi="Arial" w:cs="Arial"/>
        </w:rPr>
        <w:t xml:space="preserve"> payının artışı, ABD’yi 5,64 </w:t>
      </w:r>
      <w:proofErr w:type="spellStart"/>
      <w:r w:rsidRPr="009B3E1C">
        <w:rPr>
          <w:rFonts w:ascii="Arial" w:hAnsi="Arial" w:cs="Arial"/>
        </w:rPr>
        <w:t>bcm</w:t>
      </w:r>
      <w:proofErr w:type="spellEnd"/>
      <w:r w:rsidRPr="009B3E1C">
        <w:rPr>
          <w:rFonts w:ascii="Arial" w:hAnsi="Arial" w:cs="Arial"/>
        </w:rPr>
        <w:t xml:space="preserve"> ithalat ile Türkiye’nin en yüksek paya</w:t>
      </w:r>
      <w:r w:rsidR="00A43AC1">
        <w:rPr>
          <w:rFonts w:ascii="Arial" w:hAnsi="Arial" w:cs="Arial"/>
        </w:rPr>
        <w:t xml:space="preserve"> </w:t>
      </w:r>
      <w:r w:rsidRPr="009B3E1C">
        <w:rPr>
          <w:rFonts w:ascii="Arial" w:hAnsi="Arial" w:cs="Arial"/>
        </w:rPr>
        <w:t xml:space="preserve">sahip dördüncü tedarikçisi konumuna getirdi. ABD, 9,40 </w:t>
      </w:r>
      <w:proofErr w:type="spellStart"/>
      <w:r w:rsidRPr="009B3E1C">
        <w:rPr>
          <w:rFonts w:ascii="Arial" w:hAnsi="Arial" w:cs="Arial"/>
        </w:rPr>
        <w:t>bcm</w:t>
      </w:r>
      <w:proofErr w:type="spellEnd"/>
      <w:r w:rsidRPr="009B3E1C">
        <w:rPr>
          <w:rFonts w:ascii="Arial" w:hAnsi="Arial" w:cs="Arial"/>
        </w:rPr>
        <w:t xml:space="preserve"> paya sahip İran ve 8,70 </w:t>
      </w:r>
      <w:proofErr w:type="spellStart"/>
      <w:r w:rsidRPr="009B3E1C">
        <w:rPr>
          <w:rFonts w:ascii="Arial" w:hAnsi="Arial" w:cs="Arial"/>
        </w:rPr>
        <w:t>bcm</w:t>
      </w:r>
      <w:proofErr w:type="spellEnd"/>
      <w:r w:rsidRPr="009B3E1C">
        <w:rPr>
          <w:rFonts w:ascii="Arial" w:hAnsi="Arial" w:cs="Arial"/>
        </w:rPr>
        <w:t xml:space="preserve"> hacimli</w:t>
      </w:r>
      <w:r w:rsidR="00A43AC1">
        <w:rPr>
          <w:rFonts w:ascii="Arial" w:hAnsi="Arial" w:cs="Arial"/>
        </w:rPr>
        <w:t xml:space="preserve"> </w:t>
      </w:r>
      <w:r w:rsidRPr="009B3E1C">
        <w:rPr>
          <w:rFonts w:ascii="Arial" w:hAnsi="Arial" w:cs="Arial"/>
        </w:rPr>
        <w:t>Azerbaycan’ın ardından</w:t>
      </w:r>
      <w:r w:rsidR="00A43AC1">
        <w:rPr>
          <w:rFonts w:ascii="Arial" w:hAnsi="Arial" w:cs="Arial"/>
        </w:rPr>
        <w:t xml:space="preserve"> </w:t>
      </w:r>
      <w:r w:rsidRPr="009B3E1C">
        <w:rPr>
          <w:rFonts w:ascii="Arial" w:hAnsi="Arial" w:cs="Arial"/>
        </w:rPr>
        <w:t xml:space="preserve">dördüncü sırada yer aldı. Beşinci sırada ise 5,26 </w:t>
      </w:r>
      <w:proofErr w:type="spellStart"/>
      <w:r w:rsidRPr="009B3E1C">
        <w:rPr>
          <w:rFonts w:ascii="Arial" w:hAnsi="Arial" w:cs="Arial"/>
        </w:rPr>
        <w:t>bcm</w:t>
      </w:r>
      <w:proofErr w:type="spellEnd"/>
      <w:r w:rsidRPr="009B3E1C">
        <w:rPr>
          <w:rFonts w:ascii="Arial" w:hAnsi="Arial" w:cs="Arial"/>
        </w:rPr>
        <w:t xml:space="preserve"> ile Cezayir yer aldı.</w:t>
      </w:r>
      <w:r w:rsidR="00A43AC1">
        <w:rPr>
          <w:rFonts w:ascii="Arial" w:hAnsi="Arial" w:cs="Arial"/>
        </w:rPr>
        <w:t xml:space="preserve"> </w:t>
      </w:r>
      <w:r w:rsidRPr="009B3E1C">
        <w:rPr>
          <w:rFonts w:ascii="Arial" w:hAnsi="Arial" w:cs="Arial"/>
        </w:rPr>
        <w:t>Dünya doğal gaz piyasasını</w:t>
      </w:r>
      <w:r w:rsidR="00A43AC1">
        <w:rPr>
          <w:rFonts w:ascii="Arial" w:hAnsi="Arial" w:cs="Arial"/>
        </w:rPr>
        <w:t>n</w:t>
      </w:r>
      <w:r w:rsidRPr="009B3E1C">
        <w:rPr>
          <w:rFonts w:ascii="Arial" w:hAnsi="Arial" w:cs="Arial"/>
        </w:rPr>
        <w:t xml:space="preserve"> gündeminde ise en ön plana çıkan konu, Rusya’nın</w:t>
      </w:r>
      <w:r w:rsidR="00A43AC1">
        <w:rPr>
          <w:rFonts w:ascii="Arial" w:hAnsi="Arial" w:cs="Arial"/>
        </w:rPr>
        <w:t xml:space="preserve"> </w:t>
      </w:r>
      <w:r w:rsidRPr="009B3E1C">
        <w:rPr>
          <w:rFonts w:ascii="Arial" w:hAnsi="Arial" w:cs="Arial"/>
        </w:rPr>
        <w:t>Bulgaristan’a ve Polonya’ya ihraç ettiği doğal</w:t>
      </w:r>
      <w:r w:rsidR="00A43AC1">
        <w:rPr>
          <w:rFonts w:ascii="Arial" w:hAnsi="Arial" w:cs="Arial"/>
        </w:rPr>
        <w:t xml:space="preserve"> </w:t>
      </w:r>
      <w:r w:rsidRPr="009B3E1C">
        <w:rPr>
          <w:rFonts w:ascii="Arial" w:hAnsi="Arial" w:cs="Arial"/>
        </w:rPr>
        <w:t>gazın akışını, ruble cinsinden ödeme yapılma talebinin kabul görmemesi üzerine durdurması oldu.</w:t>
      </w:r>
      <w:r w:rsidR="00A43AC1">
        <w:rPr>
          <w:rFonts w:ascii="Arial" w:hAnsi="Arial" w:cs="Arial"/>
        </w:rPr>
        <w:t xml:space="preserve"> </w:t>
      </w:r>
    </w:p>
    <w:p w14:paraId="65004C36" w14:textId="577893F9" w:rsidR="0028718E" w:rsidRDefault="0028718E" w:rsidP="00135527">
      <w:pPr>
        <w:spacing w:after="0" w:line="300" w:lineRule="auto"/>
        <w:contextualSpacing/>
        <w:jc w:val="both"/>
        <w:rPr>
          <w:rFonts w:ascii="Arial" w:hAnsi="Arial" w:cs="Arial"/>
        </w:rPr>
      </w:pPr>
    </w:p>
    <w:p w14:paraId="47D1A7ED" w14:textId="4566F60E" w:rsidR="0028718E" w:rsidRPr="00DB4AB8" w:rsidRDefault="0028718E" w:rsidP="00135527">
      <w:pPr>
        <w:spacing w:after="0" w:line="300" w:lineRule="auto"/>
        <w:contextualSpacing/>
        <w:rPr>
          <w:rFonts w:ascii="Arial" w:hAnsi="Arial" w:cs="Arial"/>
        </w:rPr>
      </w:pPr>
      <w:r w:rsidRPr="64669C14">
        <w:rPr>
          <w:rFonts w:ascii="Arial" w:hAnsi="Arial" w:cs="Arial"/>
        </w:rPr>
        <w:t xml:space="preserve">Raporun tamamına </w:t>
      </w:r>
      <w:hyperlink r:id="rId11">
        <w:r w:rsidR="00C4496F" w:rsidRPr="64669C14">
          <w:rPr>
            <w:rStyle w:val="Kpr"/>
            <w:rFonts w:ascii="Arial" w:hAnsi="Arial" w:cs="Arial"/>
          </w:rPr>
          <w:t>buradan</w:t>
        </w:r>
      </w:hyperlink>
      <w:r w:rsidR="00C4496F">
        <w:t xml:space="preserve"> </w:t>
      </w:r>
      <w:r w:rsidRPr="64669C14">
        <w:rPr>
          <w:rFonts w:ascii="Arial" w:hAnsi="Arial" w:cs="Arial"/>
        </w:rPr>
        <w:t>ulaşabilirsiniz.</w:t>
      </w:r>
    </w:p>
    <w:p w14:paraId="5D19A030" w14:textId="77777777" w:rsidR="00DB4AB8" w:rsidRPr="00DB4AB8" w:rsidRDefault="00DB4AB8" w:rsidP="00DB4AB8">
      <w:pPr>
        <w:spacing w:after="0" w:line="300" w:lineRule="auto"/>
        <w:contextualSpacing/>
        <w:jc w:val="both"/>
        <w:rPr>
          <w:rFonts w:ascii="Arial" w:hAnsi="Arial" w:cs="Arial"/>
          <w:b/>
          <w:bCs/>
        </w:rPr>
      </w:pPr>
    </w:p>
    <w:p w14:paraId="0930E89D" w14:textId="77777777" w:rsidR="00F400F6" w:rsidRDefault="00F400F6" w:rsidP="00F400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8"/>
          <w:szCs w:val="18"/>
        </w:rPr>
        <w:t xml:space="preserve">Bilgi için: </w:t>
      </w:r>
      <w:r>
        <w:rPr>
          <w:rStyle w:val="tabchar"/>
          <w:rFonts w:ascii="Calibri" w:hAnsi="Calibri" w:cs="Calibri"/>
          <w:sz w:val="18"/>
          <w:szCs w:val="18"/>
        </w:rPr>
        <w:tab/>
      </w:r>
      <w:r>
        <w:rPr>
          <w:rStyle w:val="normaltextrun"/>
          <w:rFonts w:ascii="Calibri" w:hAnsi="Calibri" w:cs="Calibri"/>
          <w:sz w:val="18"/>
          <w:szCs w:val="18"/>
        </w:rPr>
        <w:t> </w:t>
      </w:r>
      <w:r>
        <w:rPr>
          <w:rStyle w:val="eop"/>
          <w:rFonts w:ascii="Calibri" w:hAnsi="Calibri" w:cs="Calibri"/>
          <w:sz w:val="18"/>
          <w:szCs w:val="18"/>
        </w:rPr>
        <w:t> </w:t>
      </w:r>
    </w:p>
    <w:p w14:paraId="345891A6" w14:textId="77777777" w:rsidR="00F400F6" w:rsidRDefault="00F400F6" w:rsidP="00F400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Ceren Moral Aru </w:t>
      </w:r>
      <w:r>
        <w:rPr>
          <w:rStyle w:val="eop"/>
          <w:rFonts w:ascii="Calibri" w:hAnsi="Calibri" w:cs="Calibri"/>
          <w:color w:val="000000"/>
          <w:sz w:val="18"/>
          <w:szCs w:val="18"/>
        </w:rPr>
        <w:t> </w:t>
      </w:r>
    </w:p>
    <w:p w14:paraId="44D85323" w14:textId="77777777" w:rsidR="00F400F6" w:rsidRDefault="00F400F6" w:rsidP="00F400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0533 921 43 53 </w:t>
      </w:r>
      <w:r>
        <w:rPr>
          <w:rStyle w:val="eop"/>
          <w:rFonts w:ascii="Calibri" w:hAnsi="Calibri" w:cs="Calibri"/>
          <w:color w:val="000000"/>
          <w:sz w:val="18"/>
          <w:szCs w:val="18"/>
        </w:rPr>
        <w:t> </w:t>
      </w:r>
    </w:p>
    <w:p w14:paraId="39FA4AA5" w14:textId="77777777" w:rsidR="00F400F6" w:rsidRDefault="00F400F6" w:rsidP="00F400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cerenm@marjinal.com.tr </w:t>
      </w:r>
      <w:r>
        <w:rPr>
          <w:rStyle w:val="eop"/>
          <w:rFonts w:ascii="Calibri" w:hAnsi="Calibri" w:cs="Calibri"/>
          <w:color w:val="000000"/>
          <w:sz w:val="18"/>
          <w:szCs w:val="18"/>
        </w:rPr>
        <w:t> </w:t>
      </w:r>
    </w:p>
    <w:p w14:paraId="520E691E" w14:textId="77777777" w:rsidR="00F400F6" w:rsidRDefault="00F400F6" w:rsidP="00F400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lastRenderedPageBreak/>
        <w:t> </w:t>
      </w:r>
      <w:r>
        <w:rPr>
          <w:rStyle w:val="eop"/>
          <w:rFonts w:ascii="Calibri" w:hAnsi="Calibri" w:cs="Calibri"/>
          <w:sz w:val="18"/>
          <w:szCs w:val="18"/>
        </w:rPr>
        <w:t> </w:t>
      </w:r>
    </w:p>
    <w:p w14:paraId="0DE38130" w14:textId="77777777" w:rsidR="00F400F6" w:rsidRDefault="00F400F6" w:rsidP="00F400F6">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Calibri" w:hAnsi="Calibri" w:cs="Calibri"/>
          <w:b/>
          <w:bCs/>
          <w:sz w:val="18"/>
          <w:szCs w:val="18"/>
          <w:u w:val="single"/>
        </w:rPr>
        <w:t>KPMG Hakkında</w:t>
      </w:r>
      <w:r>
        <w:rPr>
          <w:rStyle w:val="normaltextrun"/>
          <w:rFonts w:ascii="Calibri" w:hAnsi="Calibri" w:cs="Calibri"/>
          <w:sz w:val="18"/>
          <w:szCs w:val="18"/>
        </w:rPr>
        <w:t> </w:t>
      </w:r>
      <w:r>
        <w:rPr>
          <w:rStyle w:val="eop"/>
          <w:rFonts w:ascii="Calibri" w:hAnsi="Calibri" w:cs="Calibri"/>
          <w:sz w:val="18"/>
          <w:szCs w:val="18"/>
        </w:rPr>
        <w:t> </w:t>
      </w:r>
    </w:p>
    <w:p w14:paraId="3359F04C" w14:textId="5677010B" w:rsidR="00D322B8" w:rsidRPr="00F400F6" w:rsidRDefault="00F400F6" w:rsidP="00F400F6">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Calibri" w:hAnsi="Calibri" w:cs="Calibri"/>
          <w:color w:val="000000"/>
          <w:sz w:val="18"/>
          <w:szCs w:val="18"/>
        </w:rPr>
        <w:t xml:space="preserve">KPMG, geçmişi 1867 yılına dayanan, üye firmalar ağı sistemiyle 143 ülkede 265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yaklaşık 1.800 çalışanıyla her sektörden 4 binin üzerinde firmaya sektörler özelinde hizmet veriyor. 2020 yılında küresel ağın Lighthouse lisansını alarak yeni teknolojilerde dünyadaki mükemmeliyet merkezleri arasına giren KPMG Türkiye, müşterilerine değer yaratan çözümler sunuyor. Detaylı bilgi için </w:t>
      </w:r>
      <w:hyperlink r:id="rId12" w:tgtFrame="_blank" w:history="1">
        <w:r>
          <w:rPr>
            <w:rStyle w:val="normaltextrun"/>
            <w:rFonts w:ascii="Calibri" w:hAnsi="Calibri" w:cs="Calibri"/>
            <w:color w:val="0563C1"/>
            <w:sz w:val="18"/>
            <w:szCs w:val="18"/>
            <w:u w:val="single"/>
          </w:rPr>
          <w:t>www.kpmg.com.tr</w:t>
        </w:r>
      </w:hyperlink>
      <w:r>
        <w:rPr>
          <w:rStyle w:val="normaltextrun"/>
          <w:rFonts w:ascii="Calibri" w:hAnsi="Calibri" w:cs="Calibri"/>
          <w:color w:val="000000"/>
          <w:sz w:val="18"/>
          <w:szCs w:val="18"/>
        </w:rPr>
        <w:t xml:space="preserve"> adresine başvurabilirsiniz.</w:t>
      </w:r>
      <w:r>
        <w:rPr>
          <w:rStyle w:val="normaltextrun"/>
        </w:rPr>
        <w:t> </w:t>
      </w:r>
      <w:r>
        <w:rPr>
          <w:rStyle w:val="eop"/>
        </w:rPr>
        <w:t> </w:t>
      </w:r>
    </w:p>
    <w:p w14:paraId="62516F6D" w14:textId="77777777" w:rsidR="00511A4F" w:rsidRPr="00997F8E" w:rsidRDefault="00511A4F" w:rsidP="00FB099A">
      <w:pPr>
        <w:rPr>
          <w:rFonts w:ascii="Arial" w:hAnsi="Arial" w:cs="Arial"/>
        </w:rPr>
      </w:pPr>
    </w:p>
    <w:p w14:paraId="2699C430" w14:textId="2F228AE0" w:rsidR="00AD1559" w:rsidRPr="00997F8E"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997F8E" w:rsidRDefault="00376CAF" w:rsidP="00FB099A">
      <w:pPr>
        <w:rPr>
          <w:rFonts w:ascii="Arial" w:eastAsia="Times New Roman" w:hAnsi="Arial" w:cs="Arial"/>
          <w:color w:val="000000"/>
        </w:rPr>
      </w:pPr>
    </w:p>
    <w:p w14:paraId="2AB1866D" w14:textId="1B96F09F" w:rsidR="00376CAF" w:rsidRPr="00997F8E" w:rsidRDefault="00376CAF" w:rsidP="00376CAF">
      <w:pPr>
        <w:rPr>
          <w:rFonts w:ascii="Arial" w:hAnsi="Arial" w:cs="Arial"/>
        </w:rPr>
      </w:pPr>
    </w:p>
    <w:sectPr w:rsidR="00376CAF" w:rsidRPr="00997F8E" w:rsidSect="00D322B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995C" w14:textId="77777777" w:rsidR="00EB10F0" w:rsidRDefault="00EB10F0" w:rsidP="00D322B8">
      <w:pPr>
        <w:spacing w:after="0" w:line="240" w:lineRule="auto"/>
      </w:pPr>
      <w:r>
        <w:separator/>
      </w:r>
    </w:p>
  </w:endnote>
  <w:endnote w:type="continuationSeparator" w:id="0">
    <w:p w14:paraId="0F4C65AD" w14:textId="77777777" w:rsidR="00EB10F0" w:rsidRDefault="00EB10F0" w:rsidP="00D322B8">
      <w:pPr>
        <w:spacing w:after="0" w:line="240" w:lineRule="auto"/>
      </w:pPr>
      <w:r>
        <w:continuationSeparator/>
      </w:r>
    </w:p>
  </w:endnote>
  <w:endnote w:type="continuationNotice" w:id="1">
    <w:p w14:paraId="79CC5F0B" w14:textId="77777777" w:rsidR="00EB10F0" w:rsidRDefault="00EB1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F50A" w14:textId="77777777" w:rsidR="00135527" w:rsidRDefault="001355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BE6E" w14:textId="77777777" w:rsidR="00EB10F0" w:rsidRDefault="00EB10F0" w:rsidP="00D322B8">
      <w:pPr>
        <w:spacing w:after="0" w:line="240" w:lineRule="auto"/>
      </w:pPr>
      <w:r>
        <w:separator/>
      </w:r>
    </w:p>
  </w:footnote>
  <w:footnote w:type="continuationSeparator" w:id="0">
    <w:p w14:paraId="2C6D6BD4" w14:textId="77777777" w:rsidR="00EB10F0" w:rsidRDefault="00EB10F0" w:rsidP="00D322B8">
      <w:pPr>
        <w:spacing w:after="0" w:line="240" w:lineRule="auto"/>
      </w:pPr>
      <w:r>
        <w:continuationSeparator/>
      </w:r>
    </w:p>
  </w:footnote>
  <w:footnote w:type="continuationNotice" w:id="1">
    <w:p w14:paraId="18C7ABD8" w14:textId="77777777" w:rsidR="00EB10F0" w:rsidRDefault="00EB1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Resim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749160">
    <w:abstractNumId w:val="0"/>
  </w:num>
  <w:num w:numId="2" w16cid:durableId="1750812806">
    <w:abstractNumId w:val="2"/>
  </w:num>
  <w:num w:numId="3" w16cid:durableId="435830194">
    <w:abstractNumId w:val="1"/>
  </w:num>
  <w:num w:numId="4" w16cid:durableId="288365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9A"/>
    <w:rsid w:val="00000694"/>
    <w:rsid w:val="00000B59"/>
    <w:rsid w:val="00003A13"/>
    <w:rsid w:val="0002393F"/>
    <w:rsid w:val="000255EB"/>
    <w:rsid w:val="00030E0C"/>
    <w:rsid w:val="00037DC0"/>
    <w:rsid w:val="0004713C"/>
    <w:rsid w:val="00057F69"/>
    <w:rsid w:val="00060C93"/>
    <w:rsid w:val="00070A71"/>
    <w:rsid w:val="000823CF"/>
    <w:rsid w:val="000859AF"/>
    <w:rsid w:val="00086CCC"/>
    <w:rsid w:val="00087103"/>
    <w:rsid w:val="00095268"/>
    <w:rsid w:val="000B22C3"/>
    <w:rsid w:val="000C46F9"/>
    <w:rsid w:val="000C5AB6"/>
    <w:rsid w:val="000D38DD"/>
    <w:rsid w:val="000F74C9"/>
    <w:rsid w:val="00135527"/>
    <w:rsid w:val="001379EB"/>
    <w:rsid w:val="001878E6"/>
    <w:rsid w:val="00197D29"/>
    <w:rsid w:val="001A6F9F"/>
    <w:rsid w:val="001A7B6F"/>
    <w:rsid w:val="001B0E50"/>
    <w:rsid w:val="001B535E"/>
    <w:rsid w:val="001D763A"/>
    <w:rsid w:val="001E1645"/>
    <w:rsid w:val="001E5460"/>
    <w:rsid w:val="002054E4"/>
    <w:rsid w:val="00207324"/>
    <w:rsid w:val="002159B8"/>
    <w:rsid w:val="00226B77"/>
    <w:rsid w:val="00235A68"/>
    <w:rsid w:val="00251E53"/>
    <w:rsid w:val="00251F02"/>
    <w:rsid w:val="002520CD"/>
    <w:rsid w:val="0026094B"/>
    <w:rsid w:val="00265ED3"/>
    <w:rsid w:val="00270661"/>
    <w:rsid w:val="002724D1"/>
    <w:rsid w:val="0028718E"/>
    <w:rsid w:val="002A3C14"/>
    <w:rsid w:val="002B3AE7"/>
    <w:rsid w:val="002C69A1"/>
    <w:rsid w:val="002D3A9A"/>
    <w:rsid w:val="002E7933"/>
    <w:rsid w:val="00320E15"/>
    <w:rsid w:val="0032289A"/>
    <w:rsid w:val="00344941"/>
    <w:rsid w:val="003468D7"/>
    <w:rsid w:val="003656F3"/>
    <w:rsid w:val="00370DEB"/>
    <w:rsid w:val="00374533"/>
    <w:rsid w:val="00376CAF"/>
    <w:rsid w:val="00376EE4"/>
    <w:rsid w:val="00381BB1"/>
    <w:rsid w:val="00385096"/>
    <w:rsid w:val="003854ED"/>
    <w:rsid w:val="003A593A"/>
    <w:rsid w:val="003B1C61"/>
    <w:rsid w:val="003C0FFB"/>
    <w:rsid w:val="003C190F"/>
    <w:rsid w:val="003C439A"/>
    <w:rsid w:val="003D4F02"/>
    <w:rsid w:val="003E04BA"/>
    <w:rsid w:val="003E2420"/>
    <w:rsid w:val="004136C3"/>
    <w:rsid w:val="00425686"/>
    <w:rsid w:val="00430650"/>
    <w:rsid w:val="00433B51"/>
    <w:rsid w:val="00445F3E"/>
    <w:rsid w:val="0044605C"/>
    <w:rsid w:val="00497BB9"/>
    <w:rsid w:val="004A399D"/>
    <w:rsid w:val="004D1FE9"/>
    <w:rsid w:val="004D5E3E"/>
    <w:rsid w:val="004F35D2"/>
    <w:rsid w:val="004F4625"/>
    <w:rsid w:val="004F4A67"/>
    <w:rsid w:val="00511A4F"/>
    <w:rsid w:val="005175DD"/>
    <w:rsid w:val="0056796C"/>
    <w:rsid w:val="005955C2"/>
    <w:rsid w:val="005A4CA5"/>
    <w:rsid w:val="005C587C"/>
    <w:rsid w:val="00637C15"/>
    <w:rsid w:val="00651CA9"/>
    <w:rsid w:val="006524A0"/>
    <w:rsid w:val="0065331B"/>
    <w:rsid w:val="006620CF"/>
    <w:rsid w:val="006666F0"/>
    <w:rsid w:val="006844CE"/>
    <w:rsid w:val="006923D1"/>
    <w:rsid w:val="00693178"/>
    <w:rsid w:val="006A7309"/>
    <w:rsid w:val="006C59F5"/>
    <w:rsid w:val="006D40E2"/>
    <w:rsid w:val="006E2959"/>
    <w:rsid w:val="00712EA5"/>
    <w:rsid w:val="0072012D"/>
    <w:rsid w:val="00745D55"/>
    <w:rsid w:val="007534ED"/>
    <w:rsid w:val="007614EB"/>
    <w:rsid w:val="00761AD2"/>
    <w:rsid w:val="007636E3"/>
    <w:rsid w:val="007711BF"/>
    <w:rsid w:val="00791450"/>
    <w:rsid w:val="007D3441"/>
    <w:rsid w:val="00804BEF"/>
    <w:rsid w:val="00812B22"/>
    <w:rsid w:val="00815963"/>
    <w:rsid w:val="00860951"/>
    <w:rsid w:val="00876803"/>
    <w:rsid w:val="008A3556"/>
    <w:rsid w:val="008D091F"/>
    <w:rsid w:val="008F6541"/>
    <w:rsid w:val="00917149"/>
    <w:rsid w:val="00920D18"/>
    <w:rsid w:val="009228B8"/>
    <w:rsid w:val="0093489B"/>
    <w:rsid w:val="00946277"/>
    <w:rsid w:val="00954474"/>
    <w:rsid w:val="0097123D"/>
    <w:rsid w:val="0097526A"/>
    <w:rsid w:val="00997F8E"/>
    <w:rsid w:val="009A4076"/>
    <w:rsid w:val="009B3E1C"/>
    <w:rsid w:val="009C145B"/>
    <w:rsid w:val="009C40DD"/>
    <w:rsid w:val="009D20C9"/>
    <w:rsid w:val="009F352B"/>
    <w:rsid w:val="00A05523"/>
    <w:rsid w:val="00A236E4"/>
    <w:rsid w:val="00A23CC9"/>
    <w:rsid w:val="00A2669F"/>
    <w:rsid w:val="00A33A58"/>
    <w:rsid w:val="00A43AC1"/>
    <w:rsid w:val="00A4756C"/>
    <w:rsid w:val="00A82827"/>
    <w:rsid w:val="00A842EF"/>
    <w:rsid w:val="00A87956"/>
    <w:rsid w:val="00A90A63"/>
    <w:rsid w:val="00A97A31"/>
    <w:rsid w:val="00AC557A"/>
    <w:rsid w:val="00AD1559"/>
    <w:rsid w:val="00AD337D"/>
    <w:rsid w:val="00AD54D6"/>
    <w:rsid w:val="00AD7908"/>
    <w:rsid w:val="00AE0852"/>
    <w:rsid w:val="00AE0C5E"/>
    <w:rsid w:val="00B05134"/>
    <w:rsid w:val="00B07BDF"/>
    <w:rsid w:val="00B1679B"/>
    <w:rsid w:val="00B25D38"/>
    <w:rsid w:val="00BA1F99"/>
    <w:rsid w:val="00BB0308"/>
    <w:rsid w:val="00BF0F13"/>
    <w:rsid w:val="00BF16D4"/>
    <w:rsid w:val="00C00FCE"/>
    <w:rsid w:val="00C02B76"/>
    <w:rsid w:val="00C26165"/>
    <w:rsid w:val="00C33EC5"/>
    <w:rsid w:val="00C36A84"/>
    <w:rsid w:val="00C4496F"/>
    <w:rsid w:val="00C6078E"/>
    <w:rsid w:val="00C61C73"/>
    <w:rsid w:val="00C76ED8"/>
    <w:rsid w:val="00C7784A"/>
    <w:rsid w:val="00C8241D"/>
    <w:rsid w:val="00C97C6C"/>
    <w:rsid w:val="00CA0069"/>
    <w:rsid w:val="00CD7F12"/>
    <w:rsid w:val="00D322B8"/>
    <w:rsid w:val="00D3667E"/>
    <w:rsid w:val="00D36E76"/>
    <w:rsid w:val="00D42939"/>
    <w:rsid w:val="00D45F45"/>
    <w:rsid w:val="00D4786C"/>
    <w:rsid w:val="00D60FFE"/>
    <w:rsid w:val="00D64BF4"/>
    <w:rsid w:val="00D97160"/>
    <w:rsid w:val="00DA6E98"/>
    <w:rsid w:val="00DA7165"/>
    <w:rsid w:val="00DB4AB8"/>
    <w:rsid w:val="00DB6158"/>
    <w:rsid w:val="00DD1909"/>
    <w:rsid w:val="00DE2A18"/>
    <w:rsid w:val="00E0077A"/>
    <w:rsid w:val="00E05755"/>
    <w:rsid w:val="00E1434C"/>
    <w:rsid w:val="00E15299"/>
    <w:rsid w:val="00E2161F"/>
    <w:rsid w:val="00E6627F"/>
    <w:rsid w:val="00E85F70"/>
    <w:rsid w:val="00EB10F0"/>
    <w:rsid w:val="00EB3B3E"/>
    <w:rsid w:val="00EB6C5E"/>
    <w:rsid w:val="00EC33D2"/>
    <w:rsid w:val="00EF1855"/>
    <w:rsid w:val="00EF55A7"/>
    <w:rsid w:val="00F02DC7"/>
    <w:rsid w:val="00F11CE7"/>
    <w:rsid w:val="00F130A7"/>
    <w:rsid w:val="00F24DC1"/>
    <w:rsid w:val="00F3167F"/>
    <w:rsid w:val="00F400F6"/>
    <w:rsid w:val="00F40D4D"/>
    <w:rsid w:val="00F678E2"/>
    <w:rsid w:val="00FA1950"/>
    <w:rsid w:val="00FA7B23"/>
    <w:rsid w:val="00FB099A"/>
    <w:rsid w:val="00FF3807"/>
    <w:rsid w:val="363312C2"/>
    <w:rsid w:val="426E5EA5"/>
    <w:rsid w:val="64669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styleId="zmlenmeyenBahsetme">
    <w:name w:val="Unresolved Mention"/>
    <w:basedOn w:val="VarsaylanParagrafYazTipi"/>
    <w:uiPriority w:val="99"/>
    <w:semiHidden/>
    <w:unhideWhenUsed/>
    <w:rsid w:val="00BA1F99"/>
    <w:rPr>
      <w:color w:val="605E5C"/>
      <w:shd w:val="clear" w:color="auto" w:fill="E1DFDD"/>
    </w:rPr>
  </w:style>
  <w:style w:type="paragraph" w:styleId="NormalWeb">
    <w:name w:val="Normal (Web)"/>
    <w:basedOn w:val="Normal"/>
    <w:uiPriority w:val="99"/>
    <w:semiHidden/>
    <w:unhideWhenUsed/>
    <w:rsid w:val="00376EE4"/>
    <w:pPr>
      <w:spacing w:before="100" w:beforeAutospacing="1" w:after="100" w:afterAutospacing="1" w:line="240" w:lineRule="auto"/>
    </w:pPr>
    <w:rPr>
      <w:rFonts w:ascii="Calibri" w:hAnsi="Calibri" w:cs="Calibri"/>
      <w:lang w:eastAsia="tr-TR"/>
    </w:rPr>
  </w:style>
  <w:style w:type="paragraph" w:customStyle="1" w:styleId="paragraph">
    <w:name w:val="paragraph"/>
    <w:basedOn w:val="Normal"/>
    <w:rsid w:val="00F400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400F6"/>
  </w:style>
  <w:style w:type="character" w:customStyle="1" w:styleId="tabchar">
    <w:name w:val="tabchar"/>
    <w:basedOn w:val="VarsaylanParagrafYazTipi"/>
    <w:rsid w:val="00F400F6"/>
  </w:style>
  <w:style w:type="character" w:customStyle="1" w:styleId="eop">
    <w:name w:val="eop"/>
    <w:basedOn w:val="VarsaylanParagrafYazTipi"/>
    <w:rsid w:val="00F400F6"/>
  </w:style>
  <w:style w:type="character" w:styleId="zlenenKpr">
    <w:name w:val="FollowedHyperlink"/>
    <w:basedOn w:val="VarsaylanParagrafYazTipi"/>
    <w:uiPriority w:val="99"/>
    <w:semiHidden/>
    <w:unhideWhenUsed/>
    <w:rsid w:val="00135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182210584">
      <w:bodyDiv w:val="1"/>
      <w:marLeft w:val="0"/>
      <w:marRight w:val="0"/>
      <w:marTop w:val="0"/>
      <w:marBottom w:val="0"/>
      <w:divBdr>
        <w:top w:val="none" w:sz="0" w:space="0" w:color="auto"/>
        <w:left w:val="none" w:sz="0" w:space="0" w:color="auto"/>
        <w:bottom w:val="none" w:sz="0" w:space="0" w:color="auto"/>
        <w:right w:val="none" w:sz="0" w:space="0" w:color="auto"/>
      </w:divBdr>
    </w:div>
    <w:div w:id="365105162">
      <w:bodyDiv w:val="1"/>
      <w:marLeft w:val="0"/>
      <w:marRight w:val="0"/>
      <w:marTop w:val="0"/>
      <w:marBottom w:val="0"/>
      <w:divBdr>
        <w:top w:val="none" w:sz="0" w:space="0" w:color="auto"/>
        <w:left w:val="none" w:sz="0" w:space="0" w:color="auto"/>
        <w:bottom w:val="none" w:sz="0" w:space="0" w:color="auto"/>
        <w:right w:val="none" w:sz="0" w:space="0" w:color="auto"/>
      </w:divBdr>
    </w:div>
    <w:div w:id="446512573">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535388604">
      <w:bodyDiv w:val="1"/>
      <w:marLeft w:val="0"/>
      <w:marRight w:val="0"/>
      <w:marTop w:val="0"/>
      <w:marBottom w:val="0"/>
      <w:divBdr>
        <w:top w:val="none" w:sz="0" w:space="0" w:color="auto"/>
        <w:left w:val="none" w:sz="0" w:space="0" w:color="auto"/>
        <w:bottom w:val="none" w:sz="0" w:space="0" w:color="auto"/>
        <w:right w:val="none" w:sz="0" w:space="0" w:color="auto"/>
      </w:divBdr>
    </w:div>
    <w:div w:id="590745509">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326200746">
      <w:bodyDiv w:val="1"/>
      <w:marLeft w:val="0"/>
      <w:marRight w:val="0"/>
      <w:marTop w:val="0"/>
      <w:marBottom w:val="0"/>
      <w:divBdr>
        <w:top w:val="none" w:sz="0" w:space="0" w:color="auto"/>
        <w:left w:val="none" w:sz="0" w:space="0" w:color="auto"/>
        <w:bottom w:val="none" w:sz="0" w:space="0" w:color="auto"/>
        <w:right w:val="none" w:sz="0" w:space="0" w:color="auto"/>
      </w:divBdr>
      <w:divsChild>
        <w:div w:id="1037437247">
          <w:marLeft w:val="0"/>
          <w:marRight w:val="0"/>
          <w:marTop w:val="0"/>
          <w:marBottom w:val="0"/>
          <w:divBdr>
            <w:top w:val="none" w:sz="0" w:space="0" w:color="auto"/>
            <w:left w:val="none" w:sz="0" w:space="0" w:color="auto"/>
            <w:bottom w:val="none" w:sz="0" w:space="0" w:color="auto"/>
            <w:right w:val="none" w:sz="0" w:space="0" w:color="auto"/>
          </w:divBdr>
        </w:div>
      </w:divsChild>
    </w:div>
    <w:div w:id="1395200718">
      <w:bodyDiv w:val="1"/>
      <w:marLeft w:val="0"/>
      <w:marRight w:val="0"/>
      <w:marTop w:val="0"/>
      <w:marBottom w:val="0"/>
      <w:divBdr>
        <w:top w:val="none" w:sz="0" w:space="0" w:color="auto"/>
        <w:left w:val="none" w:sz="0" w:space="0" w:color="auto"/>
        <w:bottom w:val="none" w:sz="0" w:space="0" w:color="auto"/>
        <w:right w:val="none" w:sz="0" w:space="0" w:color="auto"/>
      </w:divBdr>
      <w:divsChild>
        <w:div w:id="718020934">
          <w:marLeft w:val="0"/>
          <w:marRight w:val="0"/>
          <w:marTop w:val="0"/>
          <w:marBottom w:val="0"/>
          <w:divBdr>
            <w:top w:val="none" w:sz="0" w:space="0" w:color="auto"/>
            <w:left w:val="none" w:sz="0" w:space="0" w:color="auto"/>
            <w:bottom w:val="none" w:sz="0" w:space="0" w:color="auto"/>
            <w:right w:val="none" w:sz="0" w:space="0" w:color="auto"/>
          </w:divBdr>
        </w:div>
        <w:div w:id="39550717">
          <w:marLeft w:val="0"/>
          <w:marRight w:val="0"/>
          <w:marTop w:val="0"/>
          <w:marBottom w:val="0"/>
          <w:divBdr>
            <w:top w:val="none" w:sz="0" w:space="0" w:color="auto"/>
            <w:left w:val="none" w:sz="0" w:space="0" w:color="auto"/>
            <w:bottom w:val="none" w:sz="0" w:space="0" w:color="auto"/>
            <w:right w:val="none" w:sz="0" w:space="0" w:color="auto"/>
          </w:divBdr>
        </w:div>
        <w:div w:id="1837652900">
          <w:marLeft w:val="0"/>
          <w:marRight w:val="0"/>
          <w:marTop w:val="0"/>
          <w:marBottom w:val="0"/>
          <w:divBdr>
            <w:top w:val="none" w:sz="0" w:space="0" w:color="auto"/>
            <w:left w:val="none" w:sz="0" w:space="0" w:color="auto"/>
            <w:bottom w:val="none" w:sz="0" w:space="0" w:color="auto"/>
            <w:right w:val="none" w:sz="0" w:space="0" w:color="auto"/>
          </w:divBdr>
        </w:div>
        <w:div w:id="1266772388">
          <w:marLeft w:val="0"/>
          <w:marRight w:val="0"/>
          <w:marTop w:val="0"/>
          <w:marBottom w:val="0"/>
          <w:divBdr>
            <w:top w:val="none" w:sz="0" w:space="0" w:color="auto"/>
            <w:left w:val="none" w:sz="0" w:space="0" w:color="auto"/>
            <w:bottom w:val="none" w:sz="0" w:space="0" w:color="auto"/>
            <w:right w:val="none" w:sz="0" w:space="0" w:color="auto"/>
          </w:divBdr>
        </w:div>
        <w:div w:id="1554463859">
          <w:marLeft w:val="0"/>
          <w:marRight w:val="0"/>
          <w:marTop w:val="0"/>
          <w:marBottom w:val="0"/>
          <w:divBdr>
            <w:top w:val="none" w:sz="0" w:space="0" w:color="auto"/>
            <w:left w:val="none" w:sz="0" w:space="0" w:color="auto"/>
            <w:bottom w:val="none" w:sz="0" w:space="0" w:color="auto"/>
            <w:right w:val="none" w:sz="0" w:space="0" w:color="auto"/>
          </w:divBdr>
        </w:div>
        <w:div w:id="720247880">
          <w:marLeft w:val="0"/>
          <w:marRight w:val="0"/>
          <w:marTop w:val="0"/>
          <w:marBottom w:val="0"/>
          <w:divBdr>
            <w:top w:val="none" w:sz="0" w:space="0" w:color="auto"/>
            <w:left w:val="none" w:sz="0" w:space="0" w:color="auto"/>
            <w:bottom w:val="none" w:sz="0" w:space="0" w:color="auto"/>
            <w:right w:val="none" w:sz="0" w:space="0" w:color="auto"/>
          </w:divBdr>
        </w:div>
        <w:div w:id="2091270821">
          <w:marLeft w:val="0"/>
          <w:marRight w:val="0"/>
          <w:marTop w:val="0"/>
          <w:marBottom w:val="0"/>
          <w:divBdr>
            <w:top w:val="none" w:sz="0" w:space="0" w:color="auto"/>
            <w:left w:val="none" w:sz="0" w:space="0" w:color="auto"/>
            <w:bottom w:val="none" w:sz="0" w:space="0" w:color="auto"/>
            <w:right w:val="none" w:sz="0" w:space="0" w:color="auto"/>
          </w:divBdr>
        </w:div>
      </w:divsChild>
    </w:div>
    <w:div w:id="1660503089">
      <w:bodyDiv w:val="1"/>
      <w:marLeft w:val="0"/>
      <w:marRight w:val="0"/>
      <w:marTop w:val="0"/>
      <w:marBottom w:val="0"/>
      <w:divBdr>
        <w:top w:val="none" w:sz="0" w:space="0" w:color="auto"/>
        <w:left w:val="none" w:sz="0" w:space="0" w:color="auto"/>
        <w:bottom w:val="none" w:sz="0" w:space="0" w:color="auto"/>
        <w:right w:val="none" w:sz="0" w:space="0" w:color="auto"/>
      </w:divBdr>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pmg.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pmg.com/tr/tr/home/gorusler/2023/05/enerji-sektorel-baki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4102-6347-4E14-AE3E-A328867965D4}">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a6a5f7e4-2986-46c3-893f-0e0d1047cb81"/>
    <ds:schemaRef ds:uri="http://schemas.microsoft.com/office/infopath/2007/PartnerControls"/>
    <ds:schemaRef ds:uri="http://schemas.openxmlformats.org/package/2006/metadata/core-properties"/>
    <ds:schemaRef ds:uri="b21c6290-8afc-4345-8e2c-d785ab6e0b76"/>
    <ds:schemaRef ds:uri="http://purl.org/dc/dcmitype/"/>
  </ds:schemaRefs>
</ds:datastoreItem>
</file>

<file path=customXml/itemProps2.xml><?xml version="1.0" encoding="utf-8"?>
<ds:datastoreItem xmlns:ds="http://schemas.openxmlformats.org/officeDocument/2006/customXml" ds:itemID="{1B4740DE-2664-485B-B45B-62F406D5B39C}">
  <ds:schemaRefs>
    <ds:schemaRef ds:uri="http://schemas.microsoft.com/sharepoint/v3/contenttype/forms"/>
  </ds:schemaRefs>
</ds:datastoreItem>
</file>

<file path=customXml/itemProps3.xml><?xml version="1.0" encoding="utf-8"?>
<ds:datastoreItem xmlns:ds="http://schemas.openxmlformats.org/officeDocument/2006/customXml" ds:itemID="{CDF7F6EF-79D2-4506-8E32-99C131E8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D4E05-00EA-4451-928A-F9BAFA0D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1496</Words>
  <Characters>8532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KPMG</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2</cp:revision>
  <dcterms:created xsi:type="dcterms:W3CDTF">2023-05-03T13:06:00Z</dcterms:created>
  <dcterms:modified xsi:type="dcterms:W3CDTF">2023-05-03T14:07:00Z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