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A91C" w14:textId="0DD916C2" w:rsidR="00F56254" w:rsidRDefault="009C10AB" w:rsidP="00105A6B">
      <w:pPr>
        <w:spacing w:line="360" w:lineRule="auto"/>
        <w:rPr>
          <w:rFonts w:ascii="Verdana" w:hAnsi="Verdana" w:cstheme="minorHAnsi"/>
          <w:b/>
          <w:sz w:val="32"/>
          <w:szCs w:val="32"/>
          <w:u w:val="single"/>
        </w:rPr>
      </w:pPr>
      <w:r w:rsidRPr="00105A6B">
        <w:rPr>
          <w:rFonts w:ascii="Verdana" w:hAnsi="Verdana" w:cstheme="minorHAnsi"/>
          <w:b/>
          <w:sz w:val="32"/>
          <w:szCs w:val="32"/>
          <w:u w:val="single"/>
        </w:rPr>
        <w:t>BASIN BÜLTENİ</w:t>
      </w:r>
    </w:p>
    <w:p w14:paraId="5C4AD645" w14:textId="77777777" w:rsidR="00105A6B" w:rsidRPr="00105A6B" w:rsidRDefault="00105A6B" w:rsidP="00105A6B">
      <w:pPr>
        <w:spacing w:line="360" w:lineRule="auto"/>
        <w:rPr>
          <w:rFonts w:ascii="Verdana" w:hAnsi="Verdana" w:cstheme="minorHAnsi"/>
          <w:b/>
          <w:sz w:val="32"/>
          <w:szCs w:val="32"/>
          <w:u w:val="single"/>
        </w:rPr>
      </w:pPr>
    </w:p>
    <w:p w14:paraId="614EF479" w14:textId="1B37B5D0" w:rsidR="006D5418" w:rsidRPr="00105A6B" w:rsidRDefault="006D5418" w:rsidP="006D5418">
      <w:pPr>
        <w:spacing w:line="360" w:lineRule="auto"/>
        <w:jc w:val="center"/>
        <w:rPr>
          <w:rFonts w:ascii="Verdana" w:hAnsi="Verdana" w:cstheme="minorHAnsi"/>
          <w:sz w:val="28"/>
          <w:szCs w:val="28"/>
        </w:rPr>
      </w:pPr>
      <w:r w:rsidRPr="00105A6B">
        <w:rPr>
          <w:rFonts w:ascii="Verdana" w:hAnsi="Verdana" w:cstheme="minorHAnsi"/>
          <w:b/>
          <w:bCs/>
          <w:sz w:val="28"/>
          <w:szCs w:val="28"/>
        </w:rPr>
        <w:t>TÜBİSAD, Türkiye’nin Dijital</w:t>
      </w:r>
      <w:r w:rsidR="00FA686A">
        <w:rPr>
          <w:rFonts w:ascii="Verdana" w:hAnsi="Verdana" w:cstheme="minorHAnsi"/>
          <w:b/>
          <w:bCs/>
          <w:sz w:val="28"/>
          <w:szCs w:val="28"/>
        </w:rPr>
        <w:t xml:space="preserve">leşme Karnesini </w:t>
      </w:r>
      <w:r w:rsidR="002B3644">
        <w:rPr>
          <w:rFonts w:ascii="Verdana" w:hAnsi="Verdana" w:cstheme="minorHAnsi"/>
          <w:b/>
          <w:bCs/>
          <w:sz w:val="28"/>
          <w:szCs w:val="28"/>
        </w:rPr>
        <w:t>A</w:t>
      </w:r>
      <w:r w:rsidRPr="00105A6B">
        <w:rPr>
          <w:rFonts w:ascii="Verdana" w:hAnsi="Verdana" w:cstheme="minorHAnsi"/>
          <w:b/>
          <w:bCs/>
          <w:sz w:val="28"/>
          <w:szCs w:val="28"/>
        </w:rPr>
        <w:t>çıkladı</w:t>
      </w:r>
    </w:p>
    <w:p w14:paraId="60B38054" w14:textId="77777777" w:rsidR="006D5418" w:rsidRDefault="006D5418" w:rsidP="002B3644">
      <w:pPr>
        <w:spacing w:line="360" w:lineRule="auto"/>
        <w:rPr>
          <w:rFonts w:ascii="Verdana" w:hAnsi="Verdana" w:cstheme="minorHAnsi"/>
          <w:b/>
          <w:bCs/>
          <w:sz w:val="28"/>
          <w:szCs w:val="28"/>
        </w:rPr>
      </w:pPr>
    </w:p>
    <w:p w14:paraId="015F6B74" w14:textId="292C7944" w:rsidR="009C10AB" w:rsidRPr="00105A6B" w:rsidRDefault="009C10AB" w:rsidP="001C54BA">
      <w:pPr>
        <w:spacing w:line="360" w:lineRule="auto"/>
        <w:jc w:val="center"/>
        <w:rPr>
          <w:rFonts w:ascii="Verdana" w:hAnsi="Verdana" w:cstheme="minorHAnsi"/>
          <w:b/>
          <w:bCs/>
          <w:sz w:val="28"/>
          <w:szCs w:val="28"/>
        </w:rPr>
      </w:pPr>
      <w:r w:rsidRPr="00105A6B">
        <w:rPr>
          <w:rFonts w:ascii="Verdana" w:hAnsi="Verdana" w:cstheme="minorHAnsi"/>
          <w:b/>
          <w:bCs/>
          <w:sz w:val="28"/>
          <w:szCs w:val="28"/>
        </w:rPr>
        <w:t xml:space="preserve">Türkiye’nin </w:t>
      </w:r>
      <w:r w:rsidR="006D5418">
        <w:rPr>
          <w:rFonts w:ascii="Verdana" w:hAnsi="Verdana" w:cstheme="minorHAnsi"/>
          <w:b/>
          <w:bCs/>
          <w:sz w:val="28"/>
          <w:szCs w:val="28"/>
        </w:rPr>
        <w:t>d</w:t>
      </w:r>
      <w:r w:rsidRPr="00105A6B">
        <w:rPr>
          <w:rFonts w:ascii="Verdana" w:hAnsi="Verdana" w:cstheme="minorHAnsi"/>
          <w:b/>
          <w:bCs/>
          <w:sz w:val="28"/>
          <w:szCs w:val="28"/>
        </w:rPr>
        <w:t xml:space="preserve">ijital </w:t>
      </w:r>
      <w:r w:rsidR="006D5418">
        <w:rPr>
          <w:rFonts w:ascii="Verdana" w:hAnsi="Verdana" w:cstheme="minorHAnsi"/>
          <w:b/>
          <w:bCs/>
          <w:sz w:val="28"/>
          <w:szCs w:val="28"/>
        </w:rPr>
        <w:t>d</w:t>
      </w:r>
      <w:r w:rsidRPr="00105A6B">
        <w:rPr>
          <w:rFonts w:ascii="Verdana" w:hAnsi="Verdana" w:cstheme="minorHAnsi"/>
          <w:b/>
          <w:bCs/>
          <w:sz w:val="28"/>
          <w:szCs w:val="28"/>
        </w:rPr>
        <w:t xml:space="preserve">önüşümünde </w:t>
      </w:r>
      <w:r w:rsidR="006D5418">
        <w:rPr>
          <w:rFonts w:ascii="Verdana" w:hAnsi="Verdana" w:cstheme="minorHAnsi"/>
          <w:b/>
          <w:bCs/>
          <w:sz w:val="28"/>
          <w:szCs w:val="28"/>
        </w:rPr>
        <w:t>i</w:t>
      </w:r>
      <w:r w:rsidRPr="00105A6B">
        <w:rPr>
          <w:rFonts w:ascii="Verdana" w:hAnsi="Verdana" w:cstheme="minorHAnsi"/>
          <w:b/>
          <w:bCs/>
          <w:sz w:val="28"/>
          <w:szCs w:val="28"/>
        </w:rPr>
        <w:t xml:space="preserve">vme </w:t>
      </w:r>
      <w:r w:rsidR="006D5418">
        <w:rPr>
          <w:rFonts w:ascii="Verdana" w:hAnsi="Verdana" w:cstheme="minorHAnsi"/>
          <w:b/>
          <w:bCs/>
          <w:sz w:val="28"/>
          <w:szCs w:val="28"/>
        </w:rPr>
        <w:t>a</w:t>
      </w:r>
      <w:r w:rsidRPr="00105A6B">
        <w:rPr>
          <w:rFonts w:ascii="Verdana" w:hAnsi="Verdana" w:cstheme="minorHAnsi"/>
          <w:b/>
          <w:bCs/>
          <w:sz w:val="28"/>
          <w:szCs w:val="28"/>
        </w:rPr>
        <w:t xml:space="preserve">rayışı: Ekosistem </w:t>
      </w:r>
      <w:r w:rsidR="006D5418">
        <w:rPr>
          <w:rFonts w:ascii="Verdana" w:hAnsi="Verdana" w:cstheme="minorHAnsi"/>
          <w:b/>
          <w:bCs/>
          <w:sz w:val="28"/>
          <w:szCs w:val="28"/>
        </w:rPr>
        <w:t>o</w:t>
      </w:r>
      <w:r w:rsidRPr="00105A6B">
        <w:rPr>
          <w:rFonts w:ascii="Verdana" w:hAnsi="Verdana" w:cstheme="minorHAnsi"/>
          <w:b/>
          <w:bCs/>
          <w:sz w:val="28"/>
          <w:szCs w:val="28"/>
        </w:rPr>
        <w:t xml:space="preserve">daklı </w:t>
      </w:r>
      <w:r w:rsidR="006D5418">
        <w:rPr>
          <w:rFonts w:ascii="Verdana" w:hAnsi="Verdana" w:cstheme="minorHAnsi"/>
          <w:b/>
          <w:bCs/>
          <w:sz w:val="28"/>
          <w:szCs w:val="28"/>
        </w:rPr>
        <w:t>a</w:t>
      </w:r>
      <w:r w:rsidRPr="00105A6B">
        <w:rPr>
          <w:rFonts w:ascii="Verdana" w:hAnsi="Verdana" w:cstheme="minorHAnsi"/>
          <w:b/>
          <w:bCs/>
          <w:sz w:val="28"/>
          <w:szCs w:val="28"/>
        </w:rPr>
        <w:t xml:space="preserve">dımlar </w:t>
      </w:r>
      <w:r w:rsidR="006D5418">
        <w:rPr>
          <w:rFonts w:ascii="Verdana" w:hAnsi="Verdana" w:cstheme="minorHAnsi"/>
          <w:b/>
          <w:bCs/>
          <w:sz w:val="28"/>
          <w:szCs w:val="28"/>
        </w:rPr>
        <w:t>k</w:t>
      </w:r>
      <w:r w:rsidRPr="00105A6B">
        <w:rPr>
          <w:rFonts w:ascii="Verdana" w:hAnsi="Verdana" w:cstheme="minorHAnsi"/>
          <w:b/>
          <w:bCs/>
          <w:sz w:val="28"/>
          <w:szCs w:val="28"/>
        </w:rPr>
        <w:t>ritik</w:t>
      </w:r>
    </w:p>
    <w:p w14:paraId="792427EF" w14:textId="77777777" w:rsidR="001C54BA" w:rsidRPr="00105A6B" w:rsidRDefault="001C54BA" w:rsidP="009C10AB">
      <w:pPr>
        <w:spacing w:line="360" w:lineRule="auto"/>
        <w:jc w:val="both"/>
        <w:rPr>
          <w:rFonts w:ascii="Verdana" w:hAnsi="Verdana" w:cstheme="minorHAnsi"/>
          <w:b/>
          <w:bCs/>
          <w:sz w:val="20"/>
          <w:szCs w:val="20"/>
        </w:rPr>
      </w:pPr>
    </w:p>
    <w:p w14:paraId="6CB70776" w14:textId="21B37CFA" w:rsidR="009C10AB" w:rsidRPr="002B3644" w:rsidRDefault="009C10AB" w:rsidP="003F1D80">
      <w:pPr>
        <w:spacing w:line="360" w:lineRule="auto"/>
        <w:jc w:val="center"/>
        <w:rPr>
          <w:rFonts w:ascii="Verdana" w:hAnsi="Verdana" w:cstheme="minorHAnsi"/>
          <w:b/>
          <w:bCs/>
        </w:rPr>
      </w:pPr>
      <w:proofErr w:type="spellStart"/>
      <w:r w:rsidRPr="0067771F">
        <w:rPr>
          <w:rFonts w:ascii="Verdana" w:hAnsi="Verdana" w:cstheme="minorHAnsi"/>
          <w:b/>
          <w:bCs/>
          <w:sz w:val="20"/>
          <w:szCs w:val="20"/>
        </w:rPr>
        <w:t>TÜBİSAD’ın</w:t>
      </w:r>
      <w:proofErr w:type="spellEnd"/>
      <w:r w:rsidRPr="002B3644">
        <w:rPr>
          <w:rFonts w:ascii="Verdana" w:hAnsi="Verdana" w:cstheme="minorHAnsi"/>
          <w:b/>
          <w:bCs/>
        </w:rPr>
        <w:t xml:space="preserve"> Türkiye’nin Dijital Dönüşüm </w:t>
      </w:r>
      <w:r w:rsidR="00FA686A">
        <w:rPr>
          <w:rFonts w:ascii="Verdana" w:hAnsi="Verdana" w:cstheme="minorHAnsi"/>
          <w:b/>
          <w:bCs/>
        </w:rPr>
        <w:t xml:space="preserve">2025 </w:t>
      </w:r>
      <w:r w:rsidRPr="002B3644">
        <w:rPr>
          <w:rFonts w:ascii="Verdana" w:hAnsi="Verdana" w:cstheme="minorHAnsi"/>
          <w:b/>
          <w:bCs/>
        </w:rPr>
        <w:t>Endeksi</w:t>
      </w:r>
      <w:r w:rsidR="00EB3B09">
        <w:rPr>
          <w:rFonts w:ascii="Verdana" w:hAnsi="Verdana" w:cstheme="minorHAnsi"/>
          <w:b/>
          <w:bCs/>
        </w:rPr>
        <w:t>,</w:t>
      </w:r>
      <w:r w:rsidRPr="002B3644">
        <w:rPr>
          <w:rFonts w:ascii="Verdana" w:hAnsi="Verdana" w:cstheme="minorHAnsi"/>
          <w:b/>
          <w:bCs/>
        </w:rPr>
        <w:t xml:space="preserve"> Türkiye’nin dijital teknolojilerin kullanımında güçlü bir kapasiteye sahip olduğunu ancak bu gücün sürdürülebilir ve hızlanan bir dönüşüme </w:t>
      </w:r>
      <w:r w:rsidR="006762C1" w:rsidRPr="002B3644">
        <w:rPr>
          <w:rFonts w:ascii="Verdana" w:hAnsi="Verdana" w:cstheme="minorHAnsi"/>
          <w:b/>
          <w:bCs/>
        </w:rPr>
        <w:t xml:space="preserve">evrilebilmesi </w:t>
      </w:r>
      <w:r w:rsidRPr="002B3644">
        <w:rPr>
          <w:rFonts w:ascii="Verdana" w:hAnsi="Verdana" w:cstheme="minorHAnsi"/>
          <w:b/>
          <w:bCs/>
        </w:rPr>
        <w:t>için ekosistemi güçlendirecek bütüncül adımlara ihtiyaç duyulduğunu ortaya koyuyor.</w:t>
      </w:r>
    </w:p>
    <w:p w14:paraId="41A39C9F" w14:textId="77777777" w:rsidR="00105A6B" w:rsidRPr="00105A6B" w:rsidRDefault="00105A6B" w:rsidP="009C10AB">
      <w:pPr>
        <w:spacing w:line="360" w:lineRule="auto"/>
        <w:jc w:val="both"/>
        <w:rPr>
          <w:rFonts w:ascii="Verdana" w:hAnsi="Verdana" w:cstheme="minorHAnsi"/>
          <w:sz w:val="20"/>
          <w:szCs w:val="20"/>
        </w:rPr>
      </w:pPr>
    </w:p>
    <w:p w14:paraId="6C13FCC8" w14:textId="6ECBA7D3" w:rsidR="009C10AB" w:rsidRPr="00105A6B" w:rsidRDefault="00785AF7" w:rsidP="009C10AB">
      <w:pPr>
        <w:spacing w:line="360" w:lineRule="auto"/>
        <w:jc w:val="both"/>
        <w:rPr>
          <w:rFonts w:ascii="Verdana" w:hAnsi="Verdana" w:cstheme="minorHAnsi"/>
          <w:sz w:val="20"/>
          <w:szCs w:val="20"/>
        </w:rPr>
      </w:pPr>
      <w:r>
        <w:rPr>
          <w:rFonts w:ascii="Verdana" w:hAnsi="Verdana" w:cstheme="minorHAnsi"/>
          <w:sz w:val="20"/>
          <w:szCs w:val="20"/>
        </w:rPr>
        <w:t xml:space="preserve">Bu yılki </w:t>
      </w:r>
      <w:r w:rsidR="009C10AB" w:rsidRPr="00105A6B">
        <w:rPr>
          <w:rFonts w:ascii="Verdana" w:hAnsi="Verdana" w:cstheme="minorHAnsi"/>
          <w:sz w:val="20"/>
          <w:szCs w:val="20"/>
        </w:rPr>
        <w:t xml:space="preserve">Türkiye’nin Dijital Dönüşüm Endeksi, </w:t>
      </w:r>
      <w:r w:rsidR="009C10AB" w:rsidRPr="00105A6B">
        <w:rPr>
          <w:rFonts w:ascii="Verdana" w:hAnsi="Verdana" w:cstheme="minorHAnsi"/>
          <w:b/>
          <w:bCs/>
          <w:sz w:val="20"/>
          <w:szCs w:val="20"/>
        </w:rPr>
        <w:t>5 üzerinden 3,13</w:t>
      </w:r>
      <w:r w:rsidR="009C10AB" w:rsidRPr="00105A6B">
        <w:rPr>
          <w:rFonts w:ascii="Verdana" w:hAnsi="Verdana" w:cstheme="minorHAnsi"/>
          <w:sz w:val="20"/>
          <w:szCs w:val="20"/>
        </w:rPr>
        <w:t xml:space="preserve"> olarak hesaplandı. Endeks, bir önceki yıla kıyasla sınırlı bir artış göstererek yeniden yükseliş eğilimine girerken; mevcut tablo, doğru politika setleri ve ekosistemi güçlendirecek adımlarla daha güçlü bir ivmenin mümkün olduğuna işaret ediyor. Buna karşın endeks değeri, henüz </w:t>
      </w:r>
      <w:r w:rsidR="009C10AB" w:rsidRPr="00105A6B">
        <w:rPr>
          <w:rFonts w:ascii="Verdana" w:hAnsi="Verdana" w:cstheme="minorHAnsi"/>
          <w:b/>
          <w:bCs/>
          <w:sz w:val="20"/>
          <w:szCs w:val="20"/>
        </w:rPr>
        <w:t>2021 yılında ulaşılan seviyeye erişebilmiş değil</w:t>
      </w:r>
      <w:r w:rsidR="009C10AB" w:rsidRPr="00105A6B">
        <w:rPr>
          <w:rFonts w:ascii="Verdana" w:hAnsi="Verdana" w:cstheme="minorHAnsi"/>
          <w:sz w:val="20"/>
          <w:szCs w:val="20"/>
        </w:rPr>
        <w:t xml:space="preserve"> ve bu durum önümüzdeki dönem için önemli bir gelişim alanını ortaya koyuyor.</w:t>
      </w:r>
    </w:p>
    <w:p w14:paraId="21393572" w14:textId="77777777" w:rsidR="00105A6B" w:rsidRDefault="00105A6B" w:rsidP="009C10AB">
      <w:pPr>
        <w:spacing w:line="360" w:lineRule="auto"/>
        <w:jc w:val="both"/>
        <w:rPr>
          <w:rFonts w:ascii="Verdana" w:hAnsi="Verdana" w:cstheme="minorHAnsi"/>
          <w:sz w:val="20"/>
          <w:szCs w:val="20"/>
        </w:rPr>
      </w:pPr>
    </w:p>
    <w:p w14:paraId="55D57652" w14:textId="625A4894" w:rsidR="009C10AB" w:rsidRPr="00105A6B" w:rsidRDefault="009C10AB" w:rsidP="009C10AB">
      <w:pPr>
        <w:spacing w:line="360" w:lineRule="auto"/>
        <w:jc w:val="both"/>
        <w:rPr>
          <w:rFonts w:ascii="Verdana" w:hAnsi="Verdana" w:cstheme="minorHAnsi"/>
          <w:sz w:val="20"/>
          <w:szCs w:val="20"/>
        </w:rPr>
      </w:pPr>
      <w:r w:rsidRPr="00105A6B">
        <w:rPr>
          <w:rFonts w:ascii="Verdana" w:hAnsi="Verdana" w:cstheme="minorHAnsi"/>
          <w:sz w:val="20"/>
          <w:szCs w:val="20"/>
        </w:rPr>
        <w:t xml:space="preserve">Türkiye’nin Dijital Dönüşüm Endeksi, </w:t>
      </w:r>
      <w:r w:rsidR="00FA686A">
        <w:rPr>
          <w:rFonts w:ascii="Verdana" w:hAnsi="Verdana" w:cstheme="minorHAnsi"/>
          <w:b/>
          <w:bCs/>
          <w:sz w:val="20"/>
          <w:szCs w:val="20"/>
        </w:rPr>
        <w:t xml:space="preserve">son beş yılda </w:t>
      </w:r>
      <w:r w:rsidRPr="00105A6B">
        <w:rPr>
          <w:rFonts w:ascii="Verdana" w:hAnsi="Verdana" w:cstheme="minorHAnsi"/>
          <w:b/>
          <w:bCs/>
          <w:sz w:val="20"/>
          <w:szCs w:val="20"/>
        </w:rPr>
        <w:t>sırasıyla 2,90 – 2,99 – 3,19 – 3,09 – 3,09 – 3,13</w:t>
      </w:r>
      <w:r w:rsidRPr="00105A6B">
        <w:rPr>
          <w:rFonts w:ascii="Verdana" w:hAnsi="Verdana" w:cstheme="minorHAnsi"/>
          <w:sz w:val="20"/>
          <w:szCs w:val="20"/>
        </w:rPr>
        <w:t xml:space="preserve"> olarak hesaplandı. 2019–2021 döneminde istikrarlı bir yükseliş gösteren endeks, 2022 yılında gerile</w:t>
      </w:r>
      <w:r w:rsidR="00105A6B">
        <w:rPr>
          <w:rFonts w:ascii="Verdana" w:hAnsi="Verdana" w:cstheme="minorHAnsi"/>
          <w:sz w:val="20"/>
          <w:szCs w:val="20"/>
        </w:rPr>
        <w:t>di</w:t>
      </w:r>
      <w:r w:rsidRPr="00105A6B">
        <w:rPr>
          <w:rFonts w:ascii="Verdana" w:hAnsi="Verdana" w:cstheme="minorHAnsi"/>
          <w:sz w:val="20"/>
          <w:szCs w:val="20"/>
        </w:rPr>
        <w:t>; 2023 yılında yatay seyret</w:t>
      </w:r>
      <w:r w:rsidR="00105A6B">
        <w:rPr>
          <w:rFonts w:ascii="Verdana" w:hAnsi="Verdana" w:cstheme="minorHAnsi"/>
          <w:sz w:val="20"/>
          <w:szCs w:val="20"/>
        </w:rPr>
        <w:t>ti</w:t>
      </w:r>
      <w:r w:rsidRPr="00105A6B">
        <w:rPr>
          <w:rFonts w:ascii="Verdana" w:hAnsi="Verdana" w:cstheme="minorHAnsi"/>
          <w:sz w:val="20"/>
          <w:szCs w:val="20"/>
        </w:rPr>
        <w:t>; 2024 yılında ise sınırlı da olsa yeniden yüksel</w:t>
      </w:r>
      <w:r w:rsidR="00105A6B">
        <w:rPr>
          <w:rFonts w:ascii="Verdana" w:hAnsi="Verdana" w:cstheme="minorHAnsi"/>
          <w:sz w:val="20"/>
          <w:szCs w:val="20"/>
        </w:rPr>
        <w:t>di</w:t>
      </w:r>
      <w:r w:rsidRPr="00105A6B">
        <w:rPr>
          <w:rFonts w:ascii="Verdana" w:hAnsi="Verdana" w:cstheme="minorHAnsi"/>
          <w:sz w:val="20"/>
          <w:szCs w:val="20"/>
        </w:rPr>
        <w:t>.</w:t>
      </w:r>
    </w:p>
    <w:p w14:paraId="77878C52" w14:textId="77777777" w:rsidR="009C10AB" w:rsidRPr="00105A6B" w:rsidRDefault="009C10AB" w:rsidP="009C10AB">
      <w:pPr>
        <w:spacing w:line="360" w:lineRule="auto"/>
        <w:jc w:val="both"/>
        <w:rPr>
          <w:rFonts w:ascii="Verdana" w:hAnsi="Verdana" w:cstheme="minorHAnsi"/>
          <w:sz w:val="20"/>
          <w:szCs w:val="20"/>
        </w:rPr>
      </w:pPr>
    </w:p>
    <w:p w14:paraId="385AEAB1" w14:textId="2EF95297" w:rsidR="009C10AB" w:rsidRPr="00105A6B" w:rsidRDefault="009C10AB" w:rsidP="009C10AB">
      <w:pPr>
        <w:spacing w:line="360" w:lineRule="auto"/>
        <w:jc w:val="both"/>
        <w:rPr>
          <w:rFonts w:ascii="Verdana" w:hAnsi="Verdana" w:cstheme="minorHAnsi"/>
          <w:sz w:val="20"/>
          <w:szCs w:val="20"/>
        </w:rPr>
      </w:pPr>
      <w:r w:rsidRPr="00105A6B">
        <w:rPr>
          <w:rFonts w:ascii="Verdana" w:hAnsi="Verdana" w:cstheme="minorHAnsi"/>
          <w:b/>
          <w:bCs/>
          <w:sz w:val="20"/>
          <w:szCs w:val="20"/>
        </w:rPr>
        <w:t xml:space="preserve">Dijital </w:t>
      </w:r>
      <w:r w:rsidR="00105A6B">
        <w:rPr>
          <w:rFonts w:ascii="Verdana" w:hAnsi="Verdana" w:cstheme="minorHAnsi"/>
          <w:b/>
          <w:bCs/>
          <w:sz w:val="20"/>
          <w:szCs w:val="20"/>
        </w:rPr>
        <w:t>k</w:t>
      </w:r>
      <w:r w:rsidRPr="00105A6B">
        <w:rPr>
          <w:rFonts w:ascii="Verdana" w:hAnsi="Verdana" w:cstheme="minorHAnsi"/>
          <w:b/>
          <w:bCs/>
          <w:sz w:val="20"/>
          <w:szCs w:val="20"/>
        </w:rPr>
        <w:t xml:space="preserve">ullanım </w:t>
      </w:r>
      <w:r w:rsidR="00105A6B">
        <w:rPr>
          <w:rFonts w:ascii="Verdana" w:hAnsi="Verdana" w:cstheme="minorHAnsi"/>
          <w:b/>
          <w:bCs/>
          <w:sz w:val="20"/>
          <w:szCs w:val="20"/>
        </w:rPr>
        <w:t>g</w:t>
      </w:r>
      <w:r w:rsidRPr="00105A6B">
        <w:rPr>
          <w:rFonts w:ascii="Verdana" w:hAnsi="Verdana" w:cstheme="minorHAnsi"/>
          <w:b/>
          <w:bCs/>
          <w:sz w:val="20"/>
          <w:szCs w:val="20"/>
        </w:rPr>
        <w:t xml:space="preserve">üçlü, </w:t>
      </w:r>
      <w:r w:rsidR="00105A6B">
        <w:rPr>
          <w:rFonts w:ascii="Verdana" w:hAnsi="Verdana" w:cstheme="minorHAnsi"/>
          <w:b/>
          <w:bCs/>
          <w:sz w:val="20"/>
          <w:szCs w:val="20"/>
        </w:rPr>
        <w:t>k</w:t>
      </w:r>
      <w:r w:rsidRPr="00105A6B">
        <w:rPr>
          <w:rFonts w:ascii="Verdana" w:hAnsi="Verdana" w:cstheme="minorHAnsi"/>
          <w:b/>
          <w:bCs/>
          <w:sz w:val="20"/>
          <w:szCs w:val="20"/>
        </w:rPr>
        <w:t xml:space="preserve">atma </w:t>
      </w:r>
      <w:r w:rsidR="00105A6B">
        <w:rPr>
          <w:rFonts w:ascii="Verdana" w:hAnsi="Verdana" w:cstheme="minorHAnsi"/>
          <w:b/>
          <w:bCs/>
          <w:sz w:val="20"/>
          <w:szCs w:val="20"/>
        </w:rPr>
        <w:t>d</w:t>
      </w:r>
      <w:r w:rsidRPr="00105A6B">
        <w:rPr>
          <w:rFonts w:ascii="Verdana" w:hAnsi="Verdana" w:cstheme="minorHAnsi"/>
          <w:b/>
          <w:bCs/>
          <w:sz w:val="20"/>
          <w:szCs w:val="20"/>
        </w:rPr>
        <w:t xml:space="preserve">eğer </w:t>
      </w:r>
      <w:r w:rsidR="00105A6B">
        <w:rPr>
          <w:rFonts w:ascii="Verdana" w:hAnsi="Verdana" w:cstheme="minorHAnsi"/>
          <w:b/>
          <w:bCs/>
          <w:sz w:val="20"/>
          <w:szCs w:val="20"/>
        </w:rPr>
        <w:t>i</w:t>
      </w:r>
      <w:r w:rsidRPr="00105A6B">
        <w:rPr>
          <w:rFonts w:ascii="Verdana" w:hAnsi="Verdana" w:cstheme="minorHAnsi"/>
          <w:b/>
          <w:bCs/>
          <w:sz w:val="20"/>
          <w:szCs w:val="20"/>
        </w:rPr>
        <w:t xml:space="preserve">çin </w:t>
      </w:r>
      <w:r w:rsidR="00105A6B">
        <w:rPr>
          <w:rFonts w:ascii="Verdana" w:hAnsi="Verdana" w:cstheme="minorHAnsi"/>
          <w:b/>
          <w:bCs/>
          <w:sz w:val="20"/>
          <w:szCs w:val="20"/>
        </w:rPr>
        <w:t>e</w:t>
      </w:r>
      <w:r w:rsidRPr="00105A6B">
        <w:rPr>
          <w:rFonts w:ascii="Verdana" w:hAnsi="Verdana" w:cstheme="minorHAnsi"/>
          <w:b/>
          <w:bCs/>
          <w:sz w:val="20"/>
          <w:szCs w:val="20"/>
        </w:rPr>
        <w:t xml:space="preserve">kosistem </w:t>
      </w:r>
      <w:r w:rsidR="00105A6B">
        <w:rPr>
          <w:rFonts w:ascii="Verdana" w:hAnsi="Verdana" w:cstheme="minorHAnsi"/>
          <w:b/>
          <w:bCs/>
          <w:sz w:val="20"/>
          <w:szCs w:val="20"/>
        </w:rPr>
        <w:t>b</w:t>
      </w:r>
      <w:r w:rsidRPr="00105A6B">
        <w:rPr>
          <w:rFonts w:ascii="Verdana" w:hAnsi="Verdana" w:cstheme="minorHAnsi"/>
          <w:b/>
          <w:bCs/>
          <w:sz w:val="20"/>
          <w:szCs w:val="20"/>
        </w:rPr>
        <w:t>elirleyici</w:t>
      </w:r>
    </w:p>
    <w:p w14:paraId="12EA5674" w14:textId="4E770E40" w:rsidR="009C10AB" w:rsidRDefault="009C10AB" w:rsidP="009C10AB">
      <w:pPr>
        <w:spacing w:line="360" w:lineRule="auto"/>
        <w:jc w:val="both"/>
        <w:rPr>
          <w:rFonts w:ascii="Verdana" w:hAnsi="Verdana" w:cstheme="minorHAnsi"/>
          <w:sz w:val="20"/>
          <w:szCs w:val="20"/>
        </w:rPr>
      </w:pPr>
      <w:r w:rsidRPr="00105A6B">
        <w:rPr>
          <w:rFonts w:ascii="Verdana" w:hAnsi="Verdana" w:cstheme="minorHAnsi"/>
          <w:sz w:val="20"/>
          <w:szCs w:val="20"/>
        </w:rPr>
        <w:t xml:space="preserve">Uluslararası karşılaştırılabilir veriler ile kamu, özel sektör ve akademiden yöneticilerin niteliksel değerlendirmelerine dayanan endeks; </w:t>
      </w:r>
      <w:r w:rsidRPr="00105A6B">
        <w:rPr>
          <w:rFonts w:ascii="Verdana" w:hAnsi="Verdana" w:cstheme="minorHAnsi"/>
          <w:b/>
          <w:bCs/>
          <w:sz w:val="20"/>
          <w:szCs w:val="20"/>
        </w:rPr>
        <w:t>Ekosistem, Yeterlilik, Kullanım ve Dönüşüm</w:t>
      </w:r>
      <w:r w:rsidRPr="00105A6B">
        <w:rPr>
          <w:rFonts w:ascii="Verdana" w:hAnsi="Verdana" w:cstheme="minorHAnsi"/>
          <w:sz w:val="20"/>
          <w:szCs w:val="20"/>
        </w:rPr>
        <w:t xml:space="preserve"> olmak üzere dört ana bileşen altında, toplam </w:t>
      </w:r>
      <w:r w:rsidRPr="00105A6B">
        <w:rPr>
          <w:rFonts w:ascii="Verdana" w:hAnsi="Verdana" w:cstheme="minorHAnsi"/>
          <w:b/>
          <w:bCs/>
          <w:sz w:val="20"/>
          <w:szCs w:val="20"/>
        </w:rPr>
        <w:t>61 gösterge</w:t>
      </w:r>
      <w:r w:rsidRPr="00105A6B">
        <w:rPr>
          <w:rFonts w:ascii="Verdana" w:hAnsi="Verdana" w:cstheme="minorHAnsi"/>
          <w:sz w:val="20"/>
          <w:szCs w:val="20"/>
        </w:rPr>
        <w:t xml:space="preserve"> üzerinden Türkiye’nin dijitalleşme performansını ölçüyor. </w:t>
      </w:r>
    </w:p>
    <w:p w14:paraId="486A9B9F" w14:textId="77777777" w:rsidR="00105A6B" w:rsidRPr="00105A6B" w:rsidRDefault="00105A6B" w:rsidP="009C10AB">
      <w:pPr>
        <w:spacing w:line="360" w:lineRule="auto"/>
        <w:jc w:val="both"/>
        <w:rPr>
          <w:rFonts w:ascii="Verdana" w:hAnsi="Verdana" w:cstheme="minorHAnsi"/>
          <w:sz w:val="20"/>
          <w:szCs w:val="20"/>
        </w:rPr>
      </w:pPr>
    </w:p>
    <w:p w14:paraId="430364ED" w14:textId="6739940C" w:rsidR="009C10AB" w:rsidRDefault="00FA686A" w:rsidP="009C10AB">
      <w:pPr>
        <w:spacing w:line="360" w:lineRule="auto"/>
        <w:jc w:val="both"/>
        <w:rPr>
          <w:rFonts w:ascii="Verdana" w:hAnsi="Verdana" w:cstheme="minorHAnsi"/>
          <w:sz w:val="20"/>
          <w:szCs w:val="20"/>
        </w:rPr>
      </w:pPr>
      <w:r>
        <w:rPr>
          <w:rFonts w:ascii="Verdana" w:hAnsi="Verdana" w:cstheme="minorHAnsi"/>
          <w:sz w:val="20"/>
          <w:szCs w:val="20"/>
        </w:rPr>
        <w:t xml:space="preserve">Endeksin </w:t>
      </w:r>
      <w:r w:rsidR="009C10AB" w:rsidRPr="00105A6B">
        <w:rPr>
          <w:rFonts w:ascii="Verdana" w:hAnsi="Verdana" w:cstheme="minorHAnsi"/>
          <w:sz w:val="20"/>
          <w:szCs w:val="20"/>
        </w:rPr>
        <w:t>alt göstergelerin</w:t>
      </w:r>
      <w:r>
        <w:rPr>
          <w:rFonts w:ascii="Verdana" w:hAnsi="Verdana" w:cstheme="minorHAnsi"/>
          <w:sz w:val="20"/>
          <w:szCs w:val="20"/>
        </w:rPr>
        <w:t>in</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30’unda iyileşme</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8’inde değişim olmaması</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23’ünde ise gerileme</w:t>
      </w:r>
      <w:r w:rsidR="009C10AB" w:rsidRPr="00105A6B">
        <w:rPr>
          <w:rFonts w:ascii="Verdana" w:hAnsi="Verdana" w:cstheme="minorHAnsi"/>
          <w:sz w:val="20"/>
          <w:szCs w:val="20"/>
        </w:rPr>
        <w:t xml:space="preserve"> gözlemlendi. </w:t>
      </w:r>
      <w:r w:rsidR="009C10AB" w:rsidRPr="00105A6B">
        <w:rPr>
          <w:rFonts w:ascii="Verdana" w:hAnsi="Verdana" w:cstheme="minorHAnsi"/>
          <w:b/>
          <w:bCs/>
          <w:sz w:val="20"/>
          <w:szCs w:val="20"/>
        </w:rPr>
        <w:t>Kullanım bileşeni</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3,34’lük endeks değeriyle</w:t>
      </w:r>
      <w:r w:rsidR="009C10AB" w:rsidRPr="00105A6B">
        <w:rPr>
          <w:rFonts w:ascii="Verdana" w:hAnsi="Verdana" w:cstheme="minorHAnsi"/>
          <w:sz w:val="20"/>
          <w:szCs w:val="20"/>
        </w:rPr>
        <w:t xml:space="preserve"> Türkiye’nin en </w:t>
      </w:r>
      <w:r w:rsidR="009C10AB" w:rsidRPr="00105A6B">
        <w:rPr>
          <w:rFonts w:ascii="Verdana" w:hAnsi="Verdana" w:cstheme="minorHAnsi"/>
          <w:sz w:val="20"/>
          <w:szCs w:val="20"/>
        </w:rPr>
        <w:lastRenderedPageBreak/>
        <w:t xml:space="preserve">güçlü olduğu alan olmaya devam ederken; </w:t>
      </w:r>
      <w:r w:rsidR="009C10AB" w:rsidRPr="00105A6B">
        <w:rPr>
          <w:rFonts w:ascii="Verdana" w:hAnsi="Verdana" w:cstheme="minorHAnsi"/>
          <w:b/>
          <w:bCs/>
          <w:sz w:val="20"/>
          <w:szCs w:val="20"/>
        </w:rPr>
        <w:t>Ekosistem bileşeni 2,68</w:t>
      </w:r>
      <w:r w:rsidR="009C10AB" w:rsidRPr="00105A6B">
        <w:rPr>
          <w:rFonts w:ascii="Verdana" w:hAnsi="Verdana" w:cstheme="minorHAnsi"/>
          <w:sz w:val="20"/>
          <w:szCs w:val="20"/>
        </w:rPr>
        <w:t xml:space="preserve"> ile endek</w:t>
      </w:r>
      <w:r w:rsidR="002B3644">
        <w:rPr>
          <w:rFonts w:ascii="Verdana" w:hAnsi="Verdana" w:cstheme="minorHAnsi"/>
          <w:sz w:val="20"/>
          <w:szCs w:val="20"/>
        </w:rPr>
        <w:t>s</w:t>
      </w:r>
      <w:r w:rsidR="00797EFD">
        <w:rPr>
          <w:rFonts w:ascii="Verdana" w:hAnsi="Verdana" w:cstheme="minorHAnsi"/>
          <w:sz w:val="20"/>
          <w:szCs w:val="20"/>
        </w:rPr>
        <w:t xml:space="preserve"> değeriyle en zayıf alan </w:t>
      </w:r>
      <w:r w:rsidR="009C10AB" w:rsidRPr="00105A6B">
        <w:rPr>
          <w:rFonts w:ascii="Verdana" w:hAnsi="Verdana" w:cstheme="minorHAnsi"/>
          <w:sz w:val="20"/>
          <w:szCs w:val="20"/>
        </w:rPr>
        <w:t>olarak öne çıkıyor.</w:t>
      </w:r>
    </w:p>
    <w:p w14:paraId="1BBAEEFA" w14:textId="77777777" w:rsidR="00105A6B" w:rsidRPr="00105A6B" w:rsidRDefault="00105A6B" w:rsidP="009C10AB">
      <w:pPr>
        <w:spacing w:line="360" w:lineRule="auto"/>
        <w:jc w:val="both"/>
        <w:rPr>
          <w:rFonts w:ascii="Verdana" w:hAnsi="Verdana" w:cstheme="minorHAnsi"/>
          <w:sz w:val="20"/>
          <w:szCs w:val="20"/>
        </w:rPr>
      </w:pPr>
    </w:p>
    <w:p w14:paraId="7443A831" w14:textId="26F1767D" w:rsidR="009C10AB" w:rsidRPr="002B3644" w:rsidRDefault="009C10AB" w:rsidP="009C10AB">
      <w:pPr>
        <w:spacing w:line="360" w:lineRule="auto"/>
        <w:jc w:val="both"/>
        <w:rPr>
          <w:rFonts w:ascii="Verdana" w:hAnsi="Verdana" w:cstheme="minorHAnsi"/>
          <w:sz w:val="20"/>
          <w:szCs w:val="20"/>
        </w:rPr>
      </w:pPr>
      <w:r w:rsidRPr="002B3644">
        <w:rPr>
          <w:rFonts w:ascii="Verdana" w:hAnsi="Verdana" w:cstheme="minorHAnsi"/>
          <w:sz w:val="20"/>
          <w:szCs w:val="20"/>
        </w:rPr>
        <w:t>Bu tablo, Türkiye’nin dijital teknolojileri bireysel, ticari ve kamusal alanlarda etkin biçimde kullandığını ancak bu kullanımın teknoloji üretimine, katma değere ve ihracata yeterince dönüşemediğini gösteriyor.</w:t>
      </w:r>
    </w:p>
    <w:p w14:paraId="22479310" w14:textId="77777777" w:rsidR="009C10AB" w:rsidRPr="00105A6B" w:rsidRDefault="009C10AB" w:rsidP="009C10AB">
      <w:pPr>
        <w:spacing w:line="360" w:lineRule="auto"/>
        <w:jc w:val="both"/>
        <w:rPr>
          <w:rFonts w:ascii="Verdana" w:hAnsi="Verdana" w:cstheme="minorHAnsi"/>
          <w:sz w:val="20"/>
          <w:szCs w:val="20"/>
        </w:rPr>
      </w:pPr>
    </w:p>
    <w:p w14:paraId="0BA7AC87" w14:textId="74107FD9" w:rsidR="009C10AB" w:rsidRPr="00105A6B" w:rsidRDefault="009C10AB" w:rsidP="009C10AB">
      <w:pPr>
        <w:spacing w:line="360" w:lineRule="auto"/>
        <w:jc w:val="both"/>
        <w:rPr>
          <w:rFonts w:ascii="Verdana" w:hAnsi="Verdana" w:cstheme="minorHAnsi"/>
          <w:sz w:val="20"/>
          <w:szCs w:val="20"/>
        </w:rPr>
      </w:pPr>
      <w:r w:rsidRPr="00105A6B">
        <w:rPr>
          <w:rFonts w:ascii="Verdana" w:hAnsi="Verdana" w:cstheme="minorHAnsi"/>
          <w:b/>
          <w:bCs/>
          <w:sz w:val="20"/>
          <w:szCs w:val="20"/>
        </w:rPr>
        <w:t xml:space="preserve">Ekosistem, </w:t>
      </w:r>
      <w:r w:rsidR="00105A6B">
        <w:rPr>
          <w:rFonts w:ascii="Verdana" w:hAnsi="Verdana" w:cstheme="minorHAnsi"/>
          <w:b/>
          <w:bCs/>
          <w:sz w:val="20"/>
          <w:szCs w:val="20"/>
        </w:rPr>
        <w:t>d</w:t>
      </w:r>
      <w:r w:rsidRPr="00105A6B">
        <w:rPr>
          <w:rFonts w:ascii="Verdana" w:hAnsi="Verdana" w:cstheme="minorHAnsi"/>
          <w:b/>
          <w:bCs/>
          <w:sz w:val="20"/>
          <w:szCs w:val="20"/>
        </w:rPr>
        <w:t xml:space="preserve">ijital </w:t>
      </w:r>
      <w:r w:rsidR="00105A6B">
        <w:rPr>
          <w:rFonts w:ascii="Verdana" w:hAnsi="Verdana" w:cstheme="minorHAnsi"/>
          <w:b/>
          <w:bCs/>
          <w:sz w:val="20"/>
          <w:szCs w:val="20"/>
        </w:rPr>
        <w:t>d</w:t>
      </w:r>
      <w:r w:rsidRPr="00105A6B">
        <w:rPr>
          <w:rFonts w:ascii="Verdana" w:hAnsi="Verdana" w:cstheme="minorHAnsi"/>
          <w:b/>
          <w:bCs/>
          <w:sz w:val="20"/>
          <w:szCs w:val="20"/>
        </w:rPr>
        <w:t xml:space="preserve">önüşümün </w:t>
      </w:r>
      <w:r w:rsidR="00105A6B">
        <w:rPr>
          <w:rFonts w:ascii="Verdana" w:hAnsi="Verdana" w:cstheme="minorHAnsi"/>
          <w:b/>
          <w:bCs/>
          <w:sz w:val="20"/>
          <w:szCs w:val="20"/>
        </w:rPr>
        <w:t>h</w:t>
      </w:r>
      <w:r w:rsidRPr="00105A6B">
        <w:rPr>
          <w:rFonts w:ascii="Verdana" w:hAnsi="Verdana" w:cstheme="minorHAnsi"/>
          <w:b/>
          <w:bCs/>
          <w:sz w:val="20"/>
          <w:szCs w:val="20"/>
        </w:rPr>
        <w:t xml:space="preserve">ızını </w:t>
      </w:r>
      <w:r w:rsidR="00105A6B">
        <w:rPr>
          <w:rFonts w:ascii="Verdana" w:hAnsi="Verdana" w:cstheme="minorHAnsi"/>
          <w:b/>
          <w:bCs/>
          <w:sz w:val="20"/>
          <w:szCs w:val="20"/>
        </w:rPr>
        <w:t>b</w:t>
      </w:r>
      <w:r w:rsidRPr="00105A6B">
        <w:rPr>
          <w:rFonts w:ascii="Verdana" w:hAnsi="Verdana" w:cstheme="minorHAnsi"/>
          <w:b/>
          <w:bCs/>
          <w:sz w:val="20"/>
          <w:szCs w:val="20"/>
        </w:rPr>
        <w:t>elirliyor</w:t>
      </w:r>
    </w:p>
    <w:p w14:paraId="7641732F" w14:textId="380596E0" w:rsidR="00FA686A" w:rsidRDefault="009F5A09" w:rsidP="009C10AB">
      <w:pPr>
        <w:spacing w:line="360" w:lineRule="auto"/>
        <w:jc w:val="both"/>
        <w:rPr>
          <w:rFonts w:ascii="Verdana" w:hAnsi="Verdana" w:cstheme="minorHAnsi"/>
          <w:b/>
          <w:bCs/>
          <w:sz w:val="20"/>
          <w:szCs w:val="20"/>
        </w:rPr>
      </w:pPr>
      <w:r w:rsidRPr="00105A6B">
        <w:rPr>
          <w:rFonts w:ascii="Verdana" w:hAnsi="Verdana" w:cstheme="minorHAnsi"/>
          <w:sz w:val="20"/>
          <w:szCs w:val="20"/>
        </w:rPr>
        <w:t xml:space="preserve">Çalışmaya </w:t>
      </w:r>
      <w:r w:rsidR="009C10AB" w:rsidRPr="00105A6B">
        <w:rPr>
          <w:rFonts w:ascii="Verdana" w:hAnsi="Verdana" w:cstheme="minorHAnsi"/>
          <w:sz w:val="20"/>
          <w:szCs w:val="20"/>
        </w:rPr>
        <w:t xml:space="preserve">göre </w:t>
      </w:r>
      <w:r w:rsidR="009C10AB" w:rsidRPr="002B3644">
        <w:rPr>
          <w:rFonts w:ascii="Verdana" w:hAnsi="Verdana" w:cstheme="minorHAnsi"/>
          <w:sz w:val="20"/>
          <w:szCs w:val="20"/>
        </w:rPr>
        <w:t>Türkiye’nin dijital dönüşüm performansını sınırlayan temel unsur, uzun yıllardır değişmeyen şekilde ekosistem bileşeni olmaya devam ediyor. Yenilik ve yatırım ortamı, üniversite-sanayi iş birlikleri, nitelikli insan kaynağı, hukuki öngörülebilirlik ve finansmana erişim gibi başlıklar, dijital dönüşümün sürdürülebilirliği açısından kritik rol oynuyor.</w:t>
      </w:r>
      <w:r w:rsidR="00105A6B" w:rsidRPr="002B3644">
        <w:rPr>
          <w:rFonts w:ascii="Verdana" w:hAnsi="Verdana" w:cstheme="minorHAnsi"/>
          <w:b/>
          <w:bCs/>
          <w:sz w:val="20"/>
          <w:szCs w:val="20"/>
        </w:rPr>
        <w:t xml:space="preserve"> </w:t>
      </w:r>
    </w:p>
    <w:p w14:paraId="05855556" w14:textId="77777777" w:rsidR="009D32D5" w:rsidRPr="002B3644" w:rsidRDefault="009D32D5" w:rsidP="009C10AB">
      <w:pPr>
        <w:spacing w:line="360" w:lineRule="auto"/>
        <w:jc w:val="both"/>
        <w:rPr>
          <w:rFonts w:ascii="Verdana" w:hAnsi="Verdana" w:cstheme="minorHAnsi"/>
          <w:b/>
          <w:bCs/>
          <w:sz w:val="20"/>
          <w:szCs w:val="20"/>
        </w:rPr>
      </w:pPr>
    </w:p>
    <w:p w14:paraId="2082C5AB" w14:textId="4346B3D2" w:rsidR="009C10AB" w:rsidRPr="00105A6B" w:rsidRDefault="00FA686A" w:rsidP="009C10AB">
      <w:pPr>
        <w:spacing w:line="360" w:lineRule="auto"/>
        <w:jc w:val="both"/>
        <w:rPr>
          <w:rFonts w:ascii="Verdana" w:hAnsi="Verdana" w:cstheme="minorHAnsi"/>
          <w:sz w:val="20"/>
          <w:szCs w:val="20"/>
        </w:rPr>
      </w:pPr>
      <w:r>
        <w:rPr>
          <w:rFonts w:ascii="Verdana" w:hAnsi="Verdana" w:cstheme="minorHAnsi"/>
          <w:sz w:val="20"/>
          <w:szCs w:val="20"/>
        </w:rPr>
        <w:t xml:space="preserve">Son </w:t>
      </w:r>
      <w:r w:rsidR="002B3644">
        <w:rPr>
          <w:rFonts w:ascii="Verdana" w:hAnsi="Verdana" w:cstheme="minorHAnsi"/>
          <w:sz w:val="20"/>
          <w:szCs w:val="20"/>
        </w:rPr>
        <w:t>beş</w:t>
      </w:r>
      <w:r>
        <w:rPr>
          <w:rFonts w:ascii="Verdana" w:hAnsi="Verdana" w:cstheme="minorHAnsi"/>
          <w:sz w:val="20"/>
          <w:szCs w:val="20"/>
        </w:rPr>
        <w:t xml:space="preserve"> yıllık endekse bakıldığında, </w:t>
      </w:r>
      <w:r w:rsidR="009C10AB" w:rsidRPr="00105A6B">
        <w:rPr>
          <w:rFonts w:ascii="Verdana" w:hAnsi="Verdana" w:cstheme="minorHAnsi"/>
          <w:sz w:val="20"/>
          <w:szCs w:val="20"/>
        </w:rPr>
        <w:t>ekosistem bileşeni, pandeminin etkisiyle kısa süreli bir yükseliş gösterse de son üç yılda yeniden gerileyerek Türkiye’nin genel dijital dönüşüm performansını aşağı çeken ana alan haline geldi.</w:t>
      </w:r>
    </w:p>
    <w:p w14:paraId="7EC58AA1" w14:textId="77777777" w:rsidR="009C10AB" w:rsidRPr="00105A6B" w:rsidRDefault="009C10AB" w:rsidP="009C10AB">
      <w:pPr>
        <w:spacing w:line="360" w:lineRule="auto"/>
        <w:jc w:val="both"/>
        <w:rPr>
          <w:rFonts w:ascii="Verdana" w:hAnsi="Verdana" w:cstheme="minorHAnsi"/>
          <w:sz w:val="20"/>
          <w:szCs w:val="20"/>
        </w:rPr>
      </w:pPr>
    </w:p>
    <w:p w14:paraId="3C1EA3D4" w14:textId="77777777" w:rsidR="00B92613" w:rsidRPr="00105A6B" w:rsidRDefault="00B92613" w:rsidP="00B92613">
      <w:pPr>
        <w:spacing w:line="360" w:lineRule="auto"/>
        <w:jc w:val="both"/>
        <w:rPr>
          <w:rFonts w:ascii="Verdana" w:hAnsi="Verdana" w:cstheme="minorHAnsi"/>
          <w:sz w:val="20"/>
          <w:szCs w:val="20"/>
        </w:rPr>
      </w:pPr>
      <w:r w:rsidRPr="00105A6B">
        <w:rPr>
          <w:rFonts w:ascii="Verdana" w:hAnsi="Verdana" w:cstheme="minorHAnsi"/>
          <w:b/>
          <w:bCs/>
          <w:sz w:val="20"/>
          <w:szCs w:val="20"/>
        </w:rPr>
        <w:t xml:space="preserve">Dijital </w:t>
      </w:r>
      <w:r>
        <w:rPr>
          <w:rFonts w:ascii="Verdana" w:hAnsi="Verdana" w:cstheme="minorHAnsi"/>
          <w:b/>
          <w:bCs/>
          <w:sz w:val="20"/>
          <w:szCs w:val="20"/>
        </w:rPr>
        <w:t>d</w:t>
      </w:r>
      <w:r w:rsidRPr="00105A6B">
        <w:rPr>
          <w:rFonts w:ascii="Verdana" w:hAnsi="Verdana" w:cstheme="minorHAnsi"/>
          <w:b/>
          <w:bCs/>
          <w:sz w:val="20"/>
          <w:szCs w:val="20"/>
        </w:rPr>
        <w:t xml:space="preserve">önüşüm </w:t>
      </w:r>
      <w:r>
        <w:rPr>
          <w:rFonts w:ascii="Verdana" w:hAnsi="Verdana" w:cstheme="minorHAnsi"/>
          <w:b/>
          <w:bCs/>
          <w:sz w:val="20"/>
          <w:szCs w:val="20"/>
        </w:rPr>
        <w:t>o</w:t>
      </w:r>
      <w:r w:rsidRPr="00105A6B">
        <w:rPr>
          <w:rFonts w:ascii="Verdana" w:hAnsi="Verdana" w:cstheme="minorHAnsi"/>
          <w:b/>
          <w:bCs/>
          <w:sz w:val="20"/>
          <w:szCs w:val="20"/>
        </w:rPr>
        <w:t xml:space="preserve">rtak </w:t>
      </w:r>
      <w:r>
        <w:rPr>
          <w:rFonts w:ascii="Verdana" w:hAnsi="Verdana" w:cstheme="minorHAnsi"/>
          <w:b/>
          <w:bCs/>
          <w:sz w:val="20"/>
          <w:szCs w:val="20"/>
        </w:rPr>
        <w:t>b</w:t>
      </w:r>
      <w:r w:rsidRPr="00105A6B">
        <w:rPr>
          <w:rFonts w:ascii="Verdana" w:hAnsi="Verdana" w:cstheme="minorHAnsi"/>
          <w:b/>
          <w:bCs/>
          <w:sz w:val="20"/>
          <w:szCs w:val="20"/>
        </w:rPr>
        <w:t xml:space="preserve">ir </w:t>
      </w:r>
      <w:r>
        <w:rPr>
          <w:rFonts w:ascii="Verdana" w:hAnsi="Verdana" w:cstheme="minorHAnsi"/>
          <w:b/>
          <w:bCs/>
          <w:sz w:val="20"/>
          <w:szCs w:val="20"/>
        </w:rPr>
        <w:t>y</w:t>
      </w:r>
      <w:r w:rsidRPr="00105A6B">
        <w:rPr>
          <w:rFonts w:ascii="Verdana" w:hAnsi="Verdana" w:cstheme="minorHAnsi"/>
          <w:b/>
          <w:bCs/>
          <w:sz w:val="20"/>
          <w:szCs w:val="20"/>
        </w:rPr>
        <w:t>olculuk</w:t>
      </w:r>
    </w:p>
    <w:p w14:paraId="11710618" w14:textId="465B3B4E" w:rsidR="009C10AB" w:rsidRPr="00105A6B" w:rsidRDefault="008B06A9" w:rsidP="009C10AB">
      <w:pPr>
        <w:spacing w:line="360" w:lineRule="auto"/>
        <w:jc w:val="both"/>
        <w:rPr>
          <w:rFonts w:ascii="Verdana" w:hAnsi="Verdana" w:cstheme="minorHAnsi"/>
          <w:sz w:val="20"/>
          <w:szCs w:val="20"/>
        </w:rPr>
      </w:pPr>
      <w:r w:rsidRPr="00105A6B">
        <w:rPr>
          <w:rFonts w:ascii="Verdana" w:hAnsi="Verdana" w:cstheme="minorHAnsi"/>
          <w:sz w:val="20"/>
          <w:szCs w:val="20"/>
        </w:rPr>
        <w:t>Çalışma</w:t>
      </w:r>
      <w:r w:rsidR="009C10AB" w:rsidRPr="00105A6B">
        <w:rPr>
          <w:rFonts w:ascii="Verdana" w:hAnsi="Verdana" w:cstheme="minorHAnsi"/>
          <w:sz w:val="20"/>
          <w:szCs w:val="20"/>
        </w:rPr>
        <w:t xml:space="preserve">, dijital dönüşümün yalnızca teknoloji sektörüne ait bir konu olmadığını; </w:t>
      </w:r>
      <w:r w:rsidR="009C10AB" w:rsidRPr="00105A6B">
        <w:rPr>
          <w:rFonts w:ascii="Verdana" w:hAnsi="Verdana" w:cstheme="minorHAnsi"/>
          <w:b/>
          <w:bCs/>
          <w:sz w:val="20"/>
          <w:szCs w:val="20"/>
        </w:rPr>
        <w:t>sanayiden finansa, eğitimden kamu hizmetlerine kadar tüm sektörleri yatayda kesen bir dönüşüm alanı</w:t>
      </w:r>
      <w:r w:rsidR="009C10AB" w:rsidRPr="00105A6B">
        <w:rPr>
          <w:rFonts w:ascii="Verdana" w:hAnsi="Verdana" w:cstheme="minorHAnsi"/>
          <w:sz w:val="20"/>
          <w:szCs w:val="20"/>
        </w:rPr>
        <w:t xml:space="preserve"> olduğunu bir kez daha ortaya koyuyor. Bu nedenle dijital dönüşümde kalıcı ilerleme, yalnızca tekil projelerle değil; </w:t>
      </w:r>
      <w:r w:rsidR="009C10AB" w:rsidRPr="00105A6B">
        <w:rPr>
          <w:rFonts w:ascii="Verdana" w:hAnsi="Verdana" w:cstheme="minorHAnsi"/>
          <w:b/>
          <w:bCs/>
          <w:sz w:val="20"/>
          <w:szCs w:val="20"/>
        </w:rPr>
        <w:t>kamu, özel sektör, akademi ve sivil toplumun eşgüdümüyle</w:t>
      </w:r>
      <w:r w:rsidR="009C10AB" w:rsidRPr="00105A6B">
        <w:rPr>
          <w:rFonts w:ascii="Verdana" w:hAnsi="Verdana" w:cstheme="minorHAnsi"/>
          <w:sz w:val="20"/>
          <w:szCs w:val="20"/>
        </w:rPr>
        <w:t xml:space="preserve"> mümkün olabiliyor.</w:t>
      </w:r>
    </w:p>
    <w:p w14:paraId="447654F1" w14:textId="77777777" w:rsidR="009C10AB" w:rsidRPr="00105A6B" w:rsidRDefault="009C10AB" w:rsidP="009C10AB">
      <w:pPr>
        <w:spacing w:line="360" w:lineRule="auto"/>
        <w:jc w:val="both"/>
        <w:rPr>
          <w:rFonts w:ascii="Verdana" w:hAnsi="Verdana" w:cstheme="minorHAnsi"/>
          <w:b/>
          <w:bCs/>
          <w:sz w:val="20"/>
          <w:szCs w:val="20"/>
        </w:rPr>
      </w:pPr>
    </w:p>
    <w:p w14:paraId="48B58FDE" w14:textId="0F5B5F63" w:rsidR="009C10AB" w:rsidRPr="00105A6B" w:rsidRDefault="009C10AB" w:rsidP="009C10AB">
      <w:pPr>
        <w:spacing w:line="360" w:lineRule="auto"/>
        <w:jc w:val="both"/>
        <w:rPr>
          <w:rFonts w:ascii="Verdana" w:hAnsi="Verdana" w:cstheme="minorHAnsi"/>
          <w:sz w:val="20"/>
          <w:szCs w:val="20"/>
        </w:rPr>
      </w:pPr>
      <w:r w:rsidRPr="007B0B9A">
        <w:rPr>
          <w:rFonts w:ascii="Verdana" w:hAnsi="Verdana" w:cstheme="minorHAnsi"/>
          <w:b/>
          <w:bCs/>
          <w:sz w:val="20"/>
          <w:szCs w:val="20"/>
        </w:rPr>
        <w:t>TÜBİSAD Yönetim Kurulu Başkanı</w:t>
      </w:r>
      <w:r w:rsidRPr="00105A6B">
        <w:rPr>
          <w:rFonts w:ascii="Verdana" w:hAnsi="Verdana" w:cstheme="minorHAnsi"/>
          <w:sz w:val="20"/>
          <w:szCs w:val="20"/>
        </w:rPr>
        <w:t xml:space="preserve"> </w:t>
      </w:r>
      <w:r w:rsidRPr="00105A6B">
        <w:rPr>
          <w:rFonts w:ascii="Verdana" w:hAnsi="Verdana" w:cstheme="minorHAnsi"/>
          <w:b/>
          <w:bCs/>
          <w:sz w:val="20"/>
          <w:szCs w:val="20"/>
        </w:rPr>
        <w:t>Mehmet Ali Tombalak</w:t>
      </w:r>
      <w:r w:rsidRPr="00105A6B">
        <w:rPr>
          <w:rFonts w:ascii="Verdana" w:hAnsi="Verdana" w:cstheme="minorHAnsi"/>
          <w:sz w:val="20"/>
          <w:szCs w:val="20"/>
        </w:rPr>
        <w:t xml:space="preserve">, </w:t>
      </w:r>
      <w:r w:rsidR="008B06A9" w:rsidRPr="00105A6B">
        <w:rPr>
          <w:rFonts w:ascii="Verdana" w:hAnsi="Verdana" w:cstheme="minorHAnsi"/>
          <w:sz w:val="20"/>
          <w:szCs w:val="20"/>
        </w:rPr>
        <w:t>çalışmaya</w:t>
      </w:r>
      <w:r w:rsidRPr="00105A6B">
        <w:rPr>
          <w:rFonts w:ascii="Verdana" w:hAnsi="Verdana" w:cstheme="minorHAnsi"/>
          <w:sz w:val="20"/>
          <w:szCs w:val="20"/>
        </w:rPr>
        <w:t xml:space="preserve"> ilişkin değerlendirmesinde şu çağrıyı yaptı:</w:t>
      </w:r>
      <w:r w:rsidR="006D5418">
        <w:rPr>
          <w:rFonts w:ascii="Verdana" w:hAnsi="Verdana" w:cstheme="minorHAnsi"/>
          <w:sz w:val="20"/>
          <w:szCs w:val="20"/>
        </w:rPr>
        <w:t xml:space="preserve"> </w:t>
      </w:r>
      <w:r w:rsidRPr="00105A6B">
        <w:rPr>
          <w:rFonts w:ascii="Verdana" w:hAnsi="Verdana" w:cstheme="minorHAnsi"/>
          <w:sz w:val="20"/>
          <w:szCs w:val="20"/>
        </w:rPr>
        <w:t>“Türkiye, dijital teknolojilerin kullanımında güçlü bir zemine sahip. Ancak bu gücü</w:t>
      </w:r>
      <w:r w:rsidR="00547FEB">
        <w:rPr>
          <w:rFonts w:ascii="Verdana" w:hAnsi="Verdana" w:cstheme="minorHAnsi"/>
          <w:sz w:val="20"/>
          <w:szCs w:val="20"/>
        </w:rPr>
        <w:t xml:space="preserve"> </w:t>
      </w:r>
      <w:r w:rsidR="002D46F8" w:rsidRPr="002B3644">
        <w:rPr>
          <w:rFonts w:ascii="Verdana" w:hAnsi="Verdana" w:cstheme="minorHAnsi"/>
          <w:sz w:val="20"/>
          <w:szCs w:val="20"/>
        </w:rPr>
        <w:t>teknoloji üretimine, katma değer</w:t>
      </w:r>
      <w:r w:rsidR="00A00BBE" w:rsidRPr="002B3644">
        <w:rPr>
          <w:rFonts w:ascii="Verdana" w:hAnsi="Verdana" w:cstheme="minorHAnsi"/>
          <w:sz w:val="20"/>
          <w:szCs w:val="20"/>
        </w:rPr>
        <w:t xml:space="preserve">e, </w:t>
      </w:r>
      <w:r w:rsidR="002D46F8" w:rsidRPr="002B3644">
        <w:rPr>
          <w:rFonts w:ascii="Verdana" w:hAnsi="Verdana" w:cstheme="minorHAnsi"/>
          <w:sz w:val="20"/>
          <w:szCs w:val="20"/>
        </w:rPr>
        <w:t>ihracata ve</w:t>
      </w:r>
      <w:r w:rsidR="002D46F8">
        <w:rPr>
          <w:rFonts w:ascii="Verdana" w:hAnsi="Verdana" w:cstheme="minorHAnsi"/>
          <w:b/>
          <w:bCs/>
          <w:sz w:val="20"/>
          <w:szCs w:val="20"/>
        </w:rPr>
        <w:t xml:space="preserve"> </w:t>
      </w:r>
      <w:r w:rsidRPr="00105A6B">
        <w:rPr>
          <w:rFonts w:ascii="Verdana" w:hAnsi="Verdana" w:cstheme="minorHAnsi"/>
          <w:sz w:val="20"/>
          <w:szCs w:val="20"/>
        </w:rPr>
        <w:t>kalıcı bir rekabet avantajına dönüştürmek için ekosistemi bütüncül bir yaklaşımla ele almamız gerekiyor. Ekonomik istikrar, öngörülebilir düzenlemeler, yatırım ortamının güçlendirilmesi ve beceri odaklı eğitim politikaları, dijital dönüşümün kesintisiz ilerlemesi açısından kritik. Dijital dönüşüm tek bir aktörün değil, tüm ekosistemin ortak sorumluluğudur.”</w:t>
      </w:r>
    </w:p>
    <w:p w14:paraId="249FCF30" w14:textId="77777777" w:rsidR="009C10AB" w:rsidRPr="00105A6B" w:rsidRDefault="009C10AB" w:rsidP="009C10AB">
      <w:pPr>
        <w:spacing w:line="360" w:lineRule="auto"/>
        <w:jc w:val="both"/>
        <w:rPr>
          <w:rFonts w:ascii="Verdana" w:hAnsi="Verdana" w:cstheme="minorHAnsi"/>
          <w:sz w:val="20"/>
          <w:szCs w:val="20"/>
        </w:rPr>
      </w:pPr>
    </w:p>
    <w:p w14:paraId="77398B3F" w14:textId="1E82C9DD" w:rsidR="00D323A2" w:rsidRDefault="006F4C1D" w:rsidP="00DC04B2">
      <w:pPr>
        <w:spacing w:line="360" w:lineRule="auto"/>
        <w:jc w:val="both"/>
        <w:rPr>
          <w:rFonts w:ascii="Verdana" w:hAnsi="Verdana" w:cstheme="minorHAnsi"/>
          <w:sz w:val="20"/>
          <w:szCs w:val="20"/>
        </w:rPr>
      </w:pPr>
      <w:r w:rsidRPr="007B0B9A">
        <w:rPr>
          <w:rFonts w:ascii="Verdana" w:hAnsi="Verdana"/>
          <w:b/>
          <w:bCs/>
          <w:sz w:val="20"/>
          <w:szCs w:val="20"/>
        </w:rPr>
        <w:t>TÜBİSAD Yönetim Kurulu Üyesi</w:t>
      </w:r>
      <w:r w:rsidRPr="002B3644">
        <w:rPr>
          <w:rFonts w:ascii="Verdana" w:hAnsi="Verdana"/>
          <w:sz w:val="20"/>
          <w:szCs w:val="20"/>
        </w:rPr>
        <w:t xml:space="preserve"> </w:t>
      </w:r>
      <w:r w:rsidRPr="00C71AE4">
        <w:rPr>
          <w:rFonts w:ascii="Verdana" w:hAnsi="Verdana"/>
          <w:b/>
          <w:bCs/>
          <w:sz w:val="20"/>
          <w:szCs w:val="20"/>
        </w:rPr>
        <w:t>Serdar U</w:t>
      </w:r>
      <w:r w:rsidR="00AE6526">
        <w:rPr>
          <w:rFonts w:ascii="Verdana" w:hAnsi="Verdana"/>
          <w:b/>
          <w:bCs/>
          <w:sz w:val="20"/>
          <w:szCs w:val="20"/>
        </w:rPr>
        <w:t>r</w:t>
      </w:r>
      <w:r w:rsidRPr="00C71AE4">
        <w:rPr>
          <w:rFonts w:ascii="Verdana" w:hAnsi="Verdana"/>
          <w:b/>
          <w:bCs/>
          <w:sz w:val="20"/>
          <w:szCs w:val="20"/>
        </w:rPr>
        <w:t>ça</w:t>
      </w:r>
      <w:r w:rsidRPr="007B0B9A">
        <w:rPr>
          <w:rFonts w:ascii="Verdana" w:hAnsi="Verdana"/>
          <w:b/>
          <w:bCs/>
          <w:sz w:val="20"/>
          <w:szCs w:val="20"/>
        </w:rPr>
        <w:t>r</w:t>
      </w:r>
      <w:r w:rsidR="002B3644">
        <w:rPr>
          <w:rFonts w:ascii="Verdana" w:hAnsi="Verdana"/>
          <w:sz w:val="20"/>
          <w:szCs w:val="20"/>
        </w:rPr>
        <w:t>,</w:t>
      </w:r>
      <w:r w:rsidRPr="002B3644">
        <w:rPr>
          <w:rFonts w:ascii="Verdana" w:hAnsi="Verdana"/>
          <w:sz w:val="20"/>
          <w:szCs w:val="20"/>
        </w:rPr>
        <w:t xml:space="preserve"> </w:t>
      </w:r>
      <w:r w:rsidR="00145ACB" w:rsidRPr="00105A6B">
        <w:rPr>
          <w:rFonts w:ascii="Verdana" w:hAnsi="Verdana" w:cstheme="minorHAnsi"/>
          <w:sz w:val="20"/>
          <w:szCs w:val="20"/>
        </w:rPr>
        <w:t xml:space="preserve">çalışmaya ilişkin </w:t>
      </w:r>
      <w:r w:rsidR="00255787">
        <w:rPr>
          <w:rFonts w:ascii="Verdana" w:hAnsi="Verdana" w:cstheme="minorHAnsi"/>
          <w:sz w:val="20"/>
          <w:szCs w:val="20"/>
        </w:rPr>
        <w:t>görüşlerini şu şekilde paylaştı:</w:t>
      </w:r>
      <w:r w:rsidR="00DC04B2">
        <w:rPr>
          <w:rFonts w:ascii="Verdana" w:hAnsi="Verdana" w:cstheme="minorHAnsi"/>
          <w:sz w:val="20"/>
          <w:szCs w:val="20"/>
        </w:rPr>
        <w:t xml:space="preserve"> </w:t>
      </w:r>
      <w:r w:rsidR="004A7370" w:rsidRPr="004A7370">
        <w:rPr>
          <w:rFonts w:ascii="Verdana" w:hAnsi="Verdana" w:cstheme="minorHAnsi"/>
          <w:sz w:val="20"/>
          <w:szCs w:val="20"/>
        </w:rPr>
        <w:t xml:space="preserve">“TÜBİSAD olarak Türkiye’nin Dijital Dönüşüm Endeksi’ni beş yıldır düzenli olarak yayımlıyor; bu çalışmayı dijital toplum ve dijital ekonomiye dönüşümün hızını ve derinliğini izleyen önemli bir referans olarak konumlandırıyoruz. Bu yıl çalışma kapsamında ele alınan </w:t>
      </w:r>
      <w:r w:rsidR="002B3644">
        <w:rPr>
          <w:rFonts w:ascii="Verdana" w:hAnsi="Verdana" w:cstheme="minorHAnsi"/>
          <w:sz w:val="20"/>
          <w:szCs w:val="20"/>
        </w:rPr>
        <w:t>y</w:t>
      </w:r>
      <w:r w:rsidR="004A7370" w:rsidRPr="004A7370">
        <w:rPr>
          <w:rFonts w:ascii="Verdana" w:hAnsi="Verdana" w:cstheme="minorHAnsi"/>
          <w:sz w:val="20"/>
          <w:szCs w:val="20"/>
        </w:rPr>
        <w:t xml:space="preserve">apay </w:t>
      </w:r>
      <w:r w:rsidR="002B3644">
        <w:rPr>
          <w:rFonts w:ascii="Verdana" w:hAnsi="Verdana" w:cstheme="minorHAnsi"/>
          <w:sz w:val="20"/>
          <w:szCs w:val="20"/>
        </w:rPr>
        <w:t>z</w:t>
      </w:r>
      <w:r w:rsidR="004A7370" w:rsidRPr="004A7370">
        <w:rPr>
          <w:rFonts w:ascii="Verdana" w:hAnsi="Verdana" w:cstheme="minorHAnsi"/>
          <w:sz w:val="20"/>
          <w:szCs w:val="20"/>
        </w:rPr>
        <w:t xml:space="preserve">ekâ gündemi, dijital dönüşüm üzerindeki etkileri ilerleyen dönemde daha derinlikli </w:t>
      </w:r>
      <w:r w:rsidR="004A7370" w:rsidRPr="004A7370">
        <w:rPr>
          <w:rFonts w:ascii="Verdana" w:hAnsi="Verdana" w:cstheme="minorHAnsi"/>
          <w:sz w:val="20"/>
          <w:szCs w:val="20"/>
        </w:rPr>
        <w:lastRenderedPageBreak/>
        <w:t>analiz edebilmek ve gelecekte geliştirilebilecek bir Yapay Zekâ Endeksi’ne zemin hazırlamak amacıyla çalışmaya dâhil edildi</w:t>
      </w:r>
      <w:r w:rsidR="00094707">
        <w:rPr>
          <w:rFonts w:ascii="Verdana" w:hAnsi="Verdana" w:cstheme="minorHAnsi"/>
          <w:sz w:val="20"/>
          <w:szCs w:val="20"/>
        </w:rPr>
        <w:t>. B</w:t>
      </w:r>
      <w:r w:rsidR="004A7370" w:rsidRPr="004A7370">
        <w:rPr>
          <w:rFonts w:ascii="Verdana" w:hAnsi="Verdana" w:cstheme="minorHAnsi"/>
          <w:sz w:val="20"/>
          <w:szCs w:val="20"/>
        </w:rPr>
        <w:t>u başlığa ilişkin değerlendirmeleri önümüzdeki dönemlerde ayrıca kamuoyuyla paylaşmayı planlıyoruz. Bu yaklaşımın, Türkiye’nin dijital dönüşüm sürecine daha bütüncül ve ileriye dönük bir perspektif kazandıracağına inanıyoruz.”</w:t>
      </w:r>
    </w:p>
    <w:p w14:paraId="00133C1C" w14:textId="77777777" w:rsidR="004A7370" w:rsidRPr="00105A6B" w:rsidRDefault="004A7370" w:rsidP="00DC04B2">
      <w:pPr>
        <w:spacing w:line="360" w:lineRule="auto"/>
        <w:jc w:val="both"/>
        <w:rPr>
          <w:rFonts w:ascii="Verdana" w:hAnsi="Verdana" w:cstheme="minorHAnsi"/>
          <w:sz w:val="20"/>
          <w:szCs w:val="20"/>
        </w:rPr>
      </w:pPr>
    </w:p>
    <w:p w14:paraId="26F8C8A0" w14:textId="416F22BF" w:rsidR="009C10AB" w:rsidRPr="00105A6B" w:rsidRDefault="009C10AB" w:rsidP="009C10AB">
      <w:pPr>
        <w:spacing w:line="360" w:lineRule="auto"/>
        <w:jc w:val="both"/>
        <w:rPr>
          <w:rFonts w:ascii="Verdana" w:hAnsi="Verdana" w:cstheme="minorHAnsi"/>
          <w:sz w:val="20"/>
          <w:szCs w:val="20"/>
        </w:rPr>
      </w:pPr>
      <w:r w:rsidRPr="00105A6B">
        <w:rPr>
          <w:rFonts w:ascii="Verdana" w:hAnsi="Verdana" w:cstheme="minorHAnsi"/>
          <w:b/>
          <w:bCs/>
          <w:sz w:val="20"/>
          <w:szCs w:val="20"/>
        </w:rPr>
        <w:t>Öne Çıkan Bulgular</w:t>
      </w:r>
    </w:p>
    <w:p w14:paraId="31356856" w14:textId="56EEBD85" w:rsidR="009C10AB" w:rsidRPr="00105A6B" w:rsidRDefault="001F279C" w:rsidP="009C10AB">
      <w:pPr>
        <w:numPr>
          <w:ilvl w:val="0"/>
          <w:numId w:val="2"/>
        </w:numPr>
        <w:spacing w:line="360" w:lineRule="auto"/>
        <w:jc w:val="both"/>
        <w:rPr>
          <w:rFonts w:ascii="Verdana" w:hAnsi="Verdana" w:cstheme="minorHAnsi"/>
          <w:sz w:val="20"/>
          <w:szCs w:val="20"/>
        </w:rPr>
      </w:pPr>
      <w:r>
        <w:rPr>
          <w:rFonts w:ascii="Verdana" w:hAnsi="Verdana" w:cstheme="minorHAnsi"/>
          <w:sz w:val="20"/>
          <w:szCs w:val="20"/>
        </w:rPr>
        <w:t>G</w:t>
      </w:r>
      <w:r w:rsidR="009C10AB" w:rsidRPr="00105A6B">
        <w:rPr>
          <w:rFonts w:ascii="Verdana" w:hAnsi="Verdana" w:cstheme="minorHAnsi"/>
          <w:sz w:val="20"/>
          <w:szCs w:val="20"/>
        </w:rPr>
        <w:t xml:space="preserve">enel endeks değerini oluşturan </w:t>
      </w:r>
      <w:r w:rsidR="009C10AB" w:rsidRPr="00105A6B">
        <w:rPr>
          <w:rFonts w:ascii="Verdana" w:hAnsi="Verdana" w:cstheme="minorHAnsi"/>
          <w:b/>
          <w:bCs/>
          <w:sz w:val="20"/>
          <w:szCs w:val="20"/>
        </w:rPr>
        <w:t>61 alt göstergenin 30’unda iyileşme</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23’ünde gerileme</w:t>
      </w:r>
      <w:r w:rsidR="00E076E3">
        <w:rPr>
          <w:rFonts w:ascii="Verdana" w:hAnsi="Verdana" w:cstheme="minorHAnsi"/>
          <w:b/>
          <w:bCs/>
          <w:sz w:val="20"/>
          <w:szCs w:val="20"/>
        </w:rPr>
        <w:t xml:space="preserve"> olduğu</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 xml:space="preserve">8’inde ise değişim </w:t>
      </w:r>
      <w:r w:rsidR="002210B2" w:rsidRPr="00105A6B">
        <w:rPr>
          <w:rFonts w:ascii="Verdana" w:hAnsi="Verdana" w:cstheme="minorHAnsi"/>
          <w:b/>
          <w:bCs/>
          <w:sz w:val="20"/>
          <w:szCs w:val="20"/>
        </w:rPr>
        <w:t>olma</w:t>
      </w:r>
      <w:r w:rsidR="002210B2">
        <w:rPr>
          <w:rFonts w:ascii="Verdana" w:hAnsi="Verdana" w:cstheme="minorHAnsi"/>
          <w:b/>
          <w:bCs/>
          <w:sz w:val="20"/>
          <w:szCs w:val="20"/>
        </w:rPr>
        <w:t>dığı</w:t>
      </w:r>
      <w:r w:rsidR="00EB1BFA">
        <w:rPr>
          <w:rFonts w:ascii="Verdana" w:hAnsi="Verdana" w:cstheme="minorHAnsi"/>
          <w:b/>
          <w:bCs/>
          <w:sz w:val="20"/>
          <w:szCs w:val="20"/>
        </w:rPr>
        <w:t xml:space="preserve"> </w:t>
      </w:r>
      <w:r w:rsidR="009C10AB" w:rsidRPr="00105A6B">
        <w:rPr>
          <w:rFonts w:ascii="Verdana" w:hAnsi="Verdana" w:cstheme="minorHAnsi"/>
          <w:sz w:val="20"/>
          <w:szCs w:val="20"/>
        </w:rPr>
        <w:t>gözlemlendi. Bu tablo, ilerleme potansiyeline rağmen ivmenin henüz dengeli ve kalıcı hale gelemediğini gösteriyor.</w:t>
      </w:r>
    </w:p>
    <w:p w14:paraId="68F06649" w14:textId="1FE97F52"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sz w:val="20"/>
          <w:szCs w:val="20"/>
        </w:rPr>
        <w:t xml:space="preserve">Dört ana bileşenden </w:t>
      </w:r>
      <w:r w:rsidRPr="00105A6B">
        <w:rPr>
          <w:rFonts w:ascii="Verdana" w:hAnsi="Verdana" w:cstheme="minorHAnsi"/>
          <w:b/>
          <w:bCs/>
          <w:sz w:val="20"/>
          <w:szCs w:val="20"/>
        </w:rPr>
        <w:t>Dönüşüm bileşeni</w:t>
      </w:r>
      <w:r w:rsidRPr="00105A6B">
        <w:rPr>
          <w:rFonts w:ascii="Verdana" w:hAnsi="Verdana" w:cstheme="minorHAnsi"/>
          <w:sz w:val="20"/>
          <w:szCs w:val="20"/>
        </w:rPr>
        <w:t xml:space="preserve"> yükseliş gösteren tek alan olurken; </w:t>
      </w:r>
      <w:r w:rsidRPr="00105A6B">
        <w:rPr>
          <w:rFonts w:ascii="Verdana" w:hAnsi="Verdana" w:cstheme="minorHAnsi"/>
          <w:b/>
          <w:bCs/>
          <w:sz w:val="20"/>
          <w:szCs w:val="20"/>
        </w:rPr>
        <w:t>Ekosistem, Yeterlilik ve Kullanım</w:t>
      </w:r>
      <w:r w:rsidRPr="00105A6B">
        <w:rPr>
          <w:rFonts w:ascii="Verdana" w:hAnsi="Verdana" w:cstheme="minorHAnsi"/>
          <w:sz w:val="20"/>
          <w:szCs w:val="20"/>
        </w:rPr>
        <w:t xml:space="preserve"> bileşenlerinde sınırlı gerilemeler yaşandı.</w:t>
      </w:r>
    </w:p>
    <w:p w14:paraId="6990DD74" w14:textId="1A86E154"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b/>
          <w:bCs/>
          <w:sz w:val="20"/>
          <w:szCs w:val="20"/>
        </w:rPr>
        <w:t>Ekosistem bileşeni</w:t>
      </w:r>
      <w:r w:rsidRPr="00105A6B">
        <w:rPr>
          <w:rFonts w:ascii="Verdana" w:hAnsi="Verdana" w:cstheme="minorHAnsi"/>
          <w:sz w:val="20"/>
          <w:szCs w:val="20"/>
        </w:rPr>
        <w:t xml:space="preserve">, </w:t>
      </w:r>
      <w:r w:rsidR="00DB692F">
        <w:rPr>
          <w:rFonts w:ascii="Verdana" w:hAnsi="Verdana" w:cstheme="minorHAnsi"/>
          <w:sz w:val="20"/>
          <w:szCs w:val="20"/>
        </w:rPr>
        <w:t>son beş yılda</w:t>
      </w:r>
      <w:r w:rsidRPr="00105A6B">
        <w:rPr>
          <w:rFonts w:ascii="Verdana" w:hAnsi="Verdana" w:cstheme="minorHAnsi"/>
          <w:sz w:val="20"/>
          <w:szCs w:val="20"/>
        </w:rPr>
        <w:t xml:space="preserve"> Türkiye’nin dijitalleşme notunu aşağı çeken en kritik alan olmaya devam etti. 2019’da </w:t>
      </w:r>
      <w:r w:rsidRPr="00105A6B">
        <w:rPr>
          <w:rFonts w:ascii="Verdana" w:hAnsi="Verdana" w:cstheme="minorHAnsi"/>
          <w:b/>
          <w:bCs/>
          <w:sz w:val="20"/>
          <w:szCs w:val="20"/>
        </w:rPr>
        <w:t>2,60</w:t>
      </w:r>
      <w:r w:rsidRPr="00105A6B">
        <w:rPr>
          <w:rFonts w:ascii="Verdana" w:hAnsi="Verdana" w:cstheme="minorHAnsi"/>
          <w:sz w:val="20"/>
          <w:szCs w:val="20"/>
        </w:rPr>
        <w:t xml:space="preserve"> olan değer, 2021’de </w:t>
      </w:r>
      <w:r w:rsidRPr="00105A6B">
        <w:rPr>
          <w:rFonts w:ascii="Verdana" w:hAnsi="Verdana" w:cstheme="minorHAnsi"/>
          <w:b/>
          <w:bCs/>
          <w:sz w:val="20"/>
          <w:szCs w:val="20"/>
        </w:rPr>
        <w:t>2,85’e</w:t>
      </w:r>
      <w:r w:rsidRPr="00105A6B">
        <w:rPr>
          <w:rFonts w:ascii="Verdana" w:hAnsi="Verdana" w:cstheme="minorHAnsi"/>
          <w:sz w:val="20"/>
          <w:szCs w:val="20"/>
        </w:rPr>
        <w:t xml:space="preserve"> yüksel</w:t>
      </w:r>
      <w:r w:rsidR="002B3644">
        <w:rPr>
          <w:rFonts w:ascii="Verdana" w:hAnsi="Verdana" w:cstheme="minorHAnsi"/>
          <w:sz w:val="20"/>
          <w:szCs w:val="20"/>
        </w:rPr>
        <w:t>di</w:t>
      </w:r>
      <w:r w:rsidRPr="00105A6B">
        <w:rPr>
          <w:rFonts w:ascii="Verdana" w:hAnsi="Verdana" w:cstheme="minorHAnsi"/>
          <w:sz w:val="20"/>
          <w:szCs w:val="20"/>
        </w:rPr>
        <w:t>; 2024</w:t>
      </w:r>
      <w:r w:rsidR="000F1915">
        <w:rPr>
          <w:rFonts w:ascii="Verdana" w:hAnsi="Verdana" w:cstheme="minorHAnsi"/>
          <w:sz w:val="20"/>
          <w:szCs w:val="20"/>
        </w:rPr>
        <w:t xml:space="preserve"> değeri</w:t>
      </w:r>
      <w:r w:rsidRPr="00105A6B">
        <w:rPr>
          <w:rFonts w:ascii="Verdana" w:hAnsi="Verdana" w:cstheme="minorHAnsi"/>
          <w:sz w:val="20"/>
          <w:szCs w:val="20"/>
        </w:rPr>
        <w:t xml:space="preserve"> ise </w:t>
      </w:r>
      <w:r w:rsidRPr="00105A6B">
        <w:rPr>
          <w:rFonts w:ascii="Verdana" w:hAnsi="Verdana" w:cstheme="minorHAnsi"/>
          <w:b/>
          <w:bCs/>
          <w:sz w:val="20"/>
          <w:szCs w:val="20"/>
        </w:rPr>
        <w:t>2,77</w:t>
      </w:r>
      <w:r w:rsidRPr="00105A6B">
        <w:rPr>
          <w:rFonts w:ascii="Verdana" w:hAnsi="Verdana" w:cstheme="minorHAnsi"/>
          <w:sz w:val="20"/>
          <w:szCs w:val="20"/>
        </w:rPr>
        <w:t xml:space="preserve"> olarak hesaplandı.</w:t>
      </w:r>
    </w:p>
    <w:p w14:paraId="758C8A4C" w14:textId="5C427C5A"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b/>
          <w:bCs/>
          <w:sz w:val="20"/>
          <w:szCs w:val="20"/>
        </w:rPr>
        <w:t>Kullanım bileşeni</w:t>
      </w:r>
      <w:r w:rsidRPr="00105A6B">
        <w:rPr>
          <w:rFonts w:ascii="Verdana" w:hAnsi="Verdana" w:cstheme="minorHAnsi"/>
          <w:sz w:val="20"/>
          <w:szCs w:val="20"/>
        </w:rPr>
        <w:t xml:space="preserve">, </w:t>
      </w:r>
      <w:r w:rsidR="00024D94">
        <w:rPr>
          <w:rFonts w:ascii="Verdana" w:hAnsi="Verdana" w:cstheme="minorHAnsi"/>
          <w:sz w:val="20"/>
          <w:szCs w:val="20"/>
        </w:rPr>
        <w:t>bu yılki</w:t>
      </w:r>
      <w:r w:rsidRPr="00105A6B">
        <w:rPr>
          <w:rFonts w:ascii="Verdana" w:hAnsi="Verdana" w:cstheme="minorHAnsi"/>
          <w:sz w:val="20"/>
          <w:szCs w:val="20"/>
        </w:rPr>
        <w:t xml:space="preserve"> endekse en olumlu katkıyı sağlayan alan oldu. Türkiye, bireysel, iş dünyası ve kamu kullanımında </w:t>
      </w:r>
      <w:proofErr w:type="spellStart"/>
      <w:r w:rsidRPr="00105A6B">
        <w:rPr>
          <w:rFonts w:ascii="Verdana" w:hAnsi="Verdana" w:cstheme="minorHAnsi"/>
          <w:sz w:val="20"/>
          <w:szCs w:val="20"/>
        </w:rPr>
        <w:t>BİT’ten</w:t>
      </w:r>
      <w:proofErr w:type="spellEnd"/>
      <w:r w:rsidRPr="00105A6B">
        <w:rPr>
          <w:rFonts w:ascii="Verdana" w:hAnsi="Verdana" w:cstheme="minorHAnsi"/>
          <w:sz w:val="20"/>
          <w:szCs w:val="20"/>
        </w:rPr>
        <w:t xml:space="preserve"> etkin biçimde yararlanan ülkeler arasında yer alıyor.</w:t>
      </w:r>
    </w:p>
    <w:p w14:paraId="2BA279AD" w14:textId="77777777"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b/>
          <w:bCs/>
          <w:sz w:val="20"/>
          <w:szCs w:val="20"/>
        </w:rPr>
        <w:t>Yeterlilik bileşeni</w:t>
      </w:r>
      <w:r w:rsidRPr="00105A6B">
        <w:rPr>
          <w:rFonts w:ascii="Verdana" w:hAnsi="Verdana" w:cstheme="minorHAnsi"/>
          <w:sz w:val="20"/>
          <w:szCs w:val="20"/>
        </w:rPr>
        <w:t>, altyapı boyutunda gelişim ihtiyacı sürerken; beceriler alanında görece daha olumlu bir tabloya işaret ediyor.</w:t>
      </w:r>
    </w:p>
    <w:p w14:paraId="1322A343" w14:textId="68975806" w:rsidR="009C10AB" w:rsidRPr="00105A6B" w:rsidRDefault="00024D94" w:rsidP="009C10AB">
      <w:pPr>
        <w:numPr>
          <w:ilvl w:val="0"/>
          <w:numId w:val="2"/>
        </w:numPr>
        <w:spacing w:line="360" w:lineRule="auto"/>
        <w:jc w:val="both"/>
        <w:rPr>
          <w:rFonts w:ascii="Verdana" w:hAnsi="Verdana" w:cstheme="minorHAnsi"/>
          <w:sz w:val="20"/>
          <w:szCs w:val="20"/>
        </w:rPr>
      </w:pPr>
      <w:r>
        <w:rPr>
          <w:rFonts w:ascii="Verdana" w:hAnsi="Verdana" w:cstheme="minorHAnsi"/>
          <w:sz w:val="20"/>
          <w:szCs w:val="20"/>
        </w:rPr>
        <w:t xml:space="preserve">Bu </w:t>
      </w:r>
      <w:r w:rsidR="00740F93">
        <w:rPr>
          <w:rFonts w:ascii="Verdana" w:hAnsi="Verdana" w:cstheme="minorHAnsi"/>
          <w:sz w:val="20"/>
          <w:szCs w:val="20"/>
        </w:rPr>
        <w:t>y</w:t>
      </w:r>
      <w:r>
        <w:rPr>
          <w:rFonts w:ascii="Verdana" w:hAnsi="Verdana" w:cstheme="minorHAnsi"/>
          <w:sz w:val="20"/>
          <w:szCs w:val="20"/>
        </w:rPr>
        <w:t>ılki endekste</w:t>
      </w:r>
      <w:r w:rsidR="009C10AB" w:rsidRPr="00105A6B">
        <w:rPr>
          <w:rFonts w:ascii="Verdana" w:hAnsi="Verdana" w:cstheme="minorHAnsi"/>
          <w:sz w:val="20"/>
          <w:szCs w:val="20"/>
        </w:rPr>
        <w:t xml:space="preserve"> </w:t>
      </w:r>
      <w:r w:rsidR="009C10AB" w:rsidRPr="00105A6B">
        <w:rPr>
          <w:rFonts w:ascii="Verdana" w:hAnsi="Verdana" w:cstheme="minorHAnsi"/>
          <w:b/>
          <w:bCs/>
          <w:sz w:val="20"/>
          <w:szCs w:val="20"/>
        </w:rPr>
        <w:t>yasal zemin ve işleyiş, yenilik ve yatırım ortamı, altyapı, satın alınabilirlik, bireysel kullanım ve kamu kullanımı</w:t>
      </w:r>
      <w:r w:rsidR="009C10AB" w:rsidRPr="00105A6B">
        <w:rPr>
          <w:rFonts w:ascii="Verdana" w:hAnsi="Verdana" w:cstheme="minorHAnsi"/>
          <w:sz w:val="20"/>
          <w:szCs w:val="20"/>
        </w:rPr>
        <w:t xml:space="preserve"> başlıklarında gerilemeler yaşandı.</w:t>
      </w:r>
    </w:p>
    <w:p w14:paraId="32DE0AC5" w14:textId="77777777"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sz w:val="20"/>
          <w:szCs w:val="20"/>
        </w:rPr>
        <w:t xml:space="preserve">Elektrik üretimi, uluslararası internet bant genişliği, patent başvuruları, BİT alanında istihdam ve BİT hizmetleri ihracatı, </w:t>
      </w:r>
      <w:r w:rsidRPr="00105A6B">
        <w:rPr>
          <w:rFonts w:ascii="Verdana" w:hAnsi="Verdana" w:cstheme="minorHAnsi"/>
          <w:b/>
          <w:bCs/>
          <w:sz w:val="20"/>
          <w:szCs w:val="20"/>
        </w:rPr>
        <w:t>acil eylem gerektiren alanlar</w:t>
      </w:r>
      <w:r w:rsidRPr="00105A6B">
        <w:rPr>
          <w:rFonts w:ascii="Verdana" w:hAnsi="Verdana" w:cstheme="minorHAnsi"/>
          <w:sz w:val="20"/>
          <w:szCs w:val="20"/>
        </w:rPr>
        <w:t xml:space="preserve"> arasında öne çıktı.</w:t>
      </w:r>
    </w:p>
    <w:p w14:paraId="0B5001B5" w14:textId="77777777"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sz w:val="20"/>
          <w:szCs w:val="20"/>
        </w:rPr>
        <w:t>Hukuki altyapıya ilişkin göstergelerde uzun süredir ilerleme sağlanamaması, dijital ekosistemin gelişimini doğrudan sınırlıyor.</w:t>
      </w:r>
    </w:p>
    <w:p w14:paraId="175E43F0" w14:textId="77777777"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sz w:val="20"/>
          <w:szCs w:val="20"/>
        </w:rPr>
        <w:t xml:space="preserve">Yenilik ve yatırım ortamında; </w:t>
      </w:r>
      <w:r w:rsidRPr="00105A6B">
        <w:rPr>
          <w:rFonts w:ascii="Verdana" w:hAnsi="Verdana" w:cstheme="minorHAnsi"/>
          <w:b/>
          <w:bCs/>
          <w:sz w:val="20"/>
          <w:szCs w:val="20"/>
        </w:rPr>
        <w:t>risk sermayesine erişim, Ar-Ge harcamaları ve üniversite-sanayi iş birlikleri</w:t>
      </w:r>
      <w:r w:rsidRPr="00105A6B">
        <w:rPr>
          <w:rFonts w:ascii="Verdana" w:hAnsi="Verdana" w:cstheme="minorHAnsi"/>
          <w:sz w:val="20"/>
          <w:szCs w:val="20"/>
        </w:rPr>
        <w:t xml:space="preserve"> gibi alanlarda ilerleme kaydedilemedi.</w:t>
      </w:r>
    </w:p>
    <w:p w14:paraId="16611718" w14:textId="77777777" w:rsidR="009C10AB" w:rsidRPr="00105A6B" w:rsidRDefault="009C10AB" w:rsidP="009C10AB">
      <w:pPr>
        <w:numPr>
          <w:ilvl w:val="0"/>
          <w:numId w:val="2"/>
        </w:numPr>
        <w:spacing w:line="360" w:lineRule="auto"/>
        <w:jc w:val="both"/>
        <w:rPr>
          <w:rFonts w:ascii="Verdana" w:hAnsi="Verdana" w:cstheme="minorHAnsi"/>
          <w:sz w:val="20"/>
          <w:szCs w:val="20"/>
        </w:rPr>
      </w:pPr>
      <w:r w:rsidRPr="00105A6B">
        <w:rPr>
          <w:rFonts w:ascii="Verdana" w:hAnsi="Verdana" w:cstheme="minorHAnsi"/>
          <w:b/>
          <w:bCs/>
          <w:sz w:val="20"/>
          <w:szCs w:val="20"/>
        </w:rPr>
        <w:t>Beceriler</w:t>
      </w:r>
      <w:r w:rsidRPr="00105A6B">
        <w:rPr>
          <w:rFonts w:ascii="Verdana" w:hAnsi="Verdana" w:cstheme="minorHAnsi"/>
          <w:sz w:val="20"/>
          <w:szCs w:val="20"/>
        </w:rPr>
        <w:t xml:space="preserve"> alanında; eğitim sisteminin BİT becerisi kazandırma kapasitesi, matematik ve fen eğitiminin kalitesi ile STEM mezun sayısının artırılması kritik öncelikler arasında yer alıyor.</w:t>
      </w:r>
    </w:p>
    <w:p w14:paraId="71B89DD6" w14:textId="77777777" w:rsidR="009C10AB" w:rsidRPr="00105A6B" w:rsidRDefault="009C10AB" w:rsidP="009C10AB">
      <w:pPr>
        <w:spacing w:line="360" w:lineRule="auto"/>
        <w:jc w:val="both"/>
        <w:rPr>
          <w:rFonts w:ascii="Verdana" w:hAnsi="Verdana" w:cstheme="minorHAnsi"/>
          <w:sz w:val="20"/>
          <w:szCs w:val="20"/>
        </w:rPr>
      </w:pPr>
    </w:p>
    <w:p w14:paraId="48B9AA14" w14:textId="25A20D8E" w:rsidR="009C10AB" w:rsidRPr="00105A6B" w:rsidRDefault="009C10AB" w:rsidP="009C10AB">
      <w:pPr>
        <w:spacing w:line="360" w:lineRule="auto"/>
        <w:jc w:val="both"/>
        <w:rPr>
          <w:rFonts w:ascii="Verdana" w:hAnsi="Verdana" w:cstheme="minorHAnsi"/>
          <w:sz w:val="20"/>
          <w:szCs w:val="20"/>
        </w:rPr>
      </w:pPr>
      <w:r w:rsidRPr="00105A6B">
        <w:rPr>
          <w:rFonts w:ascii="Verdana" w:hAnsi="Verdana" w:cstheme="minorHAnsi"/>
          <w:b/>
          <w:bCs/>
          <w:sz w:val="20"/>
          <w:szCs w:val="20"/>
        </w:rPr>
        <w:t xml:space="preserve">Ortak </w:t>
      </w:r>
      <w:r w:rsidR="006D5418">
        <w:rPr>
          <w:rFonts w:ascii="Verdana" w:hAnsi="Verdana" w:cstheme="minorHAnsi"/>
          <w:b/>
          <w:bCs/>
          <w:sz w:val="20"/>
          <w:szCs w:val="20"/>
        </w:rPr>
        <w:t>h</w:t>
      </w:r>
      <w:r w:rsidRPr="00105A6B">
        <w:rPr>
          <w:rFonts w:ascii="Verdana" w:hAnsi="Verdana" w:cstheme="minorHAnsi"/>
          <w:b/>
          <w:bCs/>
          <w:sz w:val="20"/>
          <w:szCs w:val="20"/>
        </w:rPr>
        <w:t xml:space="preserve">edef: Sürdürülebilir </w:t>
      </w:r>
      <w:r w:rsidR="006D5418">
        <w:rPr>
          <w:rFonts w:ascii="Verdana" w:hAnsi="Verdana" w:cstheme="minorHAnsi"/>
          <w:b/>
          <w:bCs/>
          <w:sz w:val="20"/>
          <w:szCs w:val="20"/>
        </w:rPr>
        <w:t>d</w:t>
      </w:r>
      <w:r w:rsidRPr="00105A6B">
        <w:rPr>
          <w:rFonts w:ascii="Verdana" w:hAnsi="Verdana" w:cstheme="minorHAnsi"/>
          <w:b/>
          <w:bCs/>
          <w:sz w:val="20"/>
          <w:szCs w:val="20"/>
        </w:rPr>
        <w:t xml:space="preserve">ijital </w:t>
      </w:r>
      <w:r w:rsidR="006D5418">
        <w:rPr>
          <w:rFonts w:ascii="Verdana" w:hAnsi="Verdana" w:cstheme="minorHAnsi"/>
          <w:b/>
          <w:bCs/>
          <w:sz w:val="20"/>
          <w:szCs w:val="20"/>
        </w:rPr>
        <w:t>r</w:t>
      </w:r>
      <w:r w:rsidRPr="00105A6B">
        <w:rPr>
          <w:rFonts w:ascii="Verdana" w:hAnsi="Verdana" w:cstheme="minorHAnsi"/>
          <w:b/>
          <w:bCs/>
          <w:sz w:val="20"/>
          <w:szCs w:val="20"/>
        </w:rPr>
        <w:t>ekabetçilik</w:t>
      </w:r>
    </w:p>
    <w:p w14:paraId="0EABF632" w14:textId="690DA6FA" w:rsidR="00F56254" w:rsidRDefault="009C10AB" w:rsidP="00F56254">
      <w:pPr>
        <w:spacing w:line="360" w:lineRule="auto"/>
        <w:jc w:val="both"/>
        <w:rPr>
          <w:rFonts w:ascii="Verdana" w:hAnsi="Verdana" w:cstheme="minorHAnsi"/>
          <w:sz w:val="20"/>
          <w:szCs w:val="20"/>
        </w:rPr>
      </w:pPr>
      <w:r w:rsidRPr="00105A6B">
        <w:rPr>
          <w:rFonts w:ascii="Verdana" w:hAnsi="Verdana" w:cstheme="minorHAnsi"/>
          <w:sz w:val="20"/>
          <w:szCs w:val="20"/>
        </w:rPr>
        <w:t xml:space="preserve">TÜBİSAD, Türkiye’nin Dijital Dönüşüm Endeksi’ni yalnızca bir durum tespiti değil; </w:t>
      </w:r>
      <w:r w:rsidRPr="00105A6B">
        <w:rPr>
          <w:rFonts w:ascii="Verdana" w:hAnsi="Verdana" w:cstheme="minorHAnsi"/>
          <w:b/>
          <w:bCs/>
          <w:sz w:val="20"/>
          <w:szCs w:val="20"/>
        </w:rPr>
        <w:t>teknoloji üretimini, kullanımını ve ihracatını artırmaya yönelik ortak bir yol haritası</w:t>
      </w:r>
      <w:r w:rsidRPr="00105A6B">
        <w:rPr>
          <w:rFonts w:ascii="Verdana" w:hAnsi="Verdana" w:cstheme="minorHAnsi"/>
          <w:sz w:val="20"/>
          <w:szCs w:val="20"/>
        </w:rPr>
        <w:t xml:space="preserve"> olarak konumlandırıyor. </w:t>
      </w:r>
      <w:r w:rsidR="00C351DD" w:rsidRPr="00105A6B">
        <w:rPr>
          <w:rFonts w:ascii="Verdana" w:hAnsi="Verdana" w:cstheme="minorHAnsi"/>
          <w:sz w:val="20"/>
          <w:szCs w:val="20"/>
        </w:rPr>
        <w:t>Çalışmada</w:t>
      </w:r>
      <w:r w:rsidRPr="00105A6B">
        <w:rPr>
          <w:rFonts w:ascii="Verdana" w:hAnsi="Verdana" w:cstheme="minorHAnsi"/>
          <w:sz w:val="20"/>
          <w:szCs w:val="20"/>
        </w:rPr>
        <w:t xml:space="preserve"> ortaya ko</w:t>
      </w:r>
      <w:r w:rsidR="005F0F29">
        <w:rPr>
          <w:rFonts w:ascii="Verdana" w:hAnsi="Verdana" w:cstheme="minorHAnsi"/>
          <w:sz w:val="20"/>
          <w:szCs w:val="20"/>
        </w:rPr>
        <w:t>yulan</w:t>
      </w:r>
      <w:r w:rsidR="00FA686A">
        <w:rPr>
          <w:rFonts w:ascii="Verdana" w:hAnsi="Verdana" w:cstheme="minorHAnsi"/>
          <w:sz w:val="20"/>
          <w:szCs w:val="20"/>
        </w:rPr>
        <w:t xml:space="preserve"> </w:t>
      </w:r>
      <w:r w:rsidRPr="00105A6B">
        <w:rPr>
          <w:rFonts w:ascii="Verdana" w:hAnsi="Verdana" w:cstheme="minorHAnsi"/>
          <w:sz w:val="20"/>
          <w:szCs w:val="20"/>
        </w:rPr>
        <w:t xml:space="preserve">bulgular, doğru ve eşgüdümlü </w:t>
      </w:r>
      <w:r w:rsidRPr="00105A6B">
        <w:rPr>
          <w:rFonts w:ascii="Verdana" w:hAnsi="Verdana" w:cstheme="minorHAnsi"/>
          <w:sz w:val="20"/>
          <w:szCs w:val="20"/>
        </w:rPr>
        <w:lastRenderedPageBreak/>
        <w:t>adımlar atıldığında Türkiye’nin dijital rekabet gücünü hızla artırabilecek güçlü bir potansiyele sahip olduğunu gösteriyor.</w:t>
      </w:r>
    </w:p>
    <w:p w14:paraId="773605F9" w14:textId="77777777" w:rsidR="00FA686A" w:rsidRDefault="00FA686A" w:rsidP="00F56254">
      <w:pPr>
        <w:spacing w:line="360" w:lineRule="auto"/>
        <w:jc w:val="both"/>
        <w:rPr>
          <w:rFonts w:ascii="Verdana" w:hAnsi="Verdana" w:cstheme="minorHAnsi"/>
          <w:sz w:val="20"/>
          <w:szCs w:val="20"/>
        </w:rPr>
      </w:pPr>
    </w:p>
    <w:p w14:paraId="03C0D7CC" w14:textId="3148B800" w:rsidR="00FA686A" w:rsidRDefault="00FA686A" w:rsidP="00F56254">
      <w:pPr>
        <w:spacing w:line="360" w:lineRule="auto"/>
        <w:jc w:val="both"/>
        <w:rPr>
          <w:rFonts w:ascii="Verdana" w:hAnsi="Verdana" w:cstheme="minorHAnsi"/>
          <w:sz w:val="20"/>
          <w:szCs w:val="20"/>
        </w:rPr>
      </w:pPr>
      <w:r w:rsidRPr="002B3644">
        <w:rPr>
          <w:rFonts w:ascii="Verdana" w:hAnsi="Verdana" w:cstheme="minorHAnsi"/>
          <w:sz w:val="20"/>
          <w:szCs w:val="20"/>
        </w:rPr>
        <w:t>Not: Endeksin hesaplanmasında uluslararası veriler kullanılmaktadır. 2025 yılında yayımlanan endeks</w:t>
      </w:r>
      <w:r w:rsidR="002B3644">
        <w:rPr>
          <w:rFonts w:ascii="Verdana" w:hAnsi="Verdana" w:cstheme="minorHAnsi"/>
          <w:sz w:val="20"/>
          <w:szCs w:val="20"/>
        </w:rPr>
        <w:t>,</w:t>
      </w:r>
      <w:r w:rsidRPr="002B3644">
        <w:rPr>
          <w:rFonts w:ascii="Verdana" w:hAnsi="Verdana" w:cstheme="minorHAnsi"/>
          <w:sz w:val="20"/>
          <w:szCs w:val="20"/>
        </w:rPr>
        <w:t xml:space="preserve"> raporda yer alan 2024 değerleri, 2025 yılı </w:t>
      </w:r>
      <w:r w:rsidR="002B3644">
        <w:rPr>
          <w:rFonts w:ascii="Verdana" w:hAnsi="Verdana" w:cstheme="minorHAnsi"/>
          <w:sz w:val="20"/>
          <w:szCs w:val="20"/>
        </w:rPr>
        <w:t>e</w:t>
      </w:r>
      <w:r w:rsidRPr="002B3644">
        <w:rPr>
          <w:rFonts w:ascii="Verdana" w:hAnsi="Verdana" w:cstheme="minorHAnsi"/>
          <w:sz w:val="20"/>
          <w:szCs w:val="20"/>
        </w:rPr>
        <w:t>ylül ayı itibar</w:t>
      </w:r>
      <w:r w:rsidR="002B3644">
        <w:rPr>
          <w:rFonts w:ascii="Verdana" w:hAnsi="Verdana" w:cstheme="minorHAnsi"/>
          <w:sz w:val="20"/>
          <w:szCs w:val="20"/>
        </w:rPr>
        <w:t>ıyla</w:t>
      </w:r>
      <w:r w:rsidRPr="002B3644">
        <w:rPr>
          <w:rFonts w:ascii="Verdana" w:hAnsi="Verdana" w:cstheme="minorHAnsi"/>
          <w:sz w:val="20"/>
          <w:szCs w:val="20"/>
        </w:rPr>
        <w:t xml:space="preserve"> elde edilebilen en yeni uluslararası veriler ve 2025 yılında yapılan anket sonuçları kullanılarak hesaplanmıştır. </w:t>
      </w:r>
    </w:p>
    <w:p w14:paraId="17B8DAB1" w14:textId="77777777" w:rsidR="00636C70" w:rsidRDefault="00636C70" w:rsidP="00F56254">
      <w:pPr>
        <w:spacing w:line="360" w:lineRule="auto"/>
        <w:jc w:val="both"/>
        <w:rPr>
          <w:rFonts w:ascii="Verdana" w:hAnsi="Verdana" w:cstheme="minorHAnsi"/>
          <w:sz w:val="20"/>
          <w:szCs w:val="20"/>
        </w:rPr>
      </w:pPr>
    </w:p>
    <w:p w14:paraId="00261F5B" w14:textId="77777777" w:rsidR="00636C70" w:rsidRPr="00CB16EA" w:rsidRDefault="00636C70" w:rsidP="00636C70">
      <w:pPr>
        <w:shd w:val="clear" w:color="auto" w:fill="FFFFFF"/>
        <w:spacing w:line="360" w:lineRule="auto"/>
        <w:jc w:val="both"/>
        <w:textAlignment w:val="baseline"/>
        <w:rPr>
          <w:rFonts w:ascii="Verdana" w:hAnsi="Verdana" w:cs="Calibri"/>
          <w:b/>
          <w:bCs/>
          <w:sz w:val="20"/>
          <w:szCs w:val="20"/>
        </w:rPr>
      </w:pPr>
      <w:r w:rsidRPr="00CB16EA">
        <w:rPr>
          <w:rFonts w:ascii="Verdana" w:hAnsi="Verdana" w:cs="Calibri"/>
          <w:b/>
          <w:bCs/>
          <w:sz w:val="20"/>
          <w:szCs w:val="20"/>
        </w:rPr>
        <w:t>İlgili kişi:</w:t>
      </w:r>
    </w:p>
    <w:p w14:paraId="518D878D" w14:textId="77777777" w:rsidR="00636C70" w:rsidRPr="00CB16EA" w:rsidRDefault="00636C70" w:rsidP="00636C70">
      <w:pPr>
        <w:shd w:val="clear" w:color="auto" w:fill="FFFFFF"/>
        <w:spacing w:line="360" w:lineRule="auto"/>
        <w:jc w:val="both"/>
        <w:textAlignment w:val="baseline"/>
        <w:rPr>
          <w:rFonts w:ascii="Verdana" w:hAnsi="Verdana" w:cs="Calibri"/>
          <w:sz w:val="20"/>
          <w:szCs w:val="20"/>
        </w:rPr>
      </w:pPr>
      <w:r w:rsidRPr="00CB16EA">
        <w:rPr>
          <w:rFonts w:ascii="Verdana" w:hAnsi="Verdana" w:cs="Calibri"/>
          <w:sz w:val="20"/>
          <w:szCs w:val="20"/>
        </w:rPr>
        <w:t>Ulaş Dağlıoğlu</w:t>
      </w:r>
    </w:p>
    <w:p w14:paraId="3D960D7B" w14:textId="77777777" w:rsidR="00636C70" w:rsidRPr="00CB16EA" w:rsidRDefault="00636C70" w:rsidP="00636C70">
      <w:pPr>
        <w:shd w:val="clear" w:color="auto" w:fill="FFFFFF"/>
        <w:spacing w:line="360" w:lineRule="auto"/>
        <w:jc w:val="both"/>
        <w:textAlignment w:val="baseline"/>
        <w:rPr>
          <w:rFonts w:ascii="Verdana" w:hAnsi="Verdana" w:cs="Calibri"/>
          <w:sz w:val="20"/>
          <w:szCs w:val="20"/>
        </w:rPr>
      </w:pPr>
      <w:hyperlink r:id="rId9" w:history="1">
        <w:r w:rsidRPr="00CB16EA">
          <w:rPr>
            <w:rFonts w:ascii="Verdana" w:hAnsi="Verdana" w:cs="Calibri"/>
            <w:sz w:val="20"/>
            <w:szCs w:val="20"/>
          </w:rPr>
          <w:t>ulasd@marjinal.com.tr</w:t>
        </w:r>
      </w:hyperlink>
      <w:r w:rsidRPr="00CB16EA">
        <w:rPr>
          <w:rFonts w:ascii="Verdana" w:hAnsi="Verdana" w:cs="Calibri"/>
          <w:sz w:val="20"/>
          <w:szCs w:val="20"/>
        </w:rPr>
        <w:t xml:space="preserve"> </w:t>
      </w:r>
    </w:p>
    <w:p w14:paraId="40900711" w14:textId="77777777" w:rsidR="00636C70" w:rsidRPr="00CB16EA" w:rsidRDefault="00636C70" w:rsidP="00636C70">
      <w:pPr>
        <w:shd w:val="clear" w:color="auto" w:fill="FFFFFF"/>
        <w:spacing w:line="360" w:lineRule="auto"/>
        <w:jc w:val="both"/>
        <w:textAlignment w:val="baseline"/>
        <w:rPr>
          <w:rFonts w:ascii="Verdana" w:hAnsi="Verdana" w:cs="Calibri"/>
          <w:sz w:val="20"/>
          <w:szCs w:val="20"/>
        </w:rPr>
      </w:pPr>
      <w:r w:rsidRPr="00CB16EA">
        <w:rPr>
          <w:rFonts w:ascii="Verdana" w:hAnsi="Verdana" w:cs="Calibri"/>
          <w:sz w:val="20"/>
          <w:szCs w:val="20"/>
        </w:rPr>
        <w:t>0 544 734 52 21</w:t>
      </w:r>
    </w:p>
    <w:p w14:paraId="706BF9C7" w14:textId="77777777" w:rsidR="00636C70" w:rsidRPr="00CB16EA" w:rsidRDefault="00636C70" w:rsidP="00636C70">
      <w:pPr>
        <w:shd w:val="clear" w:color="auto" w:fill="FFFFFF"/>
        <w:spacing w:line="360" w:lineRule="auto"/>
        <w:jc w:val="both"/>
        <w:textAlignment w:val="baseline"/>
        <w:rPr>
          <w:rFonts w:ascii="Verdana" w:hAnsi="Verdana" w:cs="Calibri"/>
          <w:sz w:val="20"/>
          <w:szCs w:val="20"/>
        </w:rPr>
      </w:pPr>
      <w:r w:rsidRPr="00CB16EA">
        <w:rPr>
          <w:rFonts w:ascii="Verdana" w:hAnsi="Verdana" w:cs="Calibri"/>
          <w:color w:val="000000"/>
          <w:sz w:val="20"/>
          <w:szCs w:val="20"/>
        </w:rPr>
        <w:t> </w:t>
      </w:r>
    </w:p>
    <w:p w14:paraId="795A48FE" w14:textId="77777777" w:rsidR="00636C70" w:rsidRPr="00CB16EA" w:rsidRDefault="00636C70" w:rsidP="00636C70">
      <w:pPr>
        <w:shd w:val="clear" w:color="auto" w:fill="FFFFFF"/>
        <w:spacing w:line="360" w:lineRule="auto"/>
        <w:jc w:val="both"/>
        <w:textAlignment w:val="baseline"/>
        <w:rPr>
          <w:rFonts w:ascii="Verdana" w:hAnsi="Verdana" w:cs="Segoe UI"/>
          <w:sz w:val="16"/>
          <w:szCs w:val="16"/>
        </w:rPr>
      </w:pPr>
      <w:r w:rsidRPr="00CB16EA">
        <w:rPr>
          <w:rFonts w:ascii="Verdana" w:hAnsi="Verdana" w:cs="Calibri"/>
          <w:b/>
          <w:bCs/>
          <w:color w:val="000000"/>
          <w:sz w:val="16"/>
          <w:szCs w:val="16"/>
        </w:rPr>
        <w:t>TÜBİSAD hakkında </w:t>
      </w:r>
      <w:r w:rsidRPr="00CB16EA">
        <w:rPr>
          <w:rFonts w:ascii="Verdana" w:hAnsi="Verdana" w:cs="Calibri"/>
          <w:color w:val="000000"/>
          <w:sz w:val="16"/>
          <w:szCs w:val="16"/>
        </w:rPr>
        <w:t> </w:t>
      </w:r>
    </w:p>
    <w:p w14:paraId="17AF224D" w14:textId="5FBA723C" w:rsidR="00636C70" w:rsidRPr="00CB16EA" w:rsidRDefault="00636C70" w:rsidP="00636C70">
      <w:pPr>
        <w:spacing w:line="360" w:lineRule="auto"/>
        <w:jc w:val="both"/>
        <w:textAlignment w:val="baseline"/>
        <w:rPr>
          <w:rFonts w:ascii="Verdana" w:hAnsi="Verdana" w:cs="Calibri"/>
          <w:color w:val="000000"/>
          <w:sz w:val="16"/>
          <w:szCs w:val="16"/>
        </w:rPr>
      </w:pPr>
      <w:r w:rsidRPr="00CB16EA">
        <w:rPr>
          <w:rFonts w:ascii="Verdana" w:hAnsi="Verdana" w:cs="Calibri"/>
          <w:color w:val="000000"/>
          <w:sz w:val="16"/>
          <w:szCs w:val="16"/>
        </w:rPr>
        <w:t xml:space="preserve">1979 yılında kurulan TÜBİSAD (Bilişim Sanayicileri Derneği); hizmet, yazılım, donanım, bulut, dijital altyapı sağlayıcıları gibi bilgi ve iletişim sektörünün bütün alanlarını kapsayan üye şirketleri ile </w:t>
      </w:r>
      <w:r w:rsidR="00383DDD">
        <w:rPr>
          <w:rFonts w:ascii="Verdana" w:hAnsi="Verdana" w:cs="Calibri"/>
          <w:color w:val="000000"/>
          <w:sz w:val="16"/>
          <w:szCs w:val="16"/>
        </w:rPr>
        <w:t>1,2 trilyon</w:t>
      </w:r>
      <w:r w:rsidRPr="00CB16EA">
        <w:rPr>
          <w:rFonts w:ascii="Verdana" w:hAnsi="Verdana" w:cs="Calibri"/>
          <w:color w:val="000000"/>
          <w:sz w:val="16"/>
          <w:szCs w:val="16"/>
        </w:rPr>
        <w:t xml:space="preserve"> TL’lik Türkiye Bilgi ve İletişim Teknolojileri pazarının yüzde 90'ını temsil etmektedir. </w:t>
      </w:r>
    </w:p>
    <w:p w14:paraId="34C39859" w14:textId="77777777" w:rsidR="00636C70" w:rsidRPr="00CB16EA" w:rsidRDefault="00636C70" w:rsidP="00636C70">
      <w:pPr>
        <w:spacing w:line="360" w:lineRule="auto"/>
        <w:jc w:val="both"/>
        <w:textAlignment w:val="baseline"/>
        <w:rPr>
          <w:rFonts w:ascii="Verdana" w:hAnsi="Verdana" w:cs="Segoe UI"/>
          <w:sz w:val="16"/>
          <w:szCs w:val="16"/>
        </w:rPr>
      </w:pPr>
      <w:hyperlink r:id="rId10" w:history="1">
        <w:r w:rsidRPr="00CB16EA">
          <w:rPr>
            <w:rStyle w:val="Kpr"/>
            <w:rFonts w:ascii="Verdana" w:hAnsi="Verdana" w:cs="Calibri"/>
            <w:sz w:val="16"/>
            <w:szCs w:val="16"/>
          </w:rPr>
          <w:t>http://www.tubisad.org.tr/</w:t>
        </w:r>
      </w:hyperlink>
      <w:r w:rsidRPr="00CB16EA">
        <w:rPr>
          <w:rFonts w:ascii="Verdana" w:hAnsi="Verdana" w:cs="Calibri"/>
          <w:color w:val="000000"/>
          <w:sz w:val="16"/>
          <w:szCs w:val="16"/>
        </w:rPr>
        <w:t> </w:t>
      </w:r>
    </w:p>
    <w:p w14:paraId="643A3F51" w14:textId="77777777" w:rsidR="00636C70" w:rsidRPr="00105A6B" w:rsidRDefault="00636C70" w:rsidP="00F56254">
      <w:pPr>
        <w:spacing w:line="360" w:lineRule="auto"/>
        <w:jc w:val="both"/>
        <w:rPr>
          <w:rFonts w:ascii="Verdana" w:hAnsi="Verdana" w:cstheme="minorHAnsi"/>
          <w:sz w:val="20"/>
          <w:szCs w:val="20"/>
        </w:rPr>
      </w:pPr>
    </w:p>
    <w:sectPr w:rsidR="00636C70" w:rsidRPr="00105A6B"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42FE7"/>
    <w:multiLevelType w:val="multilevel"/>
    <w:tmpl w:val="FDD2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D57F2"/>
    <w:multiLevelType w:val="hybridMultilevel"/>
    <w:tmpl w:val="683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347908">
    <w:abstractNumId w:val="1"/>
  </w:num>
  <w:num w:numId="2" w16cid:durableId="146257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56"/>
    <w:rsid w:val="00024D94"/>
    <w:rsid w:val="000418AB"/>
    <w:rsid w:val="00041A40"/>
    <w:rsid w:val="00094707"/>
    <w:rsid w:val="000D6A26"/>
    <w:rsid w:val="000F1915"/>
    <w:rsid w:val="000F3D4D"/>
    <w:rsid w:val="00105A6B"/>
    <w:rsid w:val="00107590"/>
    <w:rsid w:val="00121B10"/>
    <w:rsid w:val="00145ACB"/>
    <w:rsid w:val="001A3297"/>
    <w:rsid w:val="001C54BA"/>
    <w:rsid w:val="001E4604"/>
    <w:rsid w:val="001E5DDD"/>
    <w:rsid w:val="001F279C"/>
    <w:rsid w:val="001F7B75"/>
    <w:rsid w:val="002210B2"/>
    <w:rsid w:val="00255787"/>
    <w:rsid w:val="00262B72"/>
    <w:rsid w:val="002B3644"/>
    <w:rsid w:val="002C6F85"/>
    <w:rsid w:val="002D46F8"/>
    <w:rsid w:val="002F589D"/>
    <w:rsid w:val="003116B1"/>
    <w:rsid w:val="00383DDD"/>
    <w:rsid w:val="00393156"/>
    <w:rsid w:val="003D0B03"/>
    <w:rsid w:val="003D527D"/>
    <w:rsid w:val="003E494B"/>
    <w:rsid w:val="003F1D80"/>
    <w:rsid w:val="0040617C"/>
    <w:rsid w:val="00426237"/>
    <w:rsid w:val="004A7370"/>
    <w:rsid w:val="00515FC9"/>
    <w:rsid w:val="005415BE"/>
    <w:rsid w:val="00547FEB"/>
    <w:rsid w:val="0055429F"/>
    <w:rsid w:val="005A1092"/>
    <w:rsid w:val="005E13C8"/>
    <w:rsid w:val="005E1B45"/>
    <w:rsid w:val="005F0F29"/>
    <w:rsid w:val="00610584"/>
    <w:rsid w:val="006172F3"/>
    <w:rsid w:val="00636C70"/>
    <w:rsid w:val="006762C1"/>
    <w:rsid w:val="0067771F"/>
    <w:rsid w:val="006D5418"/>
    <w:rsid w:val="006F4C1D"/>
    <w:rsid w:val="00726A5F"/>
    <w:rsid w:val="00740F93"/>
    <w:rsid w:val="007466CA"/>
    <w:rsid w:val="00775AD7"/>
    <w:rsid w:val="00785AF7"/>
    <w:rsid w:val="0079150F"/>
    <w:rsid w:val="00797EFD"/>
    <w:rsid w:val="007B0B9A"/>
    <w:rsid w:val="007E6FE5"/>
    <w:rsid w:val="00824487"/>
    <w:rsid w:val="008438A3"/>
    <w:rsid w:val="0084500E"/>
    <w:rsid w:val="008A76D1"/>
    <w:rsid w:val="008B06A9"/>
    <w:rsid w:val="008C132B"/>
    <w:rsid w:val="00976979"/>
    <w:rsid w:val="009971D6"/>
    <w:rsid w:val="009A330A"/>
    <w:rsid w:val="009C10AB"/>
    <w:rsid w:val="009D102F"/>
    <w:rsid w:val="009D32D5"/>
    <w:rsid w:val="009F5A09"/>
    <w:rsid w:val="00A00BBE"/>
    <w:rsid w:val="00A110FC"/>
    <w:rsid w:val="00AD25C1"/>
    <w:rsid w:val="00AE0FE3"/>
    <w:rsid w:val="00AE6526"/>
    <w:rsid w:val="00AE6AF0"/>
    <w:rsid w:val="00B53584"/>
    <w:rsid w:val="00B92613"/>
    <w:rsid w:val="00BB57A1"/>
    <w:rsid w:val="00C04431"/>
    <w:rsid w:val="00C24C65"/>
    <w:rsid w:val="00C351DD"/>
    <w:rsid w:val="00C45D03"/>
    <w:rsid w:val="00C71AE4"/>
    <w:rsid w:val="00C9793A"/>
    <w:rsid w:val="00CF7E64"/>
    <w:rsid w:val="00D1580C"/>
    <w:rsid w:val="00D239BE"/>
    <w:rsid w:val="00D25557"/>
    <w:rsid w:val="00D323A2"/>
    <w:rsid w:val="00D46172"/>
    <w:rsid w:val="00DB692F"/>
    <w:rsid w:val="00DC04B2"/>
    <w:rsid w:val="00E076E3"/>
    <w:rsid w:val="00E14956"/>
    <w:rsid w:val="00EB1BFA"/>
    <w:rsid w:val="00EB3B09"/>
    <w:rsid w:val="00EE3389"/>
    <w:rsid w:val="00F029D1"/>
    <w:rsid w:val="00F4070C"/>
    <w:rsid w:val="00F56254"/>
    <w:rsid w:val="00FA686A"/>
    <w:rsid w:val="00FB3AB2"/>
    <w:rsid w:val="00FE0971"/>
    <w:rsid w:val="019AE6BF"/>
    <w:rsid w:val="0B4686E1"/>
    <w:rsid w:val="1D06DD9B"/>
    <w:rsid w:val="6C09EDC1"/>
    <w:rsid w:val="6DF039C9"/>
    <w:rsid w:val="6F3D3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430D"/>
  <w15:chartTrackingRefBased/>
  <w15:docId w15:val="{C375D4C3-6DDB-AD40-AA15-24FB4376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56"/>
    <w:rPr>
      <w:rFonts w:ascii="Times New Roman" w:eastAsia="Times New Roman" w:hAnsi="Times New Roman" w:cs="Times New Roman"/>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D0B03"/>
    <w:rPr>
      <w:sz w:val="18"/>
      <w:szCs w:val="18"/>
    </w:rPr>
  </w:style>
  <w:style w:type="character" w:customStyle="1" w:styleId="BalonMetniChar">
    <w:name w:val="Balon Metni Char"/>
    <w:basedOn w:val="VarsaylanParagrafYazTipi"/>
    <w:link w:val="BalonMetni"/>
    <w:uiPriority w:val="99"/>
    <w:semiHidden/>
    <w:rsid w:val="003D0B03"/>
    <w:rPr>
      <w:rFonts w:ascii="Times New Roman" w:eastAsia="Times New Roman" w:hAnsi="Times New Roman" w:cs="Times New Roman"/>
      <w:sz w:val="18"/>
      <w:szCs w:val="18"/>
      <w:lang w:eastAsia="en-GB"/>
    </w:rPr>
  </w:style>
  <w:style w:type="character" w:customStyle="1" w:styleId="normaltextrun">
    <w:name w:val="normaltextrun"/>
    <w:basedOn w:val="VarsaylanParagrafYazTipi"/>
    <w:rsid w:val="003D0B03"/>
  </w:style>
  <w:style w:type="character" w:customStyle="1" w:styleId="eop">
    <w:name w:val="eop"/>
    <w:basedOn w:val="VarsaylanParagrafYazTipi"/>
    <w:rsid w:val="003D0B03"/>
  </w:style>
  <w:style w:type="character" w:styleId="AklamaBavurusu">
    <w:name w:val="annotation reference"/>
    <w:basedOn w:val="VarsaylanParagrafYazTipi"/>
    <w:uiPriority w:val="99"/>
    <w:semiHidden/>
    <w:unhideWhenUsed/>
    <w:rsid w:val="003D0B03"/>
    <w:rPr>
      <w:sz w:val="16"/>
      <w:szCs w:val="16"/>
    </w:rPr>
  </w:style>
  <w:style w:type="paragraph" w:styleId="AklamaMetni">
    <w:name w:val="annotation text"/>
    <w:basedOn w:val="Normal"/>
    <w:link w:val="AklamaMetniChar"/>
    <w:uiPriority w:val="99"/>
    <w:semiHidden/>
    <w:unhideWhenUsed/>
    <w:rsid w:val="003D0B03"/>
    <w:rPr>
      <w:sz w:val="20"/>
      <w:szCs w:val="20"/>
    </w:rPr>
  </w:style>
  <w:style w:type="character" w:customStyle="1" w:styleId="AklamaMetniChar">
    <w:name w:val="Açıklama Metni Char"/>
    <w:basedOn w:val="VarsaylanParagrafYazTipi"/>
    <w:link w:val="AklamaMetni"/>
    <w:uiPriority w:val="99"/>
    <w:semiHidden/>
    <w:rsid w:val="003D0B03"/>
    <w:rPr>
      <w:rFonts w:ascii="Times New Roman" w:eastAsia="Times New Roman" w:hAnsi="Times New Roman" w:cs="Times New Roman"/>
      <w:sz w:val="20"/>
      <w:szCs w:val="20"/>
      <w:lang w:eastAsia="en-GB"/>
    </w:rPr>
  </w:style>
  <w:style w:type="paragraph" w:styleId="AklamaKonusu">
    <w:name w:val="annotation subject"/>
    <w:basedOn w:val="AklamaMetni"/>
    <w:next w:val="AklamaMetni"/>
    <w:link w:val="AklamaKonusuChar"/>
    <w:uiPriority w:val="99"/>
    <w:semiHidden/>
    <w:unhideWhenUsed/>
    <w:rsid w:val="003D0B03"/>
    <w:rPr>
      <w:b/>
      <w:bCs/>
    </w:rPr>
  </w:style>
  <w:style w:type="character" w:customStyle="1" w:styleId="AklamaKonusuChar">
    <w:name w:val="Açıklama Konusu Char"/>
    <w:basedOn w:val="AklamaMetniChar"/>
    <w:link w:val="AklamaKonusu"/>
    <w:uiPriority w:val="99"/>
    <w:semiHidden/>
    <w:rsid w:val="003D0B03"/>
    <w:rPr>
      <w:rFonts w:ascii="Times New Roman" w:eastAsia="Times New Roman" w:hAnsi="Times New Roman" w:cs="Times New Roman"/>
      <w:b/>
      <w:bCs/>
      <w:sz w:val="20"/>
      <w:szCs w:val="20"/>
      <w:lang w:eastAsia="en-GB"/>
    </w:rPr>
  </w:style>
  <w:style w:type="paragraph" w:styleId="ListeParagraf">
    <w:name w:val="List Paragraph"/>
    <w:basedOn w:val="Normal"/>
    <w:uiPriority w:val="34"/>
    <w:qFormat/>
    <w:rsid w:val="003D0B03"/>
    <w:pPr>
      <w:ind w:left="720"/>
      <w:contextualSpacing/>
    </w:pPr>
  </w:style>
  <w:style w:type="paragraph" w:customStyle="1" w:styleId="paragraph">
    <w:name w:val="paragraph"/>
    <w:basedOn w:val="Normal"/>
    <w:rsid w:val="00F56254"/>
    <w:pPr>
      <w:spacing w:before="100" w:beforeAutospacing="1" w:after="100" w:afterAutospacing="1"/>
    </w:pPr>
  </w:style>
  <w:style w:type="character" w:styleId="Kpr">
    <w:name w:val="Hyperlink"/>
    <w:basedOn w:val="VarsaylanParagrafYazTipi"/>
    <w:uiPriority w:val="99"/>
    <w:unhideWhenUsed/>
    <w:rPr>
      <w:color w:val="0563C1" w:themeColor="hyperlink"/>
      <w:u w:val="single"/>
    </w:rPr>
  </w:style>
  <w:style w:type="paragraph" w:styleId="Dzeltme">
    <w:name w:val="Revision"/>
    <w:hidden/>
    <w:uiPriority w:val="99"/>
    <w:semiHidden/>
    <w:rsid w:val="006762C1"/>
    <w:rPr>
      <w:rFonts w:ascii="Times New Roman" w:eastAsia="Times New Roman" w:hAnsi="Times New Roman" w:cs="Times New Roman"/>
      <w:lang w:eastAsia="en-GB"/>
    </w:rPr>
  </w:style>
  <w:style w:type="character" w:customStyle="1" w:styleId="apple-converted-space">
    <w:name w:val="apple-converted-space"/>
    <w:basedOn w:val="VarsaylanParagrafYazTipi"/>
    <w:rsid w:val="00FA6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232">
      <w:bodyDiv w:val="1"/>
      <w:marLeft w:val="0"/>
      <w:marRight w:val="0"/>
      <w:marTop w:val="0"/>
      <w:marBottom w:val="0"/>
      <w:divBdr>
        <w:top w:val="none" w:sz="0" w:space="0" w:color="auto"/>
        <w:left w:val="none" w:sz="0" w:space="0" w:color="auto"/>
        <w:bottom w:val="none" w:sz="0" w:space="0" w:color="auto"/>
        <w:right w:val="none" w:sz="0" w:space="0" w:color="auto"/>
      </w:divBdr>
    </w:div>
    <w:div w:id="890073812">
      <w:bodyDiv w:val="1"/>
      <w:marLeft w:val="0"/>
      <w:marRight w:val="0"/>
      <w:marTop w:val="0"/>
      <w:marBottom w:val="0"/>
      <w:divBdr>
        <w:top w:val="none" w:sz="0" w:space="0" w:color="auto"/>
        <w:left w:val="none" w:sz="0" w:space="0" w:color="auto"/>
        <w:bottom w:val="none" w:sz="0" w:space="0" w:color="auto"/>
        <w:right w:val="none" w:sz="0" w:space="0" w:color="auto"/>
      </w:divBdr>
      <w:divsChild>
        <w:div w:id="2093158181">
          <w:marLeft w:val="0"/>
          <w:marRight w:val="0"/>
          <w:marTop w:val="0"/>
          <w:marBottom w:val="0"/>
          <w:divBdr>
            <w:top w:val="none" w:sz="0" w:space="0" w:color="auto"/>
            <w:left w:val="none" w:sz="0" w:space="0" w:color="auto"/>
            <w:bottom w:val="none" w:sz="0" w:space="0" w:color="auto"/>
            <w:right w:val="none" w:sz="0" w:space="0" w:color="auto"/>
          </w:divBdr>
        </w:div>
        <w:div w:id="266817437">
          <w:marLeft w:val="0"/>
          <w:marRight w:val="0"/>
          <w:marTop w:val="0"/>
          <w:marBottom w:val="0"/>
          <w:divBdr>
            <w:top w:val="none" w:sz="0" w:space="0" w:color="auto"/>
            <w:left w:val="none" w:sz="0" w:space="0" w:color="auto"/>
            <w:bottom w:val="none" w:sz="0" w:space="0" w:color="auto"/>
            <w:right w:val="none" w:sz="0" w:space="0" w:color="auto"/>
          </w:divBdr>
        </w:div>
        <w:div w:id="1477453017">
          <w:marLeft w:val="0"/>
          <w:marRight w:val="0"/>
          <w:marTop w:val="0"/>
          <w:marBottom w:val="0"/>
          <w:divBdr>
            <w:top w:val="none" w:sz="0" w:space="0" w:color="auto"/>
            <w:left w:val="none" w:sz="0" w:space="0" w:color="auto"/>
            <w:bottom w:val="none" w:sz="0" w:space="0" w:color="auto"/>
            <w:right w:val="none" w:sz="0" w:space="0" w:color="auto"/>
          </w:divBdr>
        </w:div>
        <w:div w:id="822508210">
          <w:marLeft w:val="0"/>
          <w:marRight w:val="0"/>
          <w:marTop w:val="0"/>
          <w:marBottom w:val="0"/>
          <w:divBdr>
            <w:top w:val="none" w:sz="0" w:space="0" w:color="auto"/>
            <w:left w:val="none" w:sz="0" w:space="0" w:color="auto"/>
            <w:bottom w:val="none" w:sz="0" w:space="0" w:color="auto"/>
            <w:right w:val="none" w:sz="0" w:space="0" w:color="auto"/>
          </w:divBdr>
        </w:div>
        <w:div w:id="618610611">
          <w:marLeft w:val="0"/>
          <w:marRight w:val="0"/>
          <w:marTop w:val="0"/>
          <w:marBottom w:val="0"/>
          <w:divBdr>
            <w:top w:val="none" w:sz="0" w:space="0" w:color="auto"/>
            <w:left w:val="none" w:sz="0" w:space="0" w:color="auto"/>
            <w:bottom w:val="none" w:sz="0" w:space="0" w:color="auto"/>
            <w:right w:val="none" w:sz="0" w:space="0" w:color="auto"/>
          </w:divBdr>
        </w:div>
        <w:div w:id="1667321369">
          <w:marLeft w:val="0"/>
          <w:marRight w:val="0"/>
          <w:marTop w:val="0"/>
          <w:marBottom w:val="0"/>
          <w:divBdr>
            <w:top w:val="none" w:sz="0" w:space="0" w:color="auto"/>
            <w:left w:val="none" w:sz="0" w:space="0" w:color="auto"/>
            <w:bottom w:val="none" w:sz="0" w:space="0" w:color="auto"/>
            <w:right w:val="none" w:sz="0" w:space="0" w:color="auto"/>
          </w:divBdr>
        </w:div>
        <w:div w:id="913004381">
          <w:marLeft w:val="0"/>
          <w:marRight w:val="0"/>
          <w:marTop w:val="0"/>
          <w:marBottom w:val="0"/>
          <w:divBdr>
            <w:top w:val="none" w:sz="0" w:space="0" w:color="auto"/>
            <w:left w:val="none" w:sz="0" w:space="0" w:color="auto"/>
            <w:bottom w:val="none" w:sz="0" w:space="0" w:color="auto"/>
            <w:right w:val="none" w:sz="0" w:space="0" w:color="auto"/>
          </w:divBdr>
        </w:div>
      </w:divsChild>
    </w:div>
    <w:div w:id="954365052">
      <w:bodyDiv w:val="1"/>
      <w:marLeft w:val="0"/>
      <w:marRight w:val="0"/>
      <w:marTop w:val="0"/>
      <w:marBottom w:val="0"/>
      <w:divBdr>
        <w:top w:val="none" w:sz="0" w:space="0" w:color="auto"/>
        <w:left w:val="none" w:sz="0" w:space="0" w:color="auto"/>
        <w:bottom w:val="none" w:sz="0" w:space="0" w:color="auto"/>
        <w:right w:val="none" w:sz="0" w:space="0" w:color="auto"/>
      </w:divBdr>
    </w:div>
    <w:div w:id="976030892">
      <w:bodyDiv w:val="1"/>
      <w:marLeft w:val="0"/>
      <w:marRight w:val="0"/>
      <w:marTop w:val="0"/>
      <w:marBottom w:val="0"/>
      <w:divBdr>
        <w:top w:val="none" w:sz="0" w:space="0" w:color="auto"/>
        <w:left w:val="none" w:sz="0" w:space="0" w:color="auto"/>
        <w:bottom w:val="none" w:sz="0" w:space="0" w:color="auto"/>
        <w:right w:val="none" w:sz="0" w:space="0" w:color="auto"/>
      </w:divBdr>
    </w:div>
    <w:div w:id="1550150131">
      <w:bodyDiv w:val="1"/>
      <w:marLeft w:val="0"/>
      <w:marRight w:val="0"/>
      <w:marTop w:val="0"/>
      <w:marBottom w:val="0"/>
      <w:divBdr>
        <w:top w:val="none" w:sz="0" w:space="0" w:color="auto"/>
        <w:left w:val="none" w:sz="0" w:space="0" w:color="auto"/>
        <w:bottom w:val="none" w:sz="0" w:space="0" w:color="auto"/>
        <w:right w:val="none" w:sz="0" w:space="0" w:color="auto"/>
      </w:divBdr>
    </w:div>
    <w:div w:id="1676029955">
      <w:bodyDiv w:val="1"/>
      <w:marLeft w:val="0"/>
      <w:marRight w:val="0"/>
      <w:marTop w:val="0"/>
      <w:marBottom w:val="0"/>
      <w:divBdr>
        <w:top w:val="none" w:sz="0" w:space="0" w:color="auto"/>
        <w:left w:val="none" w:sz="0" w:space="0" w:color="auto"/>
        <w:bottom w:val="none" w:sz="0" w:space="0" w:color="auto"/>
        <w:right w:val="none" w:sz="0" w:space="0" w:color="auto"/>
      </w:divBdr>
    </w:div>
    <w:div w:id="1777018688">
      <w:bodyDiv w:val="1"/>
      <w:marLeft w:val="0"/>
      <w:marRight w:val="0"/>
      <w:marTop w:val="0"/>
      <w:marBottom w:val="0"/>
      <w:divBdr>
        <w:top w:val="none" w:sz="0" w:space="0" w:color="auto"/>
        <w:left w:val="none" w:sz="0" w:space="0" w:color="auto"/>
        <w:bottom w:val="none" w:sz="0" w:space="0" w:color="auto"/>
        <w:right w:val="none" w:sz="0" w:space="0" w:color="auto"/>
      </w:divBdr>
    </w:div>
    <w:div w:id="19664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tubisad.org.tr/" TargetMode="External"/><Relationship Id="rId4" Type="http://schemas.openxmlformats.org/officeDocument/2006/relationships/customXml" Target="../customXml/item4.xml"/><Relationship Id="rId9" Type="http://schemas.openxmlformats.org/officeDocument/2006/relationships/hyperlink" Target="mailto:ulasd@marjinal.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96A05A6AA87F343A7BCE7AEEFFE0879" ma:contentTypeVersion="19" ma:contentTypeDescription="Yeni belge oluşturun." ma:contentTypeScope="" ma:versionID="1489c47fb13d997ad05a79129c1284ad">
  <xsd:schema xmlns:xsd="http://www.w3.org/2001/XMLSchema" xmlns:xs="http://www.w3.org/2001/XMLSchema" xmlns:p="http://schemas.microsoft.com/office/2006/metadata/properties" xmlns:ns2="0e60b317-3b9c-40d4-b89a-92f72c82d463" xmlns:ns3="bfd9b272-73ef-469e-8749-f839dd8eb284" targetNamespace="http://schemas.microsoft.com/office/2006/metadata/properties" ma:root="true" ma:fieldsID="c07ca8b5d8f8980f972ec547638e70ee" ns2:_="" ns3:_="">
    <xsd:import namespace="0e60b317-3b9c-40d4-b89a-92f72c82d463"/>
    <xsd:import namespace="bfd9b272-73ef-469e-8749-f839dd8eb2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0b317-3b9c-40d4-b89a-92f72c82d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81c30c60-6e17-42aa-8e9b-6eab8e177d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9b272-73ef-469e-8749-f839dd8eb284" elementFormDefault="qualified">
    <xsd:import namespace="http://schemas.microsoft.com/office/2006/documentManagement/types"/>
    <xsd:import namespace="http://schemas.microsoft.com/office/infopath/2007/PartnerControls"/>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b71dcc01-072a-4bc1-8081-f1d0c14a9648}" ma:internalName="TaxCatchAll" ma:showField="CatchAllData" ma:web="bfd9b272-73ef-469e-8749-f839dd8eb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0b317-3b9c-40d4-b89a-92f72c82d463">
      <Terms xmlns="http://schemas.microsoft.com/office/infopath/2007/PartnerControls"/>
    </lcf76f155ced4ddcb4097134ff3c332f>
    <TaxCatchAll xmlns="bfd9b272-73ef-469e-8749-f839dd8eb2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A06F4-739C-664C-B3B2-AEAD5F0CA84F}">
  <ds:schemaRefs>
    <ds:schemaRef ds:uri="http://schemas.openxmlformats.org/officeDocument/2006/bibliography"/>
  </ds:schemaRefs>
</ds:datastoreItem>
</file>

<file path=customXml/itemProps2.xml><?xml version="1.0" encoding="utf-8"?>
<ds:datastoreItem xmlns:ds="http://schemas.openxmlformats.org/officeDocument/2006/customXml" ds:itemID="{F461313E-D74D-4791-8C75-93524AE65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0b317-3b9c-40d4-b89a-92f72c82d463"/>
    <ds:schemaRef ds:uri="bfd9b272-73ef-469e-8749-f839dd8eb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4CE5A-CF7F-4E80-A5F9-C30CE905154E}">
  <ds:schemaRefs>
    <ds:schemaRef ds:uri="http://schemas.microsoft.com/office/2006/metadata/properties"/>
    <ds:schemaRef ds:uri="http://schemas.microsoft.com/office/infopath/2007/PartnerControls"/>
    <ds:schemaRef ds:uri="0e60b317-3b9c-40d4-b89a-92f72c82d463"/>
    <ds:schemaRef ds:uri="bfd9b272-73ef-469e-8749-f839dd8eb284"/>
  </ds:schemaRefs>
</ds:datastoreItem>
</file>

<file path=customXml/itemProps4.xml><?xml version="1.0" encoding="utf-8"?>
<ds:datastoreItem xmlns:ds="http://schemas.openxmlformats.org/officeDocument/2006/customXml" ds:itemID="{2FE445E4-8F05-480D-B953-8D7388113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Ulaş Dağlıoğlu</cp:lastModifiedBy>
  <cp:revision>5</cp:revision>
  <dcterms:created xsi:type="dcterms:W3CDTF">2025-12-25T09:48:00Z</dcterms:created>
  <dcterms:modified xsi:type="dcterms:W3CDTF">2025-12-25T10:13:00Z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0x010100496A05A6AA87F343A7BCE7AEEFFE0879</vt:lpwstr>
  </property>
  <property fmtid="{D5CDD505-2E9C-101B-9397-08002B2CF9AE}" pid="3" name="MediaServiceImageTags">
    <vt:lpwstr/>
  </property>
</Properties>
</file>