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6AB4D" w14:textId="77777777" w:rsidR="007163B3" w:rsidRPr="00663546" w:rsidRDefault="007163B3" w:rsidP="00663546">
      <w:pPr>
        <w:widowControl w:val="0"/>
        <w:spacing w:line="360" w:lineRule="auto"/>
        <w:jc w:val="both"/>
        <w:rPr>
          <w:rFonts w:ascii="Verdana" w:hAnsi="Verdana"/>
          <w:b/>
          <w:sz w:val="32"/>
          <w:szCs w:val="32"/>
          <w:u w:val="single"/>
          <w:lang w:val="tr-TR"/>
        </w:rPr>
      </w:pPr>
      <w:r w:rsidRPr="00663546">
        <w:rPr>
          <w:rFonts w:ascii="Verdana" w:hAnsi="Verdana"/>
          <w:b/>
          <w:sz w:val="32"/>
          <w:szCs w:val="32"/>
          <w:u w:val="single"/>
          <w:lang w:val="tr-TR"/>
        </w:rPr>
        <w:t>BASIN BÜLTENİ</w:t>
      </w:r>
    </w:p>
    <w:p w14:paraId="3686703B" w14:textId="77777777" w:rsidR="007163B3" w:rsidRPr="00663546" w:rsidRDefault="007163B3" w:rsidP="00663546">
      <w:pPr>
        <w:widowControl w:val="0"/>
        <w:spacing w:line="360" w:lineRule="auto"/>
        <w:jc w:val="both"/>
        <w:rPr>
          <w:rFonts w:ascii="Verdana" w:hAnsi="Verdana"/>
          <w:b/>
          <w:sz w:val="28"/>
          <w:szCs w:val="28"/>
          <w:u w:val="single"/>
          <w:lang w:val="tr-TR"/>
        </w:rPr>
      </w:pPr>
    </w:p>
    <w:p w14:paraId="5E8C574E" w14:textId="77777777" w:rsidR="007163B3" w:rsidRPr="00663546" w:rsidRDefault="007163B3" w:rsidP="00663546">
      <w:pPr>
        <w:widowControl w:val="0"/>
        <w:spacing w:line="360" w:lineRule="auto"/>
        <w:jc w:val="center"/>
        <w:rPr>
          <w:rFonts w:ascii="Verdana" w:hAnsi="Verdana"/>
          <w:b/>
          <w:sz w:val="28"/>
          <w:szCs w:val="28"/>
          <w:lang w:val="tr-TR"/>
        </w:rPr>
      </w:pPr>
      <w:bookmarkStart w:id="0" w:name="_GoBack"/>
      <w:r w:rsidRPr="00663546">
        <w:rPr>
          <w:rFonts w:ascii="Verdana" w:hAnsi="Verdana"/>
          <w:b/>
          <w:sz w:val="28"/>
          <w:szCs w:val="28"/>
          <w:lang w:val="tr-TR"/>
        </w:rPr>
        <w:t>Teknoloji sektörü liderleri, Açık Kaynak lisanslarında öngörülebilirliği artırmak için güçlerini birleştiriyor</w:t>
      </w:r>
    </w:p>
    <w:p w14:paraId="48FE3D4D" w14:textId="77777777" w:rsidR="00663546" w:rsidRDefault="00663546" w:rsidP="00663546">
      <w:pPr>
        <w:widowControl w:val="0"/>
        <w:spacing w:line="360" w:lineRule="auto"/>
        <w:jc w:val="center"/>
        <w:rPr>
          <w:rFonts w:ascii="Verdana" w:hAnsi="Verdana"/>
          <w:b/>
          <w:sz w:val="24"/>
          <w:szCs w:val="24"/>
          <w:lang w:val="tr-TR"/>
        </w:rPr>
      </w:pPr>
    </w:p>
    <w:p w14:paraId="5C829760" w14:textId="77777777" w:rsidR="007163B3" w:rsidRPr="00663546" w:rsidRDefault="007163B3" w:rsidP="00663546">
      <w:pPr>
        <w:widowControl w:val="0"/>
        <w:spacing w:line="360" w:lineRule="auto"/>
        <w:jc w:val="center"/>
        <w:rPr>
          <w:rFonts w:ascii="Verdana" w:hAnsi="Verdana"/>
          <w:b/>
          <w:sz w:val="24"/>
          <w:szCs w:val="24"/>
          <w:lang w:val="tr-TR"/>
        </w:rPr>
      </w:pPr>
      <w:r w:rsidRPr="00663546">
        <w:rPr>
          <w:rFonts w:ascii="Verdana" w:hAnsi="Verdana"/>
          <w:b/>
          <w:sz w:val="24"/>
          <w:szCs w:val="24"/>
          <w:lang w:val="tr-TR"/>
        </w:rPr>
        <w:t xml:space="preserve">Red Hat, Facebook, Google, IBM </w:t>
      </w:r>
      <w:r w:rsidR="00663546" w:rsidRPr="00663546">
        <w:rPr>
          <w:rFonts w:ascii="Verdana" w:hAnsi="Verdana"/>
          <w:b/>
          <w:sz w:val="24"/>
          <w:szCs w:val="24"/>
          <w:lang w:val="tr-TR"/>
        </w:rPr>
        <w:t>ve</w:t>
      </w:r>
      <w:r w:rsidRPr="00663546">
        <w:rPr>
          <w:rFonts w:ascii="Verdana" w:hAnsi="Verdana"/>
          <w:b/>
          <w:sz w:val="24"/>
          <w:szCs w:val="24"/>
          <w:lang w:val="tr-TR"/>
        </w:rPr>
        <w:t xml:space="preserve"> Intel; GPLv2 yazılımının lisans uyum sorunlarını düzeltmek için adil bir iyileştirme dönemi sağlama konusunda taahhüt verdiler.</w:t>
      </w:r>
    </w:p>
    <w:p w14:paraId="18F62701" w14:textId="77777777" w:rsidR="007163B3" w:rsidRPr="00663546" w:rsidRDefault="007163B3" w:rsidP="00663546">
      <w:pPr>
        <w:widowControl w:val="0"/>
        <w:spacing w:line="360" w:lineRule="auto"/>
        <w:jc w:val="both"/>
        <w:rPr>
          <w:rFonts w:ascii="Verdana" w:hAnsi="Verdana"/>
          <w:b/>
          <w:sz w:val="24"/>
          <w:szCs w:val="24"/>
          <w:lang w:val="tr-TR"/>
        </w:rPr>
      </w:pPr>
    </w:p>
    <w:p w14:paraId="3642FEC5" w14:textId="016721BF" w:rsidR="00663546" w:rsidRPr="00663546" w:rsidRDefault="007163B3" w:rsidP="00663546">
      <w:pPr>
        <w:widowControl w:val="0"/>
        <w:spacing w:line="360" w:lineRule="auto"/>
        <w:jc w:val="both"/>
        <w:rPr>
          <w:rFonts w:ascii="Verdana" w:hAnsi="Verdana"/>
          <w:sz w:val="20"/>
          <w:szCs w:val="20"/>
          <w:lang w:val="tr-TR"/>
        </w:rPr>
      </w:pPr>
      <w:bookmarkStart w:id="1" w:name="_gjdgxs" w:colFirst="0" w:colLast="0"/>
      <w:bookmarkEnd w:id="1"/>
      <w:r w:rsidRPr="00663546">
        <w:rPr>
          <w:rFonts w:ascii="Verdana" w:hAnsi="Verdana"/>
          <w:sz w:val="20"/>
          <w:szCs w:val="20"/>
          <w:lang w:val="tr-TR"/>
        </w:rPr>
        <w:t xml:space="preserve">Red Hat, Inc. (NYSE: RHT), Facebook, Inc. (NASDAQ: FB), Google (NASDAQ: GOOGL), IBM (NYSE: IBM) </w:t>
      </w:r>
      <w:r w:rsidR="00663546" w:rsidRPr="00663546">
        <w:rPr>
          <w:rFonts w:ascii="Verdana" w:hAnsi="Verdana"/>
          <w:sz w:val="20"/>
          <w:szCs w:val="20"/>
          <w:lang w:val="tr-TR"/>
        </w:rPr>
        <w:t>ve</w:t>
      </w:r>
      <w:r w:rsidRPr="00663546">
        <w:rPr>
          <w:rFonts w:ascii="Verdana" w:hAnsi="Verdana"/>
          <w:sz w:val="20"/>
          <w:szCs w:val="20"/>
          <w:lang w:val="tr-TR"/>
        </w:rPr>
        <w:t xml:space="preserve"> Intel Corporation </w:t>
      </w:r>
      <w:r w:rsidR="00EE5FCE">
        <w:rPr>
          <w:rFonts w:ascii="Verdana" w:hAnsi="Verdana"/>
          <w:sz w:val="20"/>
          <w:szCs w:val="20"/>
          <w:lang w:val="tr-TR"/>
        </w:rPr>
        <w:t xml:space="preserve">geçtiğimiz günlerde, </w:t>
      </w:r>
      <w:r w:rsidR="00663546" w:rsidRPr="00663546">
        <w:rPr>
          <w:rFonts w:ascii="Verdana" w:hAnsi="Verdana"/>
          <w:sz w:val="20"/>
          <w:szCs w:val="20"/>
          <w:lang w:val="tr-TR"/>
        </w:rPr>
        <w:t xml:space="preserve">açık kaynak lisans uyum hatalarını ve yanlışlarını düzeltmek için genişletilmiş ilave haklarla ilgili taahhüt vererek güçlerini birleştirdiklerini duyurdu. Böylece açık kaynak lisanslamalarında öngörülebilirlik daha da artacak. </w:t>
      </w:r>
    </w:p>
    <w:p w14:paraId="4334A841" w14:textId="77777777" w:rsidR="007163B3" w:rsidRDefault="007163B3" w:rsidP="00663546">
      <w:pPr>
        <w:widowControl w:val="0"/>
        <w:spacing w:line="360" w:lineRule="auto"/>
        <w:jc w:val="both"/>
        <w:rPr>
          <w:rFonts w:ascii="Verdana" w:hAnsi="Verdana"/>
          <w:sz w:val="20"/>
          <w:szCs w:val="20"/>
          <w:lang w:val="tr-TR"/>
        </w:rPr>
      </w:pPr>
    </w:p>
    <w:p w14:paraId="5627938A" w14:textId="77777777" w:rsidR="007163B3" w:rsidRPr="00663546" w:rsidRDefault="00575C65" w:rsidP="00663546">
      <w:pPr>
        <w:widowControl w:val="0"/>
        <w:spacing w:line="360" w:lineRule="auto"/>
        <w:jc w:val="both"/>
        <w:rPr>
          <w:rFonts w:ascii="Verdana" w:hAnsi="Verdana"/>
          <w:sz w:val="20"/>
          <w:szCs w:val="20"/>
          <w:lang w:val="tr-TR"/>
        </w:rPr>
      </w:pPr>
      <w:r>
        <w:rPr>
          <w:rFonts w:ascii="Verdana" w:hAnsi="Verdana"/>
          <w:sz w:val="20"/>
          <w:szCs w:val="20"/>
          <w:lang w:val="tr-TR"/>
        </w:rPr>
        <w:t xml:space="preserve">GNU Genel Kamu Lisansı (GPL) ve GNU Kısıtlı Genel Kamu Lisansı, Linux ekosisteminin kritik bir parçası olan açık kaynak yazılım lisanslarının en yaygın kullanılanları arasında yer alıyor. GPL Versiyon 3 (GPLv3) çıktığında, kullanıcılara lisans uyumundaki hataları iyileştirmek için fırsatlar </w:t>
      </w:r>
      <w:r w:rsidRPr="00EE5FCE">
        <w:rPr>
          <w:rFonts w:ascii="Verdana" w:hAnsi="Verdana"/>
          <w:sz w:val="20"/>
          <w:szCs w:val="20"/>
          <w:lang w:val="tr-TR"/>
        </w:rPr>
        <w:t xml:space="preserve">sunan açık fesih yaklaşımıyla birlikte piyasaya sürüldü. </w:t>
      </w:r>
      <w:r w:rsidR="00E820DE" w:rsidRPr="00EE5FCE">
        <w:rPr>
          <w:rFonts w:ascii="Verdana" w:hAnsi="Verdana"/>
          <w:sz w:val="20"/>
          <w:szCs w:val="20"/>
          <w:lang w:val="tr-TR"/>
        </w:rPr>
        <w:t>GPLv3’teki bu açık fesih politikası, genellikle elde olmayan</w:t>
      </w:r>
      <w:r w:rsidR="00E820DE">
        <w:rPr>
          <w:rFonts w:ascii="Verdana" w:hAnsi="Verdana"/>
          <w:sz w:val="20"/>
          <w:szCs w:val="20"/>
          <w:lang w:val="tr-TR"/>
        </w:rPr>
        <w:t xml:space="preserve"> nedenlerle yapılan hata ve yanlışlara karşı daha makul bir yaklaşımı mümkün kılıyor. Bu yaklaşım, topluluk normlarına paralel bir lisans uyum uygulamasını devreye sokuyor. </w:t>
      </w:r>
    </w:p>
    <w:p w14:paraId="4753EB60" w14:textId="77777777" w:rsidR="00E820DE" w:rsidRDefault="00E820DE" w:rsidP="00663546">
      <w:pPr>
        <w:widowControl w:val="0"/>
        <w:spacing w:line="360" w:lineRule="auto"/>
        <w:jc w:val="both"/>
        <w:rPr>
          <w:rFonts w:ascii="Verdana" w:hAnsi="Verdana"/>
          <w:sz w:val="20"/>
          <w:szCs w:val="20"/>
          <w:lang w:val="tr-TR"/>
        </w:rPr>
      </w:pPr>
    </w:p>
    <w:p w14:paraId="79799E55" w14:textId="77777777" w:rsidR="007163B3" w:rsidRDefault="007163B3" w:rsidP="00663546">
      <w:pPr>
        <w:widowControl w:val="0"/>
        <w:spacing w:line="360" w:lineRule="auto"/>
        <w:jc w:val="both"/>
        <w:rPr>
          <w:rFonts w:ascii="Verdana" w:hAnsi="Verdana"/>
          <w:sz w:val="20"/>
          <w:szCs w:val="20"/>
          <w:lang w:val="tr-TR"/>
        </w:rPr>
      </w:pPr>
      <w:r w:rsidRPr="00663546">
        <w:rPr>
          <w:rFonts w:ascii="Verdana" w:hAnsi="Verdana"/>
          <w:sz w:val="20"/>
          <w:szCs w:val="20"/>
          <w:lang w:val="tr-TR"/>
        </w:rPr>
        <w:t xml:space="preserve">Açık kaynak </w:t>
      </w:r>
      <w:r w:rsidR="00663546" w:rsidRPr="00663546">
        <w:rPr>
          <w:rFonts w:ascii="Verdana" w:hAnsi="Verdana"/>
          <w:sz w:val="20"/>
          <w:szCs w:val="20"/>
          <w:lang w:val="tr-TR"/>
        </w:rPr>
        <w:t xml:space="preserve">yazılımı </w:t>
      </w:r>
      <w:r w:rsidRPr="00663546">
        <w:rPr>
          <w:rFonts w:ascii="Verdana" w:hAnsi="Verdana"/>
          <w:sz w:val="20"/>
          <w:szCs w:val="20"/>
          <w:lang w:val="tr-TR"/>
        </w:rPr>
        <w:t>kullanıcılarının</w:t>
      </w:r>
      <w:r w:rsidR="00663546" w:rsidRPr="00663546">
        <w:rPr>
          <w:rFonts w:ascii="Verdana" w:hAnsi="Verdana"/>
          <w:sz w:val="20"/>
          <w:szCs w:val="20"/>
          <w:lang w:val="tr-TR"/>
        </w:rPr>
        <w:t xml:space="preserve"> nerede, neyi, ne kadar yapabileceklerini rahatça görmelerini sağlamak için bir araya gelen Red Hat, Facebook, Google, IBM ve Intel; lisans uyum hatalarına yönelik GPLv3 yaklaşımının kapsamını, her şirketin GPLv2 ve LGPLv2.1 ve v2 lisansladığı yazı</w:t>
      </w:r>
      <w:r w:rsidR="00663546">
        <w:rPr>
          <w:rFonts w:ascii="Verdana" w:hAnsi="Verdana"/>
          <w:sz w:val="20"/>
          <w:szCs w:val="20"/>
          <w:lang w:val="tr-TR"/>
        </w:rPr>
        <w:t>lım kodunu içine alacak şekilde</w:t>
      </w:r>
      <w:r w:rsidR="00663546" w:rsidRPr="00663546">
        <w:rPr>
          <w:rFonts w:ascii="Verdana" w:hAnsi="Verdana"/>
          <w:sz w:val="20"/>
          <w:szCs w:val="20"/>
          <w:lang w:val="tr-TR"/>
        </w:rPr>
        <w:t xml:space="preserve"> genişletme taahhüdü verdiler. </w:t>
      </w:r>
      <w:r w:rsidR="00F43C1E">
        <w:rPr>
          <w:rFonts w:ascii="Verdana" w:hAnsi="Verdana"/>
          <w:sz w:val="20"/>
          <w:szCs w:val="20"/>
          <w:lang w:val="tr-TR"/>
        </w:rPr>
        <w:t>Konuyla ilgili yetkililerin görüşleri şöyle:</w:t>
      </w:r>
    </w:p>
    <w:p w14:paraId="49BC28A0" w14:textId="77777777" w:rsidR="00F43C1E" w:rsidRPr="00663546" w:rsidRDefault="00F43C1E" w:rsidP="00663546">
      <w:pPr>
        <w:widowControl w:val="0"/>
        <w:spacing w:line="360" w:lineRule="auto"/>
        <w:jc w:val="both"/>
        <w:rPr>
          <w:rFonts w:ascii="Verdana" w:hAnsi="Verdana"/>
          <w:sz w:val="20"/>
          <w:szCs w:val="20"/>
          <w:lang w:val="tr-TR"/>
        </w:rPr>
      </w:pPr>
    </w:p>
    <w:p w14:paraId="526F64CE" w14:textId="77777777" w:rsidR="00F43C1E" w:rsidRPr="00663546" w:rsidRDefault="00F43C1E" w:rsidP="00F43C1E">
      <w:pPr>
        <w:widowControl w:val="0"/>
        <w:spacing w:line="360" w:lineRule="auto"/>
        <w:jc w:val="both"/>
        <w:rPr>
          <w:rFonts w:ascii="Verdana" w:hAnsi="Verdana"/>
          <w:i/>
          <w:sz w:val="20"/>
          <w:szCs w:val="20"/>
          <w:lang w:val="tr-TR"/>
        </w:rPr>
      </w:pPr>
      <w:r w:rsidRPr="00663546">
        <w:rPr>
          <w:rFonts w:ascii="Verdana" w:hAnsi="Verdana"/>
          <w:i/>
          <w:sz w:val="20"/>
          <w:szCs w:val="20"/>
          <w:lang w:val="tr-TR"/>
        </w:rPr>
        <w:t>Red Hat</w:t>
      </w:r>
      <w:r>
        <w:rPr>
          <w:rFonts w:ascii="Verdana" w:hAnsi="Verdana"/>
          <w:i/>
          <w:sz w:val="20"/>
          <w:szCs w:val="20"/>
          <w:lang w:val="tr-TR"/>
        </w:rPr>
        <w:t xml:space="preserve"> yönetici başkan yardımcısı ve genel danışman</w:t>
      </w:r>
      <w:r w:rsidRPr="00661677">
        <w:rPr>
          <w:rFonts w:ascii="Verdana" w:hAnsi="Verdana"/>
          <w:i/>
          <w:sz w:val="20"/>
          <w:szCs w:val="20"/>
          <w:lang w:val="tr-TR"/>
        </w:rPr>
        <w:t xml:space="preserve"> </w:t>
      </w:r>
      <w:r>
        <w:rPr>
          <w:rFonts w:ascii="Verdana" w:hAnsi="Verdana"/>
          <w:i/>
          <w:sz w:val="20"/>
          <w:szCs w:val="20"/>
          <w:lang w:val="tr-TR"/>
        </w:rPr>
        <w:t xml:space="preserve">Michael Cunningham: ”Lisans uygulamaları konusunda daha adil ve öngörülebilir adımlar atılmasının ve açık kaynak topluluğuna katılımın büyümesinin çok önemli olduğuna inanıyoruz. Diğer GPLv2 telif sahiplerinin de bizim yaklaşımımızı benimsemelerini öneriyoruz.” </w:t>
      </w:r>
    </w:p>
    <w:p w14:paraId="167B1525" w14:textId="77777777" w:rsidR="00F43C1E" w:rsidRPr="00663546" w:rsidRDefault="00F43C1E" w:rsidP="00F43C1E">
      <w:pPr>
        <w:widowControl w:val="0"/>
        <w:spacing w:line="360" w:lineRule="auto"/>
        <w:jc w:val="both"/>
        <w:rPr>
          <w:rFonts w:ascii="Verdana" w:hAnsi="Verdana"/>
          <w:i/>
          <w:sz w:val="20"/>
          <w:szCs w:val="20"/>
          <w:lang w:val="tr-TR"/>
        </w:rPr>
      </w:pPr>
    </w:p>
    <w:p w14:paraId="0AE6EBE9" w14:textId="77777777" w:rsidR="00F43C1E" w:rsidRPr="00663546" w:rsidRDefault="00F43C1E" w:rsidP="00F43C1E">
      <w:pPr>
        <w:widowControl w:val="0"/>
        <w:spacing w:line="360" w:lineRule="auto"/>
        <w:jc w:val="both"/>
        <w:rPr>
          <w:rFonts w:ascii="Verdana" w:hAnsi="Verdana"/>
          <w:i/>
          <w:sz w:val="20"/>
          <w:szCs w:val="20"/>
          <w:lang w:val="tr-TR"/>
        </w:rPr>
      </w:pPr>
      <w:r w:rsidRPr="00663546">
        <w:rPr>
          <w:rFonts w:ascii="Verdana" w:hAnsi="Verdana"/>
          <w:i/>
          <w:sz w:val="20"/>
          <w:szCs w:val="20"/>
          <w:lang w:val="tr-TR"/>
        </w:rPr>
        <w:t>Facebook</w:t>
      </w:r>
      <w:r>
        <w:rPr>
          <w:rFonts w:ascii="Verdana" w:hAnsi="Verdana"/>
          <w:i/>
          <w:sz w:val="20"/>
          <w:szCs w:val="20"/>
          <w:lang w:val="tr-TR"/>
        </w:rPr>
        <w:t xml:space="preserve"> başkan yardımcısı ve genel müdür danışmanı Allen Lo: “Açık kaynak, bu dünyada </w:t>
      </w:r>
      <w:r>
        <w:rPr>
          <w:rFonts w:ascii="Verdana" w:hAnsi="Verdana"/>
          <w:i/>
          <w:sz w:val="20"/>
          <w:szCs w:val="20"/>
          <w:lang w:val="tr-TR"/>
        </w:rPr>
        <w:lastRenderedPageBreak/>
        <w:t>inovasyon yapılmasını hızlandıran olgudur. Geliştiricilere,  lisans uyumu konusundaki hataları düzeltmeleri için iyi niyet çerçevesinde fırsatlar sağlanması, sektörün ilerlemesini sağlayacağı gibi, mühendislerin muhteşem işler çıkarmaya odaklanmalarını mümkün kılacaktır.”</w:t>
      </w:r>
    </w:p>
    <w:p w14:paraId="57F4F75A" w14:textId="77777777" w:rsidR="00F43C1E" w:rsidRPr="00663546" w:rsidRDefault="00F43C1E" w:rsidP="00F43C1E">
      <w:pPr>
        <w:widowControl w:val="0"/>
        <w:spacing w:line="360" w:lineRule="auto"/>
        <w:jc w:val="both"/>
        <w:rPr>
          <w:rFonts w:ascii="Verdana" w:hAnsi="Verdana"/>
          <w:sz w:val="20"/>
          <w:szCs w:val="20"/>
          <w:lang w:val="tr-TR"/>
        </w:rPr>
      </w:pPr>
    </w:p>
    <w:p w14:paraId="6BC209E4" w14:textId="77777777" w:rsidR="00F43C1E" w:rsidRPr="00663546" w:rsidRDefault="00F43C1E" w:rsidP="00F43C1E">
      <w:pPr>
        <w:widowControl w:val="0"/>
        <w:spacing w:line="360" w:lineRule="auto"/>
        <w:jc w:val="both"/>
        <w:rPr>
          <w:rFonts w:ascii="Verdana" w:hAnsi="Verdana"/>
          <w:i/>
          <w:sz w:val="20"/>
          <w:szCs w:val="20"/>
          <w:lang w:val="tr-TR"/>
        </w:rPr>
      </w:pPr>
      <w:r w:rsidRPr="00663546">
        <w:rPr>
          <w:rFonts w:ascii="Verdana" w:hAnsi="Verdana"/>
          <w:i/>
          <w:sz w:val="20"/>
          <w:szCs w:val="20"/>
          <w:lang w:val="tr-TR"/>
        </w:rPr>
        <w:t>IBM</w:t>
      </w:r>
      <w:r>
        <w:rPr>
          <w:rFonts w:ascii="Verdana" w:hAnsi="Verdana"/>
          <w:i/>
          <w:sz w:val="20"/>
          <w:szCs w:val="20"/>
          <w:lang w:val="tr-TR"/>
        </w:rPr>
        <w:t>, genel danışman asistanı Mark Ringes: “Genel Kamu Lisansı v2 ve V3, uzun yıllardır, dünyanın en geniş paylaşımlı kod tabanı Linux’un gelişimine kılavuzluk etmektedir.  GPLv3’ün uyumsuzluk giderme provizyonunun kapsamını GPLv2’yi içine alacak şekilde genişletmek, daha uzun yıllar boyu Linux’un kullanılarak sağlıklı büyümesini mümkün kılacaktır.  IBM, uzun zamandır Linux ve açık kaynağın önde gelen destekçilerinden biri olmuştur ve Linux çekirdeğinin gelişimine yardımcı olmaktadır. Bu bildiri ile taahhüdümüzü derinleştirmemiz, bu desteğin doğal bir uzantısıdır.”</w:t>
      </w:r>
    </w:p>
    <w:p w14:paraId="0E0253A3" w14:textId="77777777" w:rsidR="007163B3" w:rsidRPr="00663546" w:rsidRDefault="007163B3" w:rsidP="00663546">
      <w:pPr>
        <w:widowControl w:val="0"/>
        <w:spacing w:line="360" w:lineRule="auto"/>
        <w:jc w:val="both"/>
        <w:rPr>
          <w:rFonts w:ascii="Verdana" w:hAnsi="Verdana"/>
          <w:b/>
          <w:sz w:val="20"/>
          <w:szCs w:val="20"/>
          <w:lang w:val="tr-TR"/>
        </w:rPr>
      </w:pPr>
    </w:p>
    <w:p w14:paraId="0A4F4599" w14:textId="77777777" w:rsidR="00E820DE" w:rsidRDefault="00E820DE" w:rsidP="00663546">
      <w:pPr>
        <w:widowControl w:val="0"/>
        <w:spacing w:line="360" w:lineRule="auto"/>
        <w:jc w:val="both"/>
        <w:rPr>
          <w:rFonts w:ascii="Verdana" w:hAnsi="Verdana"/>
          <w:b/>
          <w:sz w:val="20"/>
          <w:szCs w:val="20"/>
          <w:lang w:val="tr-TR"/>
        </w:rPr>
      </w:pPr>
      <w:r>
        <w:rPr>
          <w:rFonts w:ascii="Verdana" w:hAnsi="Verdana"/>
          <w:b/>
          <w:sz w:val="20"/>
          <w:szCs w:val="20"/>
          <w:lang w:val="tr-TR"/>
        </w:rPr>
        <w:t>Genel İyileştirme Hakları Taahhüdü</w:t>
      </w:r>
      <w:r w:rsidR="007163B3" w:rsidRPr="00663546">
        <w:rPr>
          <w:rFonts w:ascii="Verdana" w:hAnsi="Verdana"/>
          <w:b/>
          <w:sz w:val="20"/>
          <w:szCs w:val="20"/>
          <w:lang w:val="tr-TR"/>
        </w:rPr>
        <w:t xml:space="preserve"> </w:t>
      </w:r>
    </w:p>
    <w:p w14:paraId="1E2DA699" w14:textId="77777777" w:rsidR="007163B3" w:rsidRPr="00E820DE" w:rsidRDefault="00E820DE" w:rsidP="00663546">
      <w:pPr>
        <w:widowControl w:val="0"/>
        <w:spacing w:line="360" w:lineRule="auto"/>
        <w:jc w:val="both"/>
        <w:rPr>
          <w:rFonts w:ascii="Verdana" w:hAnsi="Verdana"/>
          <w:sz w:val="20"/>
          <w:szCs w:val="20"/>
          <w:lang w:val="tr-TR"/>
        </w:rPr>
      </w:pPr>
      <w:r w:rsidRPr="00E820DE">
        <w:rPr>
          <w:rFonts w:ascii="Verdana" w:hAnsi="Verdana"/>
          <w:sz w:val="20"/>
          <w:szCs w:val="20"/>
          <w:lang w:val="tr-TR"/>
        </w:rPr>
        <w:t>Her bir şirketin benimsediği ortak taahhüt dili ise şöyle:</w:t>
      </w:r>
    </w:p>
    <w:p w14:paraId="585CEEE8" w14:textId="77777777" w:rsidR="00D5656D" w:rsidRPr="00D5656D" w:rsidRDefault="00D5656D" w:rsidP="00D5656D">
      <w:pPr>
        <w:shd w:val="clear" w:color="auto" w:fill="FFFFFF"/>
        <w:spacing w:line="288" w:lineRule="atLeast"/>
        <w:ind w:left="720"/>
        <w:jc w:val="both"/>
        <w:rPr>
          <w:rFonts w:ascii="Verdana" w:hAnsi="Verdana"/>
          <w:i/>
          <w:sz w:val="20"/>
          <w:szCs w:val="20"/>
          <w:lang w:val="tr-TR"/>
        </w:rPr>
      </w:pPr>
      <w:r w:rsidRPr="00D5656D">
        <w:rPr>
          <w:rFonts w:ascii="Verdana" w:hAnsi="Verdana"/>
          <w:i/>
          <w:sz w:val="20"/>
          <w:szCs w:val="20"/>
          <w:lang w:val="tr-TR"/>
        </w:rPr>
        <w:t xml:space="preserve">Bir Güvenceli Lisansın feshinden kaynaklanan bir adli takibat veya şikayet için dava açmadan veya başlatılmış adli kovuşturmayı sürdürmeden önce, [Şirket], Güvenceli Lisansı ihlal etmekle suçlanan kişiye veya kuruma (“siz”) ihlalin giderilmesine ve hakların iadesine ilişkin olarak GPL 3. </w:t>
      </w:r>
      <w:r>
        <w:rPr>
          <w:rFonts w:ascii="Verdana" w:hAnsi="Verdana"/>
          <w:i/>
          <w:sz w:val="20"/>
          <w:szCs w:val="20"/>
          <w:lang w:val="tr-TR"/>
        </w:rPr>
        <w:t>versiyonundan</w:t>
      </w:r>
      <w:r w:rsidRPr="00D5656D">
        <w:rPr>
          <w:rFonts w:ascii="Verdana" w:hAnsi="Verdana"/>
          <w:i/>
          <w:sz w:val="20"/>
          <w:szCs w:val="20"/>
          <w:lang w:val="tr-TR"/>
        </w:rPr>
        <w:t xml:space="preserve"> alınmış olan aşağıdaki hükümlerde yazılı olanakları sunar. </w:t>
      </w:r>
    </w:p>
    <w:p w14:paraId="00462462" w14:textId="77777777" w:rsidR="00D5656D" w:rsidRPr="00D5656D" w:rsidRDefault="00D5656D" w:rsidP="00D5656D">
      <w:pPr>
        <w:shd w:val="clear" w:color="auto" w:fill="FFFFFF"/>
        <w:spacing w:line="288" w:lineRule="atLeast"/>
        <w:ind w:left="720"/>
        <w:jc w:val="both"/>
        <w:rPr>
          <w:rFonts w:ascii="Verdana" w:hAnsi="Verdana"/>
          <w:i/>
          <w:sz w:val="20"/>
          <w:szCs w:val="20"/>
          <w:lang w:val="tr-TR"/>
        </w:rPr>
      </w:pPr>
    </w:p>
    <w:p w14:paraId="1DEE7EDF" w14:textId="77777777" w:rsidR="00D5656D" w:rsidRPr="00D5656D" w:rsidRDefault="00D5656D" w:rsidP="00D5656D">
      <w:pPr>
        <w:shd w:val="clear" w:color="auto" w:fill="FFFFFF"/>
        <w:spacing w:line="288" w:lineRule="atLeast"/>
        <w:ind w:left="1440"/>
        <w:jc w:val="both"/>
        <w:rPr>
          <w:rFonts w:ascii="Verdana" w:hAnsi="Verdana"/>
          <w:i/>
          <w:sz w:val="20"/>
          <w:szCs w:val="20"/>
          <w:lang w:val="tr-TR"/>
        </w:rPr>
      </w:pPr>
      <w:r w:rsidRPr="00D5656D">
        <w:rPr>
          <w:rFonts w:ascii="Verdana" w:hAnsi="Verdana"/>
          <w:i/>
          <w:sz w:val="20"/>
          <w:szCs w:val="20"/>
          <w:lang w:val="tr-TR"/>
        </w:rPr>
        <w:t>Ne var ki, eğer bu Lisansın her türlü ihlaline son vermeniz halinde, belli bir telif hakkı sahibinden gelen lisansınız (a) telif hakkı sahibi lisansın</w:t>
      </w:r>
      <w:r>
        <w:rPr>
          <w:rFonts w:ascii="Verdana" w:hAnsi="Verdana"/>
          <w:i/>
          <w:sz w:val="20"/>
          <w:szCs w:val="20"/>
          <w:lang w:val="tr-TR"/>
        </w:rPr>
        <w:t>ızı açıkça ve kesin olarak feshetmedikçe ve fesh</w:t>
      </w:r>
      <w:r w:rsidRPr="00D5656D">
        <w:rPr>
          <w:rFonts w:ascii="Verdana" w:hAnsi="Verdana"/>
          <w:i/>
          <w:sz w:val="20"/>
          <w:szCs w:val="20"/>
          <w:lang w:val="tr-TR"/>
        </w:rPr>
        <w:t>edinceye kadar geçici olarak ve (b) eğer telif hakkı sahibi ihlale son vermenizden itibaren 60 gün içinde makul bir iletişim a</w:t>
      </w:r>
      <w:r>
        <w:rPr>
          <w:rFonts w:ascii="Verdana" w:hAnsi="Verdana"/>
          <w:i/>
          <w:sz w:val="20"/>
          <w:szCs w:val="20"/>
          <w:lang w:val="tr-TR"/>
        </w:rPr>
        <w:t>racıyla ihlali bildirmediği takd</w:t>
      </w:r>
      <w:r w:rsidRPr="00D5656D">
        <w:rPr>
          <w:rFonts w:ascii="Verdana" w:hAnsi="Verdana"/>
          <w:i/>
          <w:sz w:val="20"/>
          <w:szCs w:val="20"/>
          <w:lang w:val="tr-TR"/>
        </w:rPr>
        <w:t xml:space="preserve">irde kalıcı olarak iade devam ettirilir. </w:t>
      </w:r>
    </w:p>
    <w:p w14:paraId="6185FE7D" w14:textId="77777777" w:rsidR="00D5656D" w:rsidRPr="00D5656D" w:rsidRDefault="00D5656D" w:rsidP="00D5656D">
      <w:pPr>
        <w:shd w:val="clear" w:color="auto" w:fill="FFFFFF"/>
        <w:spacing w:line="288" w:lineRule="atLeast"/>
        <w:ind w:left="720"/>
        <w:jc w:val="both"/>
        <w:rPr>
          <w:rFonts w:ascii="Verdana" w:hAnsi="Verdana"/>
          <w:i/>
          <w:sz w:val="20"/>
          <w:szCs w:val="20"/>
          <w:lang w:val="tr-TR"/>
        </w:rPr>
      </w:pPr>
      <w:r w:rsidRPr="00D5656D">
        <w:rPr>
          <w:rFonts w:ascii="Verdana" w:hAnsi="Verdana"/>
          <w:i/>
          <w:sz w:val="20"/>
          <w:szCs w:val="20"/>
          <w:lang w:val="tr-TR"/>
        </w:rPr>
        <w:t>                 </w:t>
      </w:r>
    </w:p>
    <w:p w14:paraId="6C80E297" w14:textId="77777777" w:rsidR="00D5656D" w:rsidRPr="00D5656D" w:rsidRDefault="00D5656D" w:rsidP="00D5656D">
      <w:pPr>
        <w:shd w:val="clear" w:color="auto" w:fill="FFFFFF"/>
        <w:spacing w:line="288" w:lineRule="atLeast"/>
        <w:ind w:left="1440"/>
        <w:jc w:val="both"/>
        <w:rPr>
          <w:rFonts w:ascii="Verdana" w:hAnsi="Verdana"/>
          <w:i/>
          <w:sz w:val="20"/>
          <w:szCs w:val="20"/>
          <w:lang w:val="tr-TR"/>
        </w:rPr>
      </w:pPr>
      <w:r w:rsidRPr="00D5656D">
        <w:rPr>
          <w:rFonts w:ascii="Verdana" w:hAnsi="Verdana"/>
          <w:i/>
          <w:sz w:val="20"/>
          <w:szCs w:val="20"/>
          <w:lang w:val="tr-TR"/>
        </w:rPr>
        <w:t xml:space="preserve">Ayrıca, eğer telif hakkı sahibi makul bir iletişim aracıyla ihlali size bildirirse, bu Lisansa (herhangi bir iş için) ilişkin olarak aldığınız ilk ihlal ihbarıysa ve ihbarı teslim almanızdan sonra 30 gün içinde ihlali giderirseniz belli bir telif hakkı sahibinden gelen lisansınız kalıcı olarak devam ettirilir. </w:t>
      </w:r>
    </w:p>
    <w:p w14:paraId="2781AB40" w14:textId="77777777" w:rsidR="00D5656D" w:rsidRPr="00D5656D" w:rsidRDefault="00D5656D" w:rsidP="00D5656D">
      <w:pPr>
        <w:rPr>
          <w:rFonts w:ascii="Verdana" w:hAnsi="Verdana"/>
          <w:i/>
          <w:sz w:val="20"/>
          <w:szCs w:val="20"/>
          <w:lang w:val="tr-TR"/>
        </w:rPr>
      </w:pPr>
    </w:p>
    <w:p w14:paraId="34937B69" w14:textId="77777777" w:rsidR="007163B3" w:rsidRPr="00663546" w:rsidRDefault="007163B3" w:rsidP="00663546">
      <w:pPr>
        <w:spacing w:line="360" w:lineRule="auto"/>
        <w:jc w:val="both"/>
        <w:rPr>
          <w:rFonts w:ascii="Verdana" w:hAnsi="Verdana"/>
          <w:i/>
          <w:sz w:val="20"/>
          <w:szCs w:val="20"/>
          <w:lang w:val="tr-TR"/>
        </w:rPr>
      </w:pPr>
    </w:p>
    <w:p w14:paraId="18F237B9" w14:textId="77777777" w:rsidR="00D5656D" w:rsidRDefault="007163B3" w:rsidP="00663546">
      <w:pPr>
        <w:spacing w:line="360" w:lineRule="auto"/>
        <w:ind w:left="720"/>
        <w:jc w:val="both"/>
        <w:rPr>
          <w:rFonts w:ascii="Verdana" w:hAnsi="Verdana"/>
          <w:i/>
          <w:sz w:val="20"/>
          <w:szCs w:val="20"/>
          <w:lang w:val="tr-TR"/>
        </w:rPr>
      </w:pPr>
      <w:r w:rsidRPr="00663546">
        <w:rPr>
          <w:rFonts w:ascii="Verdana" w:hAnsi="Verdana"/>
          <w:i/>
          <w:sz w:val="20"/>
          <w:szCs w:val="20"/>
          <w:lang w:val="tr-TR"/>
        </w:rPr>
        <w:t xml:space="preserve">[Şirket] </w:t>
      </w:r>
      <w:r w:rsidR="00D5656D">
        <w:rPr>
          <w:rFonts w:ascii="Verdana" w:hAnsi="Verdana"/>
          <w:i/>
          <w:sz w:val="20"/>
          <w:szCs w:val="20"/>
          <w:lang w:val="tr-TR"/>
        </w:rPr>
        <w:t xml:space="preserve">bu taahhüdün .[Şirket’in] kendi nezdinde ve telifi devrettiği kişiler nezdinde gayrikabili rücu, bağlayıcı, yaptırımlı olmasını hedeflemektedir. </w:t>
      </w:r>
    </w:p>
    <w:p w14:paraId="1F50801D" w14:textId="77777777" w:rsidR="007163B3" w:rsidRPr="00663546" w:rsidRDefault="007163B3" w:rsidP="00663546">
      <w:pPr>
        <w:spacing w:line="360" w:lineRule="auto"/>
        <w:jc w:val="both"/>
        <w:rPr>
          <w:rFonts w:ascii="Verdana" w:hAnsi="Verdana"/>
          <w:i/>
          <w:sz w:val="20"/>
          <w:szCs w:val="20"/>
          <w:lang w:val="tr-TR"/>
        </w:rPr>
      </w:pPr>
    </w:p>
    <w:p w14:paraId="6E4F8C15" w14:textId="77777777" w:rsidR="007163B3" w:rsidRPr="00663546" w:rsidRDefault="007163B3" w:rsidP="00663546">
      <w:pPr>
        <w:spacing w:line="360" w:lineRule="auto"/>
        <w:ind w:left="720"/>
        <w:jc w:val="both"/>
        <w:rPr>
          <w:rFonts w:ascii="Verdana" w:hAnsi="Verdana"/>
          <w:i/>
          <w:sz w:val="20"/>
          <w:szCs w:val="20"/>
          <w:lang w:val="tr-TR"/>
        </w:rPr>
      </w:pPr>
      <w:r w:rsidRPr="00663546">
        <w:rPr>
          <w:rFonts w:ascii="Verdana" w:hAnsi="Verdana"/>
          <w:i/>
          <w:sz w:val="20"/>
          <w:szCs w:val="20"/>
          <w:lang w:val="tr-TR"/>
        </w:rPr>
        <w:t xml:space="preserve">[Şirket] </w:t>
      </w:r>
      <w:r w:rsidR="00D5656D">
        <w:rPr>
          <w:rFonts w:ascii="Verdana" w:hAnsi="Verdana"/>
          <w:i/>
          <w:sz w:val="20"/>
          <w:szCs w:val="20"/>
          <w:lang w:val="tr-TR"/>
        </w:rPr>
        <w:t xml:space="preserve">bu taahhüdü, bu sayfa üzerindeki yeni bir düzenleme yaparak veya halefinin konumu nedeniyle değiştirebilir.  </w:t>
      </w:r>
    </w:p>
    <w:p w14:paraId="7CBE00A1" w14:textId="77777777" w:rsidR="007163B3" w:rsidRPr="00663546" w:rsidRDefault="007163B3" w:rsidP="00663546">
      <w:pPr>
        <w:spacing w:line="360" w:lineRule="auto"/>
        <w:jc w:val="both"/>
        <w:rPr>
          <w:rFonts w:ascii="Verdana" w:hAnsi="Verdana"/>
          <w:sz w:val="20"/>
          <w:szCs w:val="20"/>
          <w:lang w:val="tr-TR"/>
        </w:rPr>
      </w:pPr>
    </w:p>
    <w:p w14:paraId="202B1C32" w14:textId="77777777" w:rsidR="007163B3" w:rsidRPr="00663546" w:rsidRDefault="007163B3" w:rsidP="00663546">
      <w:pPr>
        <w:widowControl w:val="0"/>
        <w:spacing w:line="360" w:lineRule="auto"/>
        <w:jc w:val="both"/>
        <w:rPr>
          <w:rFonts w:ascii="Verdana" w:hAnsi="Verdana"/>
          <w:sz w:val="20"/>
          <w:szCs w:val="20"/>
          <w:lang w:val="tr-TR"/>
        </w:rPr>
      </w:pPr>
      <w:r w:rsidRPr="00663546">
        <w:rPr>
          <w:rFonts w:ascii="Verdana" w:hAnsi="Verdana"/>
          <w:sz w:val="20"/>
          <w:szCs w:val="20"/>
          <w:lang w:val="tr-TR"/>
        </w:rPr>
        <w:t>Taahhüdü, tanımları, SSS ve yorumları şuradan okuyabilirsiniz:</w:t>
      </w:r>
    </w:p>
    <w:p w14:paraId="30E57FCF" w14:textId="77777777" w:rsidR="007163B3" w:rsidRPr="00663546" w:rsidRDefault="007163B3" w:rsidP="00663546">
      <w:pPr>
        <w:widowControl w:val="0"/>
        <w:numPr>
          <w:ilvl w:val="0"/>
          <w:numId w:val="1"/>
        </w:numPr>
        <w:spacing w:line="360" w:lineRule="auto"/>
        <w:contextualSpacing/>
        <w:jc w:val="both"/>
        <w:rPr>
          <w:rFonts w:ascii="Verdana" w:hAnsi="Verdana"/>
          <w:sz w:val="20"/>
          <w:szCs w:val="20"/>
          <w:lang w:val="tr-TR"/>
        </w:rPr>
      </w:pPr>
      <w:r w:rsidRPr="00663546">
        <w:rPr>
          <w:rFonts w:ascii="Verdana" w:hAnsi="Verdana"/>
          <w:sz w:val="20"/>
          <w:szCs w:val="20"/>
          <w:lang w:val="tr-TR"/>
        </w:rPr>
        <w:t xml:space="preserve">Red Hat: </w:t>
      </w:r>
      <w:hyperlink r:id="rId5">
        <w:r w:rsidRPr="00663546">
          <w:rPr>
            <w:rFonts w:ascii="Verdana" w:hAnsi="Verdana"/>
            <w:color w:val="1155CC"/>
            <w:sz w:val="20"/>
            <w:szCs w:val="20"/>
            <w:u w:val="single"/>
            <w:lang w:val="tr-TR"/>
          </w:rPr>
          <w:t>https://www.redhat.com/en/about/gplv3-enforcement-statement</w:t>
        </w:r>
      </w:hyperlink>
      <w:r w:rsidRPr="00663546">
        <w:rPr>
          <w:rFonts w:ascii="Verdana" w:hAnsi="Verdana"/>
          <w:sz w:val="20"/>
          <w:szCs w:val="20"/>
          <w:lang w:val="tr-TR"/>
        </w:rPr>
        <w:t xml:space="preserve"> and </w:t>
      </w:r>
      <w:hyperlink r:id="rId6">
        <w:r w:rsidRPr="00663546">
          <w:rPr>
            <w:rFonts w:ascii="Verdana" w:hAnsi="Verdana"/>
            <w:color w:val="1155CC"/>
            <w:sz w:val="20"/>
            <w:szCs w:val="20"/>
            <w:u w:val="single"/>
            <w:lang w:val="tr-TR"/>
          </w:rPr>
          <w:t>https://www.redhat.com/en/blog/fostering-greater-open-source-development</w:t>
        </w:r>
      </w:hyperlink>
      <w:r w:rsidRPr="00663546">
        <w:rPr>
          <w:rFonts w:ascii="Verdana" w:hAnsi="Verdana"/>
          <w:sz w:val="20"/>
          <w:szCs w:val="20"/>
          <w:lang w:val="tr-TR"/>
        </w:rPr>
        <w:t xml:space="preserve"> </w:t>
      </w:r>
    </w:p>
    <w:p w14:paraId="6F64F346" w14:textId="77777777" w:rsidR="007163B3" w:rsidRPr="00663546" w:rsidRDefault="007163B3" w:rsidP="00663546">
      <w:pPr>
        <w:widowControl w:val="0"/>
        <w:numPr>
          <w:ilvl w:val="0"/>
          <w:numId w:val="1"/>
        </w:numPr>
        <w:spacing w:line="360" w:lineRule="auto"/>
        <w:contextualSpacing/>
        <w:jc w:val="both"/>
        <w:rPr>
          <w:rFonts w:ascii="Verdana" w:hAnsi="Verdana"/>
          <w:sz w:val="20"/>
          <w:szCs w:val="20"/>
          <w:lang w:val="tr-TR"/>
        </w:rPr>
      </w:pPr>
      <w:r w:rsidRPr="00663546">
        <w:rPr>
          <w:rFonts w:ascii="Verdana" w:hAnsi="Verdana"/>
          <w:sz w:val="20"/>
          <w:szCs w:val="20"/>
          <w:lang w:val="tr-TR"/>
        </w:rPr>
        <w:t xml:space="preserve">Google: </w:t>
      </w:r>
      <w:hyperlink r:id="rId7">
        <w:r w:rsidRPr="00663546">
          <w:rPr>
            <w:rFonts w:ascii="Verdana" w:hAnsi="Verdana"/>
            <w:color w:val="1155CC"/>
            <w:sz w:val="20"/>
            <w:szCs w:val="20"/>
            <w:u w:val="single"/>
            <w:lang w:val="tr-TR"/>
          </w:rPr>
          <w:t>https://opensource.google.com/gpl-enforcement/</w:t>
        </w:r>
      </w:hyperlink>
      <w:r w:rsidRPr="00663546">
        <w:rPr>
          <w:rFonts w:ascii="Verdana" w:hAnsi="Verdana"/>
          <w:sz w:val="20"/>
          <w:szCs w:val="20"/>
          <w:lang w:val="tr-TR"/>
        </w:rPr>
        <w:t xml:space="preserve"> </w:t>
      </w:r>
    </w:p>
    <w:p w14:paraId="0ED5C4C9" w14:textId="77777777" w:rsidR="007163B3" w:rsidRPr="00663546" w:rsidRDefault="007163B3" w:rsidP="00663546">
      <w:pPr>
        <w:widowControl w:val="0"/>
        <w:numPr>
          <w:ilvl w:val="0"/>
          <w:numId w:val="1"/>
        </w:numPr>
        <w:spacing w:line="360" w:lineRule="auto"/>
        <w:contextualSpacing/>
        <w:jc w:val="both"/>
        <w:rPr>
          <w:rFonts w:ascii="Verdana" w:hAnsi="Verdana"/>
          <w:sz w:val="20"/>
          <w:szCs w:val="20"/>
          <w:lang w:val="tr-TR"/>
        </w:rPr>
      </w:pPr>
      <w:r w:rsidRPr="00663546">
        <w:rPr>
          <w:rFonts w:ascii="Verdana" w:hAnsi="Verdana"/>
          <w:sz w:val="20"/>
          <w:szCs w:val="20"/>
          <w:lang w:val="tr-TR"/>
        </w:rPr>
        <w:t xml:space="preserve">IBM: </w:t>
      </w:r>
      <w:hyperlink r:id="rId8">
        <w:r w:rsidRPr="00663546">
          <w:rPr>
            <w:rFonts w:ascii="Verdana" w:hAnsi="Verdana"/>
            <w:color w:val="1155CC"/>
            <w:sz w:val="20"/>
            <w:szCs w:val="20"/>
            <w:u w:val="single"/>
            <w:lang w:val="tr-TR"/>
          </w:rPr>
          <w:t>https://developer.ibm.com/code/open/</w:t>
        </w:r>
      </w:hyperlink>
      <w:r w:rsidRPr="00663546">
        <w:rPr>
          <w:rFonts w:ascii="Verdana" w:hAnsi="Verdana"/>
          <w:sz w:val="20"/>
          <w:szCs w:val="20"/>
          <w:lang w:val="tr-TR"/>
        </w:rPr>
        <w:t xml:space="preserve"> </w:t>
      </w:r>
    </w:p>
    <w:p w14:paraId="39EB0C57" w14:textId="77777777" w:rsidR="007163B3" w:rsidRPr="00663546" w:rsidRDefault="007163B3" w:rsidP="00663546">
      <w:pPr>
        <w:widowControl w:val="0"/>
        <w:numPr>
          <w:ilvl w:val="0"/>
          <w:numId w:val="1"/>
        </w:numPr>
        <w:spacing w:line="360" w:lineRule="auto"/>
        <w:contextualSpacing/>
        <w:jc w:val="both"/>
        <w:rPr>
          <w:rFonts w:ascii="Verdana" w:hAnsi="Verdana"/>
          <w:sz w:val="20"/>
          <w:szCs w:val="20"/>
          <w:lang w:val="tr-TR"/>
        </w:rPr>
      </w:pPr>
      <w:r w:rsidRPr="00663546">
        <w:rPr>
          <w:rFonts w:ascii="Verdana" w:hAnsi="Verdana"/>
          <w:sz w:val="20"/>
          <w:szCs w:val="20"/>
          <w:lang w:val="tr-TR"/>
        </w:rPr>
        <w:t xml:space="preserve">Intel: </w:t>
      </w:r>
      <w:hyperlink r:id="rId9">
        <w:r w:rsidRPr="00663546">
          <w:rPr>
            <w:rFonts w:ascii="Verdana" w:hAnsi="Verdana"/>
            <w:color w:val="1155CC"/>
            <w:sz w:val="20"/>
            <w:szCs w:val="20"/>
            <w:u w:val="single"/>
            <w:lang w:val="tr-TR"/>
          </w:rPr>
          <w:t>https://01.org/Intel_GPL_Compliance_Committment</w:t>
        </w:r>
      </w:hyperlink>
    </w:p>
    <w:bookmarkEnd w:id="0"/>
    <w:p w14:paraId="64C503E5" w14:textId="77777777" w:rsidR="00ED10C3" w:rsidRPr="00663546" w:rsidRDefault="00ED10C3" w:rsidP="00663546">
      <w:pPr>
        <w:spacing w:line="360" w:lineRule="auto"/>
        <w:jc w:val="both"/>
        <w:rPr>
          <w:rFonts w:ascii="Verdana" w:hAnsi="Verdana"/>
          <w:sz w:val="20"/>
          <w:szCs w:val="20"/>
          <w:lang w:val="tr-TR"/>
        </w:rPr>
      </w:pPr>
    </w:p>
    <w:sectPr w:rsidR="00ED10C3" w:rsidRPr="00663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9058C"/>
    <w:multiLevelType w:val="multilevel"/>
    <w:tmpl w:val="F2C02F3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B3"/>
    <w:rsid w:val="00575C65"/>
    <w:rsid w:val="00661677"/>
    <w:rsid w:val="00663546"/>
    <w:rsid w:val="007163B3"/>
    <w:rsid w:val="00746A38"/>
    <w:rsid w:val="00894277"/>
    <w:rsid w:val="00915245"/>
    <w:rsid w:val="00BC0D33"/>
    <w:rsid w:val="00D54DD5"/>
    <w:rsid w:val="00D5656D"/>
    <w:rsid w:val="00E820DE"/>
    <w:rsid w:val="00ED10C3"/>
    <w:rsid w:val="00EE5FCE"/>
    <w:rsid w:val="00F43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9695"/>
  <w15:chartTrackingRefBased/>
  <w15:docId w15:val="{5892D983-7D4C-4472-A984-81B66D49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63B3"/>
    <w:pPr>
      <w:pBdr>
        <w:top w:val="nil"/>
        <w:left w:val="nil"/>
        <w:bottom w:val="nil"/>
        <w:right w:val="nil"/>
        <w:between w:val="nil"/>
      </w:pBdr>
      <w:spacing w:after="0" w:line="276" w:lineRule="auto"/>
    </w:pPr>
    <w:rPr>
      <w:rFonts w:ascii="Arial" w:eastAsia="Arial" w:hAnsi="Arial" w:cs="Arial"/>
      <w:color w:val="000000"/>
      <w:lang w:val="en"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D5656D"/>
    <w:rPr>
      <w:sz w:val="16"/>
      <w:szCs w:val="16"/>
    </w:rPr>
  </w:style>
  <w:style w:type="paragraph" w:styleId="AklamaMetni">
    <w:name w:val="annotation text"/>
    <w:basedOn w:val="Normal"/>
    <w:link w:val="AklamaMetniChar"/>
    <w:uiPriority w:val="99"/>
    <w:semiHidden/>
    <w:unhideWhenUsed/>
    <w:rsid w:val="00D5656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5656D"/>
    <w:rPr>
      <w:rFonts w:ascii="Arial" w:eastAsia="Arial" w:hAnsi="Arial" w:cs="Arial"/>
      <w:color w:val="000000"/>
      <w:sz w:val="20"/>
      <w:szCs w:val="20"/>
      <w:lang w:val="en" w:eastAsia="tr-TR"/>
    </w:rPr>
  </w:style>
  <w:style w:type="paragraph" w:styleId="AklamaKonusu">
    <w:name w:val="annotation subject"/>
    <w:basedOn w:val="AklamaMetni"/>
    <w:next w:val="AklamaMetni"/>
    <w:link w:val="AklamaKonusuChar"/>
    <w:uiPriority w:val="99"/>
    <w:semiHidden/>
    <w:unhideWhenUsed/>
    <w:rsid w:val="00D5656D"/>
    <w:rPr>
      <w:b/>
      <w:bCs/>
    </w:rPr>
  </w:style>
  <w:style w:type="character" w:customStyle="1" w:styleId="AklamaKonusuChar">
    <w:name w:val="Açıklama Konusu Char"/>
    <w:basedOn w:val="AklamaMetniChar"/>
    <w:link w:val="AklamaKonusu"/>
    <w:uiPriority w:val="99"/>
    <w:semiHidden/>
    <w:rsid w:val="00D5656D"/>
    <w:rPr>
      <w:rFonts w:ascii="Arial" w:eastAsia="Arial" w:hAnsi="Arial" w:cs="Arial"/>
      <w:b/>
      <w:bCs/>
      <w:color w:val="000000"/>
      <w:sz w:val="20"/>
      <w:szCs w:val="20"/>
      <w:lang w:val="en" w:eastAsia="tr-TR"/>
    </w:rPr>
  </w:style>
  <w:style w:type="paragraph" w:styleId="BalonMetni">
    <w:name w:val="Balloon Text"/>
    <w:basedOn w:val="Normal"/>
    <w:link w:val="BalonMetniChar"/>
    <w:uiPriority w:val="99"/>
    <w:semiHidden/>
    <w:unhideWhenUsed/>
    <w:rsid w:val="00D5656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656D"/>
    <w:rPr>
      <w:rFonts w:ascii="Segoe UI" w:eastAsia="Arial" w:hAnsi="Segoe UI" w:cs="Segoe UI"/>
      <w:color w:val="000000"/>
      <w:sz w:val="18"/>
      <w:szCs w:val="18"/>
      <w:lang w:val="en"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ibm.com/code/open/" TargetMode="External"/><Relationship Id="rId3" Type="http://schemas.openxmlformats.org/officeDocument/2006/relationships/settings" Target="settings.xml"/><Relationship Id="rId7" Type="http://schemas.openxmlformats.org/officeDocument/2006/relationships/hyperlink" Target="https://opensource.google.com/gpl-enforc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hat.com/en/blog/fostering-greater-open-source-development" TargetMode="External"/><Relationship Id="rId11" Type="http://schemas.openxmlformats.org/officeDocument/2006/relationships/theme" Target="theme/theme1.xml"/><Relationship Id="rId5" Type="http://schemas.openxmlformats.org/officeDocument/2006/relationships/hyperlink" Target="https://www.redhat.com/en/about/gplv3-enforcement-state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01.org/Intel_GPL_Compliance_Committmen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757</Words>
  <Characters>4319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Nevra Cankaya</cp:lastModifiedBy>
  <cp:revision>9</cp:revision>
  <dcterms:created xsi:type="dcterms:W3CDTF">2017-11-27T11:33:00Z</dcterms:created>
  <dcterms:modified xsi:type="dcterms:W3CDTF">2018-01-03T08:52:00Z</dcterms:modified>
</cp:coreProperties>
</file>