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6AF3785B" w:rsidR="00D322B8" w:rsidRPr="006257BE" w:rsidRDefault="00D322B8" w:rsidP="00D322B8">
      <w:pPr>
        <w:rPr>
          <w:rFonts w:ascii="Tahoma" w:eastAsia="Tahoma" w:hAnsi="Tahoma" w:cs="Tahoma"/>
          <w:b/>
          <w:u w:val="single"/>
        </w:rPr>
      </w:pPr>
      <w:r w:rsidRPr="006257BE">
        <w:rPr>
          <w:rFonts w:ascii="Tahoma" w:eastAsia="Tahoma" w:hAnsi="Tahoma" w:cs="Tahoma"/>
          <w:b/>
          <w:u w:val="single"/>
        </w:rPr>
        <w:t>BASIN BÜLTENİ</w:t>
      </w:r>
      <w:r w:rsidRPr="006257BE">
        <w:rPr>
          <w:rFonts w:ascii="Tahoma" w:eastAsia="Tahoma" w:hAnsi="Tahoma" w:cs="Tahoma"/>
          <w:b/>
          <w:u w:val="single"/>
        </w:rPr>
        <w:tab/>
      </w:r>
      <w:r w:rsidRPr="006257BE">
        <w:rPr>
          <w:rFonts w:ascii="Tahoma" w:eastAsia="Tahoma" w:hAnsi="Tahoma" w:cs="Tahoma"/>
          <w:b/>
          <w:u w:val="single"/>
        </w:rPr>
        <w:tab/>
      </w:r>
      <w:r w:rsidRPr="006257BE">
        <w:rPr>
          <w:rFonts w:ascii="Tahoma" w:eastAsia="Tahoma" w:hAnsi="Tahoma" w:cs="Tahoma"/>
          <w:b/>
          <w:u w:val="single"/>
        </w:rPr>
        <w:tab/>
      </w:r>
      <w:r w:rsidRPr="006257BE">
        <w:rPr>
          <w:rFonts w:ascii="Tahoma" w:eastAsia="Tahoma" w:hAnsi="Tahoma" w:cs="Tahoma"/>
          <w:b/>
          <w:u w:val="single"/>
        </w:rPr>
        <w:tab/>
      </w:r>
      <w:r w:rsidRPr="006257BE">
        <w:rPr>
          <w:rFonts w:ascii="Tahoma" w:eastAsia="Tahoma" w:hAnsi="Tahoma" w:cs="Tahoma"/>
          <w:b/>
          <w:u w:val="single"/>
        </w:rPr>
        <w:tab/>
        <w:t xml:space="preserve">                                            </w:t>
      </w:r>
      <w:r w:rsidR="00395697" w:rsidRPr="00395697">
        <w:rPr>
          <w:rFonts w:ascii="Tahoma" w:eastAsia="Tahoma" w:hAnsi="Tahoma" w:cs="Tahoma"/>
          <w:b/>
          <w:u w:val="single"/>
        </w:rPr>
        <w:t>24</w:t>
      </w:r>
      <w:r w:rsidRPr="00395697">
        <w:rPr>
          <w:rFonts w:ascii="Tahoma" w:eastAsia="Tahoma" w:hAnsi="Tahoma" w:cs="Tahoma"/>
          <w:b/>
          <w:u w:val="single"/>
        </w:rPr>
        <w:t>.0</w:t>
      </w:r>
      <w:r w:rsidR="00DB595B" w:rsidRPr="00395697">
        <w:rPr>
          <w:rFonts w:ascii="Tahoma" w:eastAsia="Tahoma" w:hAnsi="Tahoma" w:cs="Tahoma"/>
          <w:b/>
          <w:u w:val="single"/>
        </w:rPr>
        <w:t>5</w:t>
      </w:r>
      <w:r w:rsidRPr="00395697">
        <w:rPr>
          <w:rFonts w:ascii="Tahoma" w:eastAsia="Tahoma" w:hAnsi="Tahoma" w:cs="Tahoma"/>
          <w:b/>
          <w:u w:val="single"/>
        </w:rPr>
        <w:t>.2022</w:t>
      </w:r>
    </w:p>
    <w:p w14:paraId="335CEAF7" w14:textId="77777777" w:rsidR="00D322B8" w:rsidRPr="006257BE" w:rsidRDefault="00D322B8" w:rsidP="00FB099A">
      <w:pPr>
        <w:rPr>
          <w:rFonts w:ascii="Arial" w:hAnsi="Arial" w:cs="Arial"/>
          <w:b/>
          <w:bCs/>
        </w:rPr>
      </w:pPr>
    </w:p>
    <w:p w14:paraId="7297E1AF" w14:textId="1DB427E9" w:rsidR="00050F6E" w:rsidRPr="00215E8F" w:rsidRDefault="00F55ADF" w:rsidP="004A399D">
      <w:pPr>
        <w:spacing w:after="0" w:line="300" w:lineRule="auto"/>
        <w:contextualSpacing/>
        <w:jc w:val="center"/>
        <w:rPr>
          <w:rFonts w:ascii="Arial" w:hAnsi="Arial" w:cs="Arial"/>
          <w:b/>
          <w:bCs/>
          <w:sz w:val="40"/>
          <w:szCs w:val="40"/>
        </w:rPr>
      </w:pPr>
      <w:r w:rsidRPr="00215E8F">
        <w:rPr>
          <w:rFonts w:ascii="Arial" w:hAnsi="Arial" w:cs="Arial"/>
          <w:b/>
          <w:bCs/>
          <w:sz w:val="40"/>
          <w:szCs w:val="40"/>
        </w:rPr>
        <w:t>KPMG Türkiye, “Bankacılık Sektöre</w:t>
      </w:r>
      <w:r w:rsidR="00E172C7" w:rsidRPr="00215E8F">
        <w:rPr>
          <w:rFonts w:ascii="Arial" w:hAnsi="Arial" w:cs="Arial"/>
          <w:b/>
          <w:bCs/>
          <w:sz w:val="40"/>
          <w:szCs w:val="40"/>
        </w:rPr>
        <w:t>l</w:t>
      </w:r>
      <w:r w:rsidRPr="00215E8F">
        <w:rPr>
          <w:rFonts w:ascii="Arial" w:hAnsi="Arial" w:cs="Arial"/>
          <w:b/>
          <w:bCs/>
          <w:sz w:val="40"/>
          <w:szCs w:val="40"/>
        </w:rPr>
        <w:t xml:space="preserve"> Bakış </w:t>
      </w:r>
      <w:r w:rsidR="00395697">
        <w:rPr>
          <w:rFonts w:ascii="Arial" w:hAnsi="Arial" w:cs="Arial"/>
          <w:b/>
          <w:bCs/>
          <w:sz w:val="40"/>
          <w:szCs w:val="40"/>
        </w:rPr>
        <w:t>–</w:t>
      </w:r>
      <w:r w:rsidRPr="00215E8F">
        <w:rPr>
          <w:rFonts w:ascii="Arial" w:hAnsi="Arial" w:cs="Arial"/>
          <w:b/>
          <w:bCs/>
          <w:sz w:val="40"/>
          <w:szCs w:val="40"/>
        </w:rPr>
        <w:t xml:space="preserve"> 2021" raporunu yayımladı</w:t>
      </w:r>
    </w:p>
    <w:p w14:paraId="0704C3D2" w14:textId="77777777" w:rsidR="00D322B8" w:rsidRPr="00DB595B" w:rsidRDefault="00D322B8" w:rsidP="00D322B8">
      <w:pPr>
        <w:spacing w:after="0" w:line="300" w:lineRule="auto"/>
        <w:contextualSpacing/>
        <w:jc w:val="both"/>
        <w:rPr>
          <w:rFonts w:ascii="Arial" w:hAnsi="Arial" w:cs="Arial"/>
          <w:highlight w:val="yellow"/>
        </w:rPr>
      </w:pPr>
    </w:p>
    <w:p w14:paraId="2A0CACA2" w14:textId="718641F8" w:rsidR="00F55ADF" w:rsidRPr="00F55ADF" w:rsidRDefault="00F55ADF" w:rsidP="00DB45B5">
      <w:pPr>
        <w:spacing w:after="0" w:line="300" w:lineRule="auto"/>
        <w:contextualSpacing/>
        <w:jc w:val="center"/>
        <w:rPr>
          <w:rFonts w:ascii="Arial" w:hAnsi="Arial" w:cs="Arial"/>
          <w:b/>
          <w:bCs/>
          <w:sz w:val="24"/>
          <w:szCs w:val="24"/>
        </w:rPr>
      </w:pPr>
      <w:r w:rsidRPr="00F55ADF">
        <w:rPr>
          <w:rFonts w:ascii="Arial" w:hAnsi="Arial" w:cs="Arial"/>
          <w:b/>
          <w:bCs/>
          <w:sz w:val="24"/>
          <w:szCs w:val="24"/>
        </w:rPr>
        <w:t>KPMG</w:t>
      </w:r>
      <w:r>
        <w:rPr>
          <w:rFonts w:ascii="Arial" w:hAnsi="Arial" w:cs="Arial"/>
          <w:b/>
          <w:bCs/>
          <w:sz w:val="24"/>
          <w:szCs w:val="24"/>
        </w:rPr>
        <w:t xml:space="preserve"> Türkiye’nin bankacılık </w:t>
      </w:r>
      <w:r w:rsidRPr="00F55ADF">
        <w:rPr>
          <w:rFonts w:ascii="Arial" w:hAnsi="Arial" w:cs="Arial"/>
          <w:b/>
          <w:bCs/>
          <w:sz w:val="24"/>
          <w:szCs w:val="24"/>
        </w:rPr>
        <w:t>sektörün</w:t>
      </w:r>
      <w:r w:rsidR="00DB45B5">
        <w:rPr>
          <w:rFonts w:ascii="Arial" w:hAnsi="Arial" w:cs="Arial"/>
          <w:b/>
          <w:bCs/>
          <w:sz w:val="24"/>
          <w:szCs w:val="24"/>
        </w:rPr>
        <w:t>ün</w:t>
      </w:r>
      <w:r w:rsidRPr="00F55ADF">
        <w:rPr>
          <w:rFonts w:ascii="Arial" w:hAnsi="Arial" w:cs="Arial"/>
          <w:b/>
          <w:bCs/>
          <w:sz w:val="24"/>
          <w:szCs w:val="24"/>
        </w:rPr>
        <w:t xml:space="preserve"> 2021 yılına kapsayıcı bir bakış sunan “Bankacılık Sektöre Bakış </w:t>
      </w:r>
      <w:r w:rsidR="00A933F5">
        <w:rPr>
          <w:rFonts w:ascii="Arial" w:hAnsi="Arial" w:cs="Arial"/>
          <w:b/>
          <w:bCs/>
          <w:sz w:val="24"/>
          <w:szCs w:val="24"/>
        </w:rPr>
        <w:t>–</w:t>
      </w:r>
      <w:r w:rsidRPr="00F55ADF">
        <w:rPr>
          <w:rFonts w:ascii="Arial" w:hAnsi="Arial" w:cs="Arial"/>
          <w:b/>
          <w:bCs/>
          <w:sz w:val="24"/>
          <w:szCs w:val="24"/>
        </w:rPr>
        <w:t xml:space="preserve"> 2021" raporuna göre sektörün aktif toplamı 9 trilyon TL eşiğini aşarken mevduat hacmi 5,3 trilyon TL oldu. </w:t>
      </w:r>
      <w:r w:rsidR="00DB45B5">
        <w:rPr>
          <w:rFonts w:ascii="Arial" w:hAnsi="Arial" w:cs="Arial"/>
          <w:b/>
          <w:bCs/>
          <w:sz w:val="24"/>
          <w:szCs w:val="24"/>
        </w:rPr>
        <w:t>A</w:t>
      </w:r>
      <w:r w:rsidR="00DB45B5" w:rsidRPr="00F55ADF">
        <w:rPr>
          <w:rFonts w:ascii="Arial" w:hAnsi="Arial" w:cs="Arial"/>
          <w:b/>
          <w:bCs/>
          <w:sz w:val="24"/>
          <w:szCs w:val="24"/>
        </w:rPr>
        <w:t>ktif büyüklük sıralamasında kamu bankalarının ilk üç sıradaki yeri değişmedi.</w:t>
      </w:r>
      <w:r w:rsidR="00DB45B5">
        <w:rPr>
          <w:rFonts w:ascii="Arial" w:hAnsi="Arial" w:cs="Arial"/>
          <w:b/>
          <w:bCs/>
          <w:sz w:val="24"/>
          <w:szCs w:val="24"/>
        </w:rPr>
        <w:t xml:space="preserve">  </w:t>
      </w:r>
      <w:r w:rsidRPr="00F55ADF">
        <w:rPr>
          <w:rFonts w:ascii="Arial" w:hAnsi="Arial" w:cs="Arial"/>
          <w:b/>
          <w:bCs/>
          <w:sz w:val="24"/>
          <w:szCs w:val="24"/>
        </w:rPr>
        <w:t xml:space="preserve">2021 yılını 92,1 milyar TL net kâr ile kapatan sektörde kredi hacmi ise 2021 yıl sonunda 5 trilyon TL eşiğini aştı.  </w:t>
      </w:r>
      <w:r>
        <w:rPr>
          <w:rFonts w:ascii="Arial" w:hAnsi="Arial" w:cs="Arial"/>
          <w:b/>
          <w:bCs/>
          <w:sz w:val="24"/>
          <w:szCs w:val="24"/>
        </w:rPr>
        <w:t xml:space="preserve">57 bankanın faaliyet gösterdiği </w:t>
      </w:r>
      <w:r w:rsidR="00DB45B5">
        <w:rPr>
          <w:rFonts w:ascii="Arial" w:hAnsi="Arial" w:cs="Arial"/>
          <w:b/>
          <w:bCs/>
          <w:sz w:val="24"/>
          <w:szCs w:val="24"/>
        </w:rPr>
        <w:t xml:space="preserve">sektörde </w:t>
      </w:r>
      <w:r w:rsidR="00DB45B5" w:rsidRPr="00DB45B5">
        <w:rPr>
          <w:rFonts w:ascii="Arial" w:hAnsi="Arial" w:cs="Arial"/>
          <w:b/>
          <w:bCs/>
          <w:sz w:val="24"/>
          <w:szCs w:val="24"/>
        </w:rPr>
        <w:t>dijitalleşme ve müşteri tercihlerindeki değişime paralel olarak çalışan sayısı 185 bin 248’e</w:t>
      </w:r>
      <w:r w:rsidR="00DB45B5">
        <w:rPr>
          <w:rFonts w:ascii="Arial" w:hAnsi="Arial" w:cs="Arial"/>
          <w:b/>
          <w:bCs/>
          <w:sz w:val="24"/>
          <w:szCs w:val="24"/>
        </w:rPr>
        <w:t xml:space="preserve">, </w:t>
      </w:r>
      <w:r w:rsidR="00DB45B5" w:rsidRPr="00DB45B5">
        <w:rPr>
          <w:rFonts w:ascii="Arial" w:hAnsi="Arial" w:cs="Arial"/>
          <w:b/>
          <w:bCs/>
          <w:sz w:val="24"/>
          <w:szCs w:val="24"/>
        </w:rPr>
        <w:t>şube sayısı 9 bin 800</w:t>
      </w:r>
      <w:r w:rsidR="00DB45B5">
        <w:rPr>
          <w:rFonts w:ascii="Arial" w:hAnsi="Arial" w:cs="Arial"/>
          <w:b/>
          <w:bCs/>
          <w:sz w:val="24"/>
          <w:szCs w:val="24"/>
        </w:rPr>
        <w:t xml:space="preserve">’e gerilerken </w:t>
      </w:r>
      <w:r w:rsidR="00DB45B5" w:rsidRPr="00DB45B5">
        <w:rPr>
          <w:rFonts w:ascii="Arial" w:hAnsi="Arial" w:cs="Arial"/>
          <w:b/>
          <w:bCs/>
          <w:sz w:val="24"/>
          <w:szCs w:val="24"/>
        </w:rPr>
        <w:t>toplam aktif dijital bankacılık müşteri sayısı 77 milyon 932 bin kişiye ulaştı.</w:t>
      </w:r>
    </w:p>
    <w:p w14:paraId="43479E44" w14:textId="77777777" w:rsidR="00F55ADF" w:rsidRPr="00F55ADF" w:rsidRDefault="00F55ADF" w:rsidP="00F55ADF">
      <w:pPr>
        <w:spacing w:after="0" w:line="300" w:lineRule="auto"/>
        <w:contextualSpacing/>
        <w:jc w:val="center"/>
        <w:rPr>
          <w:rFonts w:ascii="Arial" w:hAnsi="Arial" w:cs="Arial"/>
          <w:b/>
          <w:bCs/>
          <w:sz w:val="24"/>
          <w:szCs w:val="24"/>
        </w:rPr>
      </w:pPr>
    </w:p>
    <w:p w14:paraId="4A1D5300" w14:textId="77777777" w:rsidR="00F55ADF" w:rsidRDefault="00F55ADF" w:rsidP="007579E4">
      <w:pPr>
        <w:spacing w:after="0" w:line="300" w:lineRule="auto"/>
        <w:contextualSpacing/>
        <w:jc w:val="both"/>
        <w:rPr>
          <w:rFonts w:ascii="Arial" w:hAnsi="Arial" w:cs="Arial"/>
        </w:rPr>
      </w:pPr>
      <w:r w:rsidRPr="00F55ADF">
        <w:rPr>
          <w:rFonts w:ascii="Arial" w:hAnsi="Arial" w:cs="Arial"/>
        </w:rPr>
        <w:t xml:space="preserve">2022 yılı ile birlikte pandeminin etkilerinin geride kalmaya başlaması bankacılık sektörü için risklerin pek çok açıdan normale dönmesini sağladı. Risklerin azalmaya başlamasının yanı sıra pandemi sonrası dünyanın, sektör oyuncularına yüklediği yeni risk unsurları da ortaya çıkıyor. Özellikle merkez bankalarının parasal sıkılaştırma adımları ve reel piyasalara sağlanan mali desteklerin çekilmeye başlaması, bu risk unsurlarının başında geliyor. Diğer yandan bankacılık sektörünün ajandasına önemli bir yer tutan dijital dönüşüm de tüm hızıyla devam ediyor. </w:t>
      </w:r>
    </w:p>
    <w:p w14:paraId="19D41B5E" w14:textId="77777777" w:rsidR="00F55ADF" w:rsidRDefault="00F55ADF" w:rsidP="007579E4">
      <w:pPr>
        <w:spacing w:after="0" w:line="300" w:lineRule="auto"/>
        <w:contextualSpacing/>
        <w:jc w:val="both"/>
        <w:rPr>
          <w:rFonts w:ascii="Arial" w:hAnsi="Arial" w:cs="Arial"/>
        </w:rPr>
      </w:pPr>
    </w:p>
    <w:p w14:paraId="2F7C06E4" w14:textId="04B72AD2" w:rsidR="00CB7D6F" w:rsidRDefault="00963425" w:rsidP="007579E4">
      <w:pPr>
        <w:spacing w:after="0" w:line="300" w:lineRule="auto"/>
        <w:contextualSpacing/>
        <w:jc w:val="both"/>
        <w:rPr>
          <w:rFonts w:ascii="Arial" w:hAnsi="Arial" w:cs="Arial"/>
        </w:rPr>
      </w:pPr>
      <w:r w:rsidRPr="00963425">
        <w:rPr>
          <w:rFonts w:ascii="Arial" w:hAnsi="Arial" w:cs="Arial"/>
        </w:rPr>
        <w:t>KPMG</w:t>
      </w:r>
      <w:r>
        <w:rPr>
          <w:rFonts w:ascii="Arial" w:hAnsi="Arial" w:cs="Arial"/>
        </w:rPr>
        <w:t xml:space="preserve"> de b</w:t>
      </w:r>
      <w:r w:rsidRPr="00963425">
        <w:rPr>
          <w:rFonts w:ascii="Arial" w:hAnsi="Arial" w:cs="Arial"/>
        </w:rPr>
        <w:t>ankacılık sektörü oyuncularının gündemi yakalayabilmesi</w:t>
      </w:r>
      <w:r w:rsidR="00010290">
        <w:rPr>
          <w:rFonts w:ascii="Arial" w:hAnsi="Arial" w:cs="Arial"/>
        </w:rPr>
        <w:t>ne</w:t>
      </w:r>
      <w:r w:rsidRPr="00963425">
        <w:rPr>
          <w:rFonts w:ascii="Arial" w:hAnsi="Arial" w:cs="Arial"/>
        </w:rPr>
        <w:t xml:space="preserve"> ve </w:t>
      </w:r>
      <w:r w:rsidR="00010290">
        <w:rPr>
          <w:rFonts w:ascii="Arial" w:hAnsi="Arial" w:cs="Arial"/>
        </w:rPr>
        <w:t xml:space="preserve">sağlıklı bir yol haritası çizmesine katkıda bulunmak </w:t>
      </w:r>
      <w:r w:rsidRPr="00963425">
        <w:rPr>
          <w:rFonts w:ascii="Arial" w:hAnsi="Arial" w:cs="Arial"/>
        </w:rPr>
        <w:t xml:space="preserve">amacıyla </w:t>
      </w:r>
      <w:r>
        <w:rPr>
          <w:rFonts w:ascii="Arial" w:hAnsi="Arial" w:cs="Arial"/>
        </w:rPr>
        <w:t xml:space="preserve">sektörün 2021 yılına kapsayıcı bir bakış sunan raporunu yayımladı. </w:t>
      </w:r>
      <w:r w:rsidR="008F4797">
        <w:rPr>
          <w:rFonts w:ascii="Arial" w:hAnsi="Arial" w:cs="Arial"/>
        </w:rPr>
        <w:t xml:space="preserve">“Bankacılık Sektöre Bakış </w:t>
      </w:r>
      <w:r w:rsidR="00AD6E5D">
        <w:rPr>
          <w:rFonts w:ascii="Arial" w:hAnsi="Arial" w:cs="Arial"/>
        </w:rPr>
        <w:t>–</w:t>
      </w:r>
      <w:r w:rsidR="008F4797">
        <w:rPr>
          <w:rFonts w:ascii="Arial" w:hAnsi="Arial" w:cs="Arial"/>
        </w:rPr>
        <w:t xml:space="preserve"> 2021" raporuna göre </w:t>
      </w:r>
      <w:r w:rsidR="00CB7D6F">
        <w:rPr>
          <w:rFonts w:ascii="Arial" w:hAnsi="Arial" w:cs="Arial"/>
        </w:rPr>
        <w:t xml:space="preserve">57 bankanın faaliyet gösterdiği sektörün </w:t>
      </w:r>
      <w:r w:rsidR="00CB7D6F" w:rsidRPr="00CB7D6F">
        <w:rPr>
          <w:rFonts w:ascii="Arial" w:hAnsi="Arial" w:cs="Arial"/>
        </w:rPr>
        <w:t xml:space="preserve">aktif toplamı 9 trilyon TL eşiğini </w:t>
      </w:r>
      <w:r w:rsidR="00CB7D6F">
        <w:rPr>
          <w:rFonts w:ascii="Arial" w:hAnsi="Arial" w:cs="Arial"/>
        </w:rPr>
        <w:t xml:space="preserve">aşarken </w:t>
      </w:r>
      <w:r w:rsidR="00CB7D6F" w:rsidRPr="00CB7D6F">
        <w:rPr>
          <w:rFonts w:ascii="Arial" w:hAnsi="Arial" w:cs="Arial"/>
        </w:rPr>
        <w:t xml:space="preserve">mevduat hacmi 5,3 trilyon TL </w:t>
      </w:r>
      <w:r w:rsidR="00CB7D6F">
        <w:rPr>
          <w:rFonts w:ascii="Arial" w:hAnsi="Arial" w:cs="Arial"/>
        </w:rPr>
        <w:t xml:space="preserve">oldu. </w:t>
      </w:r>
      <w:r w:rsidR="00CB7D6F" w:rsidRPr="00CB7D6F">
        <w:rPr>
          <w:rFonts w:ascii="Arial" w:hAnsi="Arial" w:cs="Arial"/>
        </w:rPr>
        <w:t>2021 yılını 92,1 milyar TL net k</w:t>
      </w:r>
      <w:r w:rsidR="00CB7D6F">
        <w:rPr>
          <w:rFonts w:ascii="Arial" w:hAnsi="Arial" w:cs="Arial"/>
        </w:rPr>
        <w:t>â</w:t>
      </w:r>
      <w:r w:rsidR="00CB7D6F" w:rsidRPr="00CB7D6F">
        <w:rPr>
          <w:rFonts w:ascii="Arial" w:hAnsi="Arial" w:cs="Arial"/>
        </w:rPr>
        <w:t xml:space="preserve">r ile </w:t>
      </w:r>
      <w:r w:rsidR="00CB7D6F">
        <w:rPr>
          <w:rFonts w:ascii="Arial" w:hAnsi="Arial" w:cs="Arial"/>
        </w:rPr>
        <w:t xml:space="preserve">kapatan sektörde </w:t>
      </w:r>
      <w:r w:rsidR="00CB7D6F" w:rsidRPr="00CB7D6F">
        <w:rPr>
          <w:rFonts w:ascii="Arial" w:hAnsi="Arial" w:cs="Arial"/>
        </w:rPr>
        <w:t xml:space="preserve">kredi hacmi </w:t>
      </w:r>
      <w:r w:rsidR="00CB7D6F">
        <w:rPr>
          <w:rFonts w:ascii="Arial" w:hAnsi="Arial" w:cs="Arial"/>
        </w:rPr>
        <w:t xml:space="preserve">ise </w:t>
      </w:r>
      <w:r w:rsidR="00CB7D6F" w:rsidRPr="00CB7D6F">
        <w:rPr>
          <w:rFonts w:ascii="Arial" w:hAnsi="Arial" w:cs="Arial"/>
        </w:rPr>
        <w:t xml:space="preserve">2021 yıl sonunda 5 trilyon TL eşiğini </w:t>
      </w:r>
      <w:r w:rsidR="00CB7D6F">
        <w:rPr>
          <w:rFonts w:ascii="Arial" w:hAnsi="Arial" w:cs="Arial"/>
        </w:rPr>
        <w:t xml:space="preserve">aştı. </w:t>
      </w:r>
      <w:r w:rsidR="00CB7D6F" w:rsidRPr="00CB7D6F">
        <w:rPr>
          <w:rFonts w:ascii="Arial" w:hAnsi="Arial" w:cs="Arial"/>
        </w:rPr>
        <w:t xml:space="preserve"> </w:t>
      </w:r>
    </w:p>
    <w:p w14:paraId="462EF7FC" w14:textId="77777777" w:rsidR="00CB7D6F" w:rsidRDefault="00CB7D6F" w:rsidP="007579E4">
      <w:pPr>
        <w:spacing w:after="0" w:line="300" w:lineRule="auto"/>
        <w:contextualSpacing/>
        <w:jc w:val="both"/>
        <w:rPr>
          <w:rFonts w:ascii="Arial" w:hAnsi="Arial" w:cs="Arial"/>
        </w:rPr>
      </w:pPr>
    </w:p>
    <w:p w14:paraId="56E09DBF" w14:textId="292115E8" w:rsidR="00DB595B" w:rsidRDefault="007579E4" w:rsidP="007579E4">
      <w:pPr>
        <w:spacing w:after="0" w:line="300" w:lineRule="auto"/>
        <w:contextualSpacing/>
        <w:jc w:val="both"/>
        <w:rPr>
          <w:rFonts w:ascii="Arial" w:hAnsi="Arial" w:cs="Arial"/>
        </w:rPr>
      </w:pPr>
      <w:r w:rsidRPr="007579E4">
        <w:rPr>
          <w:rFonts w:ascii="Arial" w:hAnsi="Arial" w:cs="Arial"/>
        </w:rPr>
        <w:t xml:space="preserve">Öte yandan, dijitalleşme ve müşteri tercihlerindeki değişime paralel olarak hem şube hem de personel sayısındaki düşüş trendi devam </w:t>
      </w:r>
      <w:r w:rsidR="008F4797">
        <w:rPr>
          <w:rFonts w:ascii="Arial" w:hAnsi="Arial" w:cs="Arial"/>
        </w:rPr>
        <w:t xml:space="preserve">ederek </w:t>
      </w:r>
      <w:r w:rsidR="008F4797" w:rsidRPr="008F4797">
        <w:rPr>
          <w:rFonts w:ascii="Arial" w:hAnsi="Arial" w:cs="Arial"/>
        </w:rPr>
        <w:t>çalışan sayısı ise 185</w:t>
      </w:r>
      <w:r w:rsidR="008F4797">
        <w:rPr>
          <w:rFonts w:ascii="Arial" w:hAnsi="Arial" w:cs="Arial"/>
        </w:rPr>
        <w:t xml:space="preserve"> bin </w:t>
      </w:r>
      <w:r w:rsidR="008F4797" w:rsidRPr="008F4797">
        <w:rPr>
          <w:rFonts w:ascii="Arial" w:hAnsi="Arial" w:cs="Arial"/>
        </w:rPr>
        <w:t>248</w:t>
      </w:r>
      <w:r w:rsidR="008F4797">
        <w:rPr>
          <w:rFonts w:ascii="Arial" w:hAnsi="Arial" w:cs="Arial"/>
        </w:rPr>
        <w:t xml:space="preserve">’e geriledi.  </w:t>
      </w:r>
      <w:r w:rsidRPr="007579E4">
        <w:rPr>
          <w:rFonts w:ascii="Arial" w:hAnsi="Arial" w:cs="Arial"/>
        </w:rPr>
        <w:t>2020 yılı sonunda 10</w:t>
      </w:r>
      <w:r w:rsidR="008F4797">
        <w:rPr>
          <w:rFonts w:ascii="Arial" w:hAnsi="Arial" w:cs="Arial"/>
        </w:rPr>
        <w:t xml:space="preserve"> bin </w:t>
      </w:r>
      <w:r w:rsidRPr="007579E4">
        <w:rPr>
          <w:rFonts w:ascii="Arial" w:hAnsi="Arial" w:cs="Arial"/>
        </w:rPr>
        <w:t>eşiğinin altına düşen toplam şube sayısındaki azalma trendi</w:t>
      </w:r>
      <w:r w:rsidR="008F4797">
        <w:rPr>
          <w:rFonts w:ascii="Arial" w:hAnsi="Arial" w:cs="Arial"/>
        </w:rPr>
        <w:t xml:space="preserve"> de sürdü. </w:t>
      </w:r>
      <w:r w:rsidRPr="007579E4">
        <w:rPr>
          <w:rFonts w:ascii="Arial" w:hAnsi="Arial" w:cs="Arial"/>
        </w:rPr>
        <w:t>2021 yılında toplam şube sayısı 147 adet azalarak 9</w:t>
      </w:r>
      <w:r w:rsidR="008F4797">
        <w:rPr>
          <w:rFonts w:ascii="Arial" w:hAnsi="Arial" w:cs="Arial"/>
        </w:rPr>
        <w:t xml:space="preserve"> bin </w:t>
      </w:r>
      <w:r w:rsidRPr="007579E4">
        <w:rPr>
          <w:rFonts w:ascii="Arial" w:hAnsi="Arial" w:cs="Arial"/>
        </w:rPr>
        <w:t xml:space="preserve">800 seviyesine </w:t>
      </w:r>
      <w:r w:rsidR="008F4797">
        <w:rPr>
          <w:rFonts w:ascii="Arial" w:hAnsi="Arial" w:cs="Arial"/>
        </w:rPr>
        <w:t xml:space="preserve">geriledi. Rapora göre </w:t>
      </w:r>
      <w:r w:rsidRPr="007579E4">
        <w:rPr>
          <w:rFonts w:ascii="Arial" w:hAnsi="Arial" w:cs="Arial"/>
        </w:rPr>
        <w:t>1 Ocak 2022 itibar</w:t>
      </w:r>
      <w:r w:rsidR="008F4797">
        <w:rPr>
          <w:rFonts w:ascii="Arial" w:hAnsi="Arial" w:cs="Arial"/>
        </w:rPr>
        <w:t>ıyla</w:t>
      </w:r>
      <w:r w:rsidRPr="007579E4">
        <w:rPr>
          <w:rFonts w:ascii="Arial" w:hAnsi="Arial" w:cs="Arial"/>
        </w:rPr>
        <w:t xml:space="preserve"> yürürlüğe giren dijital banka kuruluşlarına ilişkin mevzuat </w:t>
      </w:r>
      <w:r w:rsidR="008F4797">
        <w:rPr>
          <w:rFonts w:ascii="Arial" w:hAnsi="Arial" w:cs="Arial"/>
        </w:rPr>
        <w:t xml:space="preserve">da </w:t>
      </w:r>
      <w:r w:rsidRPr="007579E4">
        <w:rPr>
          <w:rFonts w:ascii="Arial" w:hAnsi="Arial" w:cs="Arial"/>
        </w:rPr>
        <w:t xml:space="preserve">bu trendin devam edeceğini </w:t>
      </w:r>
      <w:r w:rsidR="008F4797">
        <w:rPr>
          <w:rFonts w:ascii="Arial" w:hAnsi="Arial" w:cs="Arial"/>
        </w:rPr>
        <w:t>gösteriyor</w:t>
      </w:r>
      <w:r w:rsidRPr="007579E4">
        <w:rPr>
          <w:rFonts w:ascii="Arial" w:hAnsi="Arial" w:cs="Arial"/>
        </w:rPr>
        <w:t>.</w:t>
      </w:r>
    </w:p>
    <w:p w14:paraId="4DF7BD14" w14:textId="341D8A59" w:rsidR="008F4797" w:rsidRDefault="008F4797" w:rsidP="007579E4">
      <w:pPr>
        <w:spacing w:after="0" w:line="300" w:lineRule="auto"/>
        <w:contextualSpacing/>
        <w:jc w:val="both"/>
        <w:rPr>
          <w:rFonts w:ascii="Arial" w:hAnsi="Arial" w:cs="Arial"/>
        </w:rPr>
      </w:pPr>
    </w:p>
    <w:p w14:paraId="2AF1A416" w14:textId="37D3E134" w:rsidR="009F4C03" w:rsidRDefault="009F4C03" w:rsidP="007579E4">
      <w:pPr>
        <w:spacing w:after="0" w:line="300" w:lineRule="auto"/>
        <w:contextualSpacing/>
        <w:jc w:val="both"/>
        <w:rPr>
          <w:rFonts w:ascii="Arial" w:hAnsi="Arial" w:cs="Arial"/>
        </w:rPr>
      </w:pPr>
      <w:r w:rsidRPr="009F4C03">
        <w:rPr>
          <w:rFonts w:ascii="Arial" w:hAnsi="Arial" w:cs="Arial"/>
        </w:rPr>
        <w:t xml:space="preserve">KPMG’nin raporunda öne çıkan </w:t>
      </w:r>
      <w:r>
        <w:rPr>
          <w:rFonts w:ascii="Arial" w:hAnsi="Arial" w:cs="Arial"/>
        </w:rPr>
        <w:t>rakamlar ise şu şekilde:</w:t>
      </w:r>
    </w:p>
    <w:p w14:paraId="4C847283" w14:textId="77777777" w:rsidR="009F4C03" w:rsidRDefault="009F4C03" w:rsidP="007579E4">
      <w:pPr>
        <w:spacing w:after="0" w:line="300" w:lineRule="auto"/>
        <w:contextualSpacing/>
        <w:jc w:val="both"/>
        <w:rPr>
          <w:rFonts w:ascii="Arial" w:hAnsi="Arial" w:cs="Arial"/>
        </w:rPr>
      </w:pPr>
    </w:p>
    <w:p w14:paraId="3FBF43FD" w14:textId="605D2394" w:rsidR="007579E4" w:rsidRPr="00F43113" w:rsidRDefault="007579E4" w:rsidP="007579E4">
      <w:pPr>
        <w:spacing w:after="0" w:line="300" w:lineRule="auto"/>
        <w:contextualSpacing/>
        <w:jc w:val="both"/>
        <w:rPr>
          <w:rFonts w:ascii="Arial" w:hAnsi="Arial" w:cs="Arial"/>
          <w:b/>
          <w:bCs/>
        </w:rPr>
      </w:pPr>
      <w:r w:rsidRPr="00F43113">
        <w:rPr>
          <w:rFonts w:ascii="Arial" w:hAnsi="Arial" w:cs="Arial"/>
          <w:b/>
          <w:bCs/>
        </w:rPr>
        <w:t>Sektör bilançosu</w:t>
      </w:r>
      <w:r w:rsidR="00F43113" w:rsidRPr="00F43113">
        <w:rPr>
          <w:rFonts w:ascii="Arial" w:hAnsi="Arial" w:cs="Arial"/>
          <w:b/>
          <w:bCs/>
        </w:rPr>
        <w:t xml:space="preserve"> ve kârlılığı</w:t>
      </w:r>
    </w:p>
    <w:p w14:paraId="31549024" w14:textId="0F450ED9" w:rsidR="00615B53" w:rsidRDefault="007579E4" w:rsidP="00615B53">
      <w:pPr>
        <w:spacing w:after="0" w:line="300" w:lineRule="auto"/>
        <w:contextualSpacing/>
        <w:jc w:val="both"/>
        <w:rPr>
          <w:rFonts w:ascii="Arial" w:hAnsi="Arial" w:cs="Arial"/>
        </w:rPr>
      </w:pPr>
      <w:r w:rsidRPr="007579E4">
        <w:rPr>
          <w:rFonts w:ascii="Arial" w:hAnsi="Arial" w:cs="Arial"/>
        </w:rPr>
        <w:lastRenderedPageBreak/>
        <w:t xml:space="preserve">Pandemi dönemindeki yapısal değişimleri ve 2021 yıl sonunda yaşanan hızlı kur hareketini atlatan sektörün aktif toplamı 9 trilyon TL eşiğini </w:t>
      </w:r>
      <w:r w:rsidR="009F4C03">
        <w:rPr>
          <w:rFonts w:ascii="Arial" w:hAnsi="Arial" w:cs="Arial"/>
        </w:rPr>
        <w:t>aşarken s</w:t>
      </w:r>
      <w:r w:rsidRPr="007579E4">
        <w:rPr>
          <w:rFonts w:ascii="Arial" w:hAnsi="Arial" w:cs="Arial"/>
        </w:rPr>
        <w:t xml:space="preserve">ektörün mevduat hacmi 5,3 trilyon TL seviyesinde </w:t>
      </w:r>
      <w:r w:rsidR="009F4C03">
        <w:rPr>
          <w:rFonts w:ascii="Arial" w:hAnsi="Arial" w:cs="Arial"/>
        </w:rPr>
        <w:t>bulunuyor</w:t>
      </w:r>
      <w:r w:rsidRPr="007579E4">
        <w:rPr>
          <w:rFonts w:ascii="Arial" w:hAnsi="Arial" w:cs="Arial"/>
        </w:rPr>
        <w:t xml:space="preserve">. Bu hacim, tarihi bir zirveye işaret ederken artışın ana sebeplerinden birinin de TL’de yaşanan değer kaybı sebebiyle </w:t>
      </w:r>
      <w:r w:rsidR="00F43113" w:rsidRPr="00F43113">
        <w:rPr>
          <w:rFonts w:ascii="Arial" w:hAnsi="Arial" w:cs="Arial"/>
        </w:rPr>
        <w:t>döviz tevdiat hesa</w:t>
      </w:r>
      <w:r w:rsidR="00F43113">
        <w:rPr>
          <w:rFonts w:ascii="Arial" w:hAnsi="Arial" w:cs="Arial"/>
        </w:rPr>
        <w:t>plarının (</w:t>
      </w:r>
      <w:r w:rsidRPr="007579E4">
        <w:rPr>
          <w:rFonts w:ascii="Arial" w:hAnsi="Arial" w:cs="Arial"/>
        </w:rPr>
        <w:t>DTH</w:t>
      </w:r>
      <w:r w:rsidR="00F43113">
        <w:rPr>
          <w:rFonts w:ascii="Arial" w:hAnsi="Arial" w:cs="Arial"/>
        </w:rPr>
        <w:t>)</w:t>
      </w:r>
      <w:r w:rsidRPr="007579E4">
        <w:rPr>
          <w:rFonts w:ascii="Arial" w:hAnsi="Arial" w:cs="Arial"/>
        </w:rPr>
        <w:t xml:space="preserve"> değerinin yükselmesi olduğu</w:t>
      </w:r>
      <w:r w:rsidR="00F43113">
        <w:rPr>
          <w:rFonts w:ascii="Arial" w:hAnsi="Arial" w:cs="Arial"/>
        </w:rPr>
        <w:t xml:space="preserve"> belirtildi</w:t>
      </w:r>
      <w:r w:rsidRPr="007579E4">
        <w:rPr>
          <w:rFonts w:ascii="Arial" w:hAnsi="Arial" w:cs="Arial"/>
        </w:rPr>
        <w:t>.</w:t>
      </w:r>
      <w:r w:rsidR="00F43113">
        <w:rPr>
          <w:rFonts w:ascii="Arial" w:hAnsi="Arial" w:cs="Arial"/>
        </w:rPr>
        <w:t xml:space="preserve"> </w:t>
      </w:r>
      <w:r w:rsidRPr="007579E4">
        <w:rPr>
          <w:rFonts w:ascii="Arial" w:hAnsi="Arial" w:cs="Arial"/>
        </w:rPr>
        <w:t>Sektörün toplam net kârı</w:t>
      </w:r>
      <w:r w:rsidR="00F43113">
        <w:rPr>
          <w:rFonts w:ascii="Arial" w:hAnsi="Arial" w:cs="Arial"/>
        </w:rPr>
        <w:t xml:space="preserve"> ise </w:t>
      </w:r>
      <w:r w:rsidRPr="007579E4">
        <w:rPr>
          <w:rFonts w:ascii="Arial" w:hAnsi="Arial" w:cs="Arial"/>
        </w:rPr>
        <w:t xml:space="preserve">2021 yıl sonunda neredeyse önceki iki yılın toplamına </w:t>
      </w:r>
      <w:r w:rsidR="00F43113">
        <w:rPr>
          <w:rFonts w:ascii="Arial" w:hAnsi="Arial" w:cs="Arial"/>
        </w:rPr>
        <w:t>erişti</w:t>
      </w:r>
      <w:r w:rsidRPr="007579E4">
        <w:rPr>
          <w:rFonts w:ascii="Arial" w:hAnsi="Arial" w:cs="Arial"/>
        </w:rPr>
        <w:t>. Sektörün toplam öz</w:t>
      </w:r>
      <w:r w:rsidR="00F43113">
        <w:rPr>
          <w:rFonts w:ascii="Arial" w:hAnsi="Arial" w:cs="Arial"/>
        </w:rPr>
        <w:t xml:space="preserve"> </w:t>
      </w:r>
      <w:r w:rsidRPr="007579E4">
        <w:rPr>
          <w:rFonts w:ascii="Arial" w:hAnsi="Arial" w:cs="Arial"/>
        </w:rPr>
        <w:t xml:space="preserve">kaynakları </w:t>
      </w:r>
      <w:r w:rsidR="00F43113">
        <w:rPr>
          <w:rFonts w:ascii="Arial" w:hAnsi="Arial" w:cs="Arial"/>
        </w:rPr>
        <w:t xml:space="preserve">da </w:t>
      </w:r>
      <w:r w:rsidRPr="007579E4">
        <w:rPr>
          <w:rFonts w:ascii="Arial" w:hAnsi="Arial" w:cs="Arial"/>
        </w:rPr>
        <w:t xml:space="preserve">711 milyar TL seviyesine </w:t>
      </w:r>
      <w:r w:rsidR="00F43113">
        <w:rPr>
          <w:rFonts w:ascii="Arial" w:hAnsi="Arial" w:cs="Arial"/>
        </w:rPr>
        <w:t>ulaştı</w:t>
      </w:r>
      <w:r w:rsidRPr="007579E4">
        <w:rPr>
          <w:rFonts w:ascii="Arial" w:hAnsi="Arial" w:cs="Arial"/>
        </w:rPr>
        <w:t>.</w:t>
      </w:r>
      <w:r>
        <w:rPr>
          <w:rFonts w:ascii="Arial" w:hAnsi="Arial" w:cs="Arial"/>
        </w:rPr>
        <w:t xml:space="preserve"> </w:t>
      </w:r>
      <w:r w:rsidRPr="007579E4">
        <w:rPr>
          <w:rFonts w:ascii="Arial" w:hAnsi="Arial" w:cs="Arial"/>
        </w:rPr>
        <w:t xml:space="preserve">Sektörün aktif büyüklük sıralamasında kamu bankalarının ilk üç sıradaki yeri </w:t>
      </w:r>
      <w:r w:rsidR="00F43113">
        <w:rPr>
          <w:rFonts w:ascii="Arial" w:hAnsi="Arial" w:cs="Arial"/>
        </w:rPr>
        <w:t>değişmedi</w:t>
      </w:r>
      <w:r w:rsidRPr="007579E4">
        <w:rPr>
          <w:rFonts w:ascii="Arial" w:hAnsi="Arial" w:cs="Arial"/>
        </w:rPr>
        <w:t>.</w:t>
      </w:r>
      <w:r w:rsidR="003E1C06" w:rsidRPr="003E1C06">
        <w:t xml:space="preserve"> </w:t>
      </w:r>
      <w:r w:rsidR="00F43113">
        <w:t>B</w:t>
      </w:r>
      <w:r w:rsidR="003E1C06" w:rsidRPr="003E1C06">
        <w:rPr>
          <w:rFonts w:ascii="Arial" w:hAnsi="Arial" w:cs="Arial"/>
        </w:rPr>
        <w:t>ankacılık sektörü aktif büyüklük payları</w:t>
      </w:r>
      <w:r w:rsidR="00F43113">
        <w:rPr>
          <w:rFonts w:ascii="Arial" w:hAnsi="Arial" w:cs="Arial"/>
        </w:rPr>
        <w:t xml:space="preserve"> sırasıyla şu şekilde oldu</w:t>
      </w:r>
      <w:r w:rsidR="003E1C06" w:rsidRPr="003E1C06">
        <w:rPr>
          <w:rFonts w:ascii="Arial" w:hAnsi="Arial" w:cs="Arial"/>
        </w:rPr>
        <w:t>: TCZB yüzde 16,4, Vakıfbank yüzde 11,8, Halkbank yüzde 11,1, İşbank yüzde 10,8, Garanti yüzde 8,8, YKB yüzde 8,6, Akbank yüzde 8,5, QNB Finansbank yüzde 4,2</w:t>
      </w:r>
      <w:r w:rsidR="00F43113">
        <w:rPr>
          <w:rFonts w:ascii="Arial" w:hAnsi="Arial" w:cs="Arial"/>
        </w:rPr>
        <w:t xml:space="preserve"> ve</w:t>
      </w:r>
      <w:r w:rsidR="003E1C06" w:rsidRPr="003E1C06">
        <w:rPr>
          <w:rFonts w:ascii="Arial" w:hAnsi="Arial" w:cs="Arial"/>
        </w:rPr>
        <w:t xml:space="preserve"> Eximbank yüzde 3,8</w:t>
      </w:r>
      <w:r w:rsidR="00F43113">
        <w:rPr>
          <w:rFonts w:ascii="Arial" w:hAnsi="Arial" w:cs="Arial"/>
        </w:rPr>
        <w:t xml:space="preserve">. </w:t>
      </w:r>
      <w:r w:rsidR="00615B53" w:rsidRPr="00615B53">
        <w:rPr>
          <w:rFonts w:ascii="Arial" w:hAnsi="Arial" w:cs="Arial"/>
        </w:rPr>
        <w:t>Sektör, 2021 yılını 92,1 milyar TL net k</w:t>
      </w:r>
      <w:r w:rsidR="00F43113">
        <w:rPr>
          <w:rFonts w:ascii="Arial" w:hAnsi="Arial" w:cs="Arial"/>
        </w:rPr>
        <w:t>â</w:t>
      </w:r>
      <w:r w:rsidR="00615B53" w:rsidRPr="00615B53">
        <w:rPr>
          <w:rFonts w:ascii="Arial" w:hAnsi="Arial" w:cs="Arial"/>
        </w:rPr>
        <w:t xml:space="preserve">r ile </w:t>
      </w:r>
      <w:r w:rsidR="00F43113">
        <w:rPr>
          <w:rFonts w:ascii="Arial" w:hAnsi="Arial" w:cs="Arial"/>
        </w:rPr>
        <w:t xml:space="preserve">kapattı. </w:t>
      </w:r>
      <w:r w:rsidR="00615B53" w:rsidRPr="00615B53">
        <w:rPr>
          <w:rFonts w:ascii="Arial" w:hAnsi="Arial" w:cs="Arial"/>
        </w:rPr>
        <w:t>Bu da</w:t>
      </w:r>
      <w:r w:rsidR="00F43113">
        <w:rPr>
          <w:rFonts w:ascii="Arial" w:hAnsi="Arial" w:cs="Arial"/>
        </w:rPr>
        <w:t xml:space="preserve"> </w:t>
      </w:r>
      <w:r w:rsidR="00615B53" w:rsidRPr="00615B53">
        <w:rPr>
          <w:rFonts w:ascii="Arial" w:hAnsi="Arial" w:cs="Arial"/>
        </w:rPr>
        <w:t xml:space="preserve">2020 yıl sonu ile </w:t>
      </w:r>
      <w:r w:rsidR="00F43113">
        <w:rPr>
          <w:rFonts w:ascii="Arial" w:hAnsi="Arial" w:cs="Arial"/>
        </w:rPr>
        <w:t xml:space="preserve">kıyaslandığında </w:t>
      </w:r>
      <w:r w:rsidR="00615B53" w:rsidRPr="00615B53">
        <w:rPr>
          <w:rFonts w:ascii="Arial" w:hAnsi="Arial" w:cs="Arial"/>
        </w:rPr>
        <w:t xml:space="preserve">kârlılıkta </w:t>
      </w:r>
      <w:r w:rsidR="00F43113">
        <w:rPr>
          <w:rFonts w:ascii="Arial" w:hAnsi="Arial" w:cs="Arial"/>
        </w:rPr>
        <w:t xml:space="preserve">yüzde </w:t>
      </w:r>
      <w:r w:rsidR="00615B53" w:rsidRPr="00615B53">
        <w:rPr>
          <w:rFonts w:ascii="Arial" w:hAnsi="Arial" w:cs="Arial"/>
        </w:rPr>
        <w:t xml:space="preserve">57’nin üzerinde bir artışa denk </w:t>
      </w:r>
      <w:r w:rsidR="00F43113">
        <w:rPr>
          <w:rFonts w:ascii="Arial" w:hAnsi="Arial" w:cs="Arial"/>
        </w:rPr>
        <w:t>geliyor</w:t>
      </w:r>
      <w:r w:rsidR="00615B53" w:rsidRPr="00615B53">
        <w:rPr>
          <w:rFonts w:ascii="Arial" w:hAnsi="Arial" w:cs="Arial"/>
        </w:rPr>
        <w:t>. 2022 yılında Bankacılık sektöründe TÜFE’ye endeksli menkul kıymet getirilerinin artacağına ilişkin beklenti sektördeki k</w:t>
      </w:r>
      <w:r w:rsidR="00F43113">
        <w:rPr>
          <w:rFonts w:ascii="Arial" w:hAnsi="Arial" w:cs="Arial"/>
        </w:rPr>
        <w:t>â</w:t>
      </w:r>
      <w:r w:rsidR="00615B53" w:rsidRPr="00615B53">
        <w:rPr>
          <w:rFonts w:ascii="Arial" w:hAnsi="Arial" w:cs="Arial"/>
        </w:rPr>
        <w:t xml:space="preserve">rlılığı olumlu yönde </w:t>
      </w:r>
      <w:r w:rsidR="00F43113">
        <w:rPr>
          <w:rFonts w:ascii="Arial" w:hAnsi="Arial" w:cs="Arial"/>
        </w:rPr>
        <w:t>etkiliyor</w:t>
      </w:r>
      <w:r w:rsidR="00615B53" w:rsidRPr="00615B53">
        <w:rPr>
          <w:rFonts w:ascii="Arial" w:hAnsi="Arial" w:cs="Arial"/>
        </w:rPr>
        <w:t>. Bu beklentiyle beraber gerçekleşmesi tahmin edilen kredi büyümesi</w:t>
      </w:r>
      <w:r w:rsidR="00F43113">
        <w:rPr>
          <w:rFonts w:ascii="Arial" w:hAnsi="Arial" w:cs="Arial"/>
        </w:rPr>
        <w:t xml:space="preserve"> nedeniyle</w:t>
      </w:r>
      <w:r w:rsidR="00615B53" w:rsidRPr="00615B53">
        <w:rPr>
          <w:rFonts w:ascii="Arial" w:hAnsi="Arial" w:cs="Arial"/>
        </w:rPr>
        <w:t xml:space="preserve"> de sektörde kârlılığın 2022 yılında yüzde 150 büyümesi tahmin ediliyor.</w:t>
      </w:r>
    </w:p>
    <w:p w14:paraId="3EC4DC11" w14:textId="77777777" w:rsidR="00615B53" w:rsidRDefault="00615B53" w:rsidP="00615B53">
      <w:pPr>
        <w:spacing w:after="0" w:line="300" w:lineRule="auto"/>
        <w:contextualSpacing/>
        <w:jc w:val="both"/>
        <w:rPr>
          <w:rFonts w:ascii="Arial" w:hAnsi="Arial" w:cs="Arial"/>
        </w:rPr>
      </w:pPr>
    </w:p>
    <w:p w14:paraId="60A48B24" w14:textId="77777777" w:rsidR="003E1C06" w:rsidRPr="003E1C06" w:rsidRDefault="003E1C06" w:rsidP="003E1C06">
      <w:pPr>
        <w:spacing w:after="0" w:line="300" w:lineRule="auto"/>
        <w:contextualSpacing/>
        <w:jc w:val="both"/>
        <w:rPr>
          <w:rFonts w:ascii="Arial" w:hAnsi="Arial" w:cs="Arial"/>
          <w:b/>
          <w:bCs/>
        </w:rPr>
      </w:pPr>
      <w:r w:rsidRPr="003E1C06">
        <w:rPr>
          <w:rFonts w:ascii="Arial" w:hAnsi="Arial" w:cs="Arial"/>
          <w:b/>
          <w:bCs/>
        </w:rPr>
        <w:t>Krediler</w:t>
      </w:r>
    </w:p>
    <w:p w14:paraId="7681DF4A" w14:textId="1E044A50" w:rsidR="00DB595B" w:rsidRDefault="00F43113" w:rsidP="00D7503B">
      <w:pPr>
        <w:spacing w:after="0" w:line="300" w:lineRule="auto"/>
        <w:contextualSpacing/>
        <w:jc w:val="both"/>
        <w:rPr>
          <w:rFonts w:ascii="Arial" w:hAnsi="Arial" w:cs="Arial"/>
        </w:rPr>
      </w:pPr>
      <w:r>
        <w:rPr>
          <w:rFonts w:ascii="Arial" w:hAnsi="Arial" w:cs="Arial"/>
        </w:rPr>
        <w:t>S</w:t>
      </w:r>
      <w:r w:rsidR="003E1C06" w:rsidRPr="003E1C06">
        <w:rPr>
          <w:rFonts w:ascii="Arial" w:hAnsi="Arial" w:cs="Arial"/>
        </w:rPr>
        <w:t xml:space="preserve">ektörün kredi hacmi 2021 yıl sonunda 5 trilyon TL eşiğini </w:t>
      </w:r>
      <w:r>
        <w:rPr>
          <w:rFonts w:ascii="Arial" w:hAnsi="Arial" w:cs="Arial"/>
        </w:rPr>
        <w:t xml:space="preserve">aşarken </w:t>
      </w:r>
      <w:r w:rsidR="003E1C06" w:rsidRPr="003E1C06">
        <w:rPr>
          <w:rFonts w:ascii="Arial" w:hAnsi="Arial" w:cs="Arial"/>
        </w:rPr>
        <w:t xml:space="preserve">yıllık kredi büyümesi </w:t>
      </w:r>
      <w:r>
        <w:rPr>
          <w:rFonts w:ascii="Arial" w:hAnsi="Arial" w:cs="Arial"/>
        </w:rPr>
        <w:t xml:space="preserve">yüzde </w:t>
      </w:r>
      <w:r w:rsidR="003E1C06" w:rsidRPr="003E1C06">
        <w:rPr>
          <w:rFonts w:ascii="Arial" w:hAnsi="Arial" w:cs="Arial"/>
        </w:rPr>
        <w:t xml:space="preserve">37 </w:t>
      </w:r>
      <w:r>
        <w:rPr>
          <w:rFonts w:ascii="Arial" w:hAnsi="Arial" w:cs="Arial"/>
        </w:rPr>
        <w:t xml:space="preserve">olarak gerçekleşti. </w:t>
      </w:r>
      <w:r w:rsidR="00B678AF" w:rsidRPr="00B678AF">
        <w:rPr>
          <w:rFonts w:ascii="Arial" w:hAnsi="Arial" w:cs="Arial"/>
        </w:rPr>
        <w:t xml:space="preserve">Kredi tiplerine göre kredi hacimlerine bakıldığında ticari ve diğer krediler 4,11 trilyon liralık bir hacme ulaşırken tüketici kredilerindeki hacim 989,1 milyar TL'ye ulaştı. </w:t>
      </w:r>
      <w:r>
        <w:rPr>
          <w:rFonts w:ascii="Arial" w:hAnsi="Arial" w:cs="Arial"/>
        </w:rPr>
        <w:t>T</w:t>
      </w:r>
      <w:r w:rsidR="00B678AF" w:rsidRPr="00B678AF">
        <w:rPr>
          <w:rFonts w:ascii="Arial" w:hAnsi="Arial" w:cs="Arial"/>
        </w:rPr>
        <w:t>üketici kredileri içerisinde ilk sırada 462,5 milyar TL ile ihti</w:t>
      </w:r>
      <w:r>
        <w:rPr>
          <w:rFonts w:ascii="Arial" w:hAnsi="Arial" w:cs="Arial"/>
        </w:rPr>
        <w:t>ya</w:t>
      </w:r>
      <w:r w:rsidR="00B678AF" w:rsidRPr="00B678AF">
        <w:rPr>
          <w:rFonts w:ascii="Arial" w:hAnsi="Arial" w:cs="Arial"/>
        </w:rPr>
        <w:t>ç kre</w:t>
      </w:r>
      <w:r>
        <w:rPr>
          <w:rFonts w:ascii="Arial" w:hAnsi="Arial" w:cs="Arial"/>
        </w:rPr>
        <w:t>d</w:t>
      </w:r>
      <w:r w:rsidR="00B678AF" w:rsidRPr="00B678AF">
        <w:rPr>
          <w:rFonts w:ascii="Arial" w:hAnsi="Arial" w:cs="Arial"/>
        </w:rPr>
        <w:t xml:space="preserve">ileri yer alırken bunu sırasıyla 301,4 ile konut kredileri, 212,5 milyar TL ile kredi kartları ve 12,6 milyar TL ile taşıt kredileri </w:t>
      </w:r>
      <w:r>
        <w:rPr>
          <w:rFonts w:ascii="Arial" w:hAnsi="Arial" w:cs="Arial"/>
        </w:rPr>
        <w:t>izledi</w:t>
      </w:r>
      <w:r w:rsidR="00B678AF" w:rsidRPr="00B678AF">
        <w:rPr>
          <w:rFonts w:ascii="Arial" w:hAnsi="Arial" w:cs="Arial"/>
        </w:rPr>
        <w:t>.</w:t>
      </w:r>
      <w:r>
        <w:rPr>
          <w:rFonts w:ascii="Arial" w:hAnsi="Arial" w:cs="Arial"/>
        </w:rPr>
        <w:t xml:space="preserve"> </w:t>
      </w:r>
      <w:r w:rsidR="00B678AF" w:rsidRPr="00B678AF">
        <w:rPr>
          <w:rFonts w:ascii="Arial" w:hAnsi="Arial" w:cs="Arial"/>
        </w:rPr>
        <w:t xml:space="preserve">Sektörde yaşanan kredi büyümesi ivmesi ve BDDK tarafından yapılan düzenlemeler takipteki alacaklar oranının oldukça sınırlı kalmasını </w:t>
      </w:r>
      <w:r>
        <w:rPr>
          <w:rFonts w:ascii="Arial" w:hAnsi="Arial" w:cs="Arial"/>
        </w:rPr>
        <w:t>sağladı</w:t>
      </w:r>
      <w:r w:rsidR="00B678AF" w:rsidRPr="00B678AF">
        <w:rPr>
          <w:rFonts w:ascii="Arial" w:hAnsi="Arial" w:cs="Arial"/>
        </w:rPr>
        <w:t xml:space="preserve">. 2019 yılını </w:t>
      </w:r>
      <w:r>
        <w:rPr>
          <w:rFonts w:ascii="Arial" w:hAnsi="Arial" w:cs="Arial"/>
        </w:rPr>
        <w:t xml:space="preserve">yüzde </w:t>
      </w:r>
      <w:r w:rsidR="00B678AF" w:rsidRPr="00B678AF">
        <w:rPr>
          <w:rFonts w:ascii="Arial" w:hAnsi="Arial" w:cs="Arial"/>
        </w:rPr>
        <w:t xml:space="preserve">5,4 ve 2020 yılını </w:t>
      </w:r>
      <w:r>
        <w:rPr>
          <w:rFonts w:ascii="Arial" w:hAnsi="Arial" w:cs="Arial"/>
        </w:rPr>
        <w:t xml:space="preserve">yüzde </w:t>
      </w:r>
      <w:r w:rsidR="00B678AF" w:rsidRPr="00B678AF">
        <w:rPr>
          <w:rFonts w:ascii="Arial" w:hAnsi="Arial" w:cs="Arial"/>
        </w:rPr>
        <w:t>4,1 oranları ile kapatan sektör</w:t>
      </w:r>
      <w:r>
        <w:rPr>
          <w:rFonts w:ascii="Arial" w:hAnsi="Arial" w:cs="Arial"/>
        </w:rPr>
        <w:t>,</w:t>
      </w:r>
      <w:r w:rsidR="00B678AF" w:rsidRPr="00B678AF">
        <w:rPr>
          <w:rFonts w:ascii="Arial" w:hAnsi="Arial" w:cs="Arial"/>
        </w:rPr>
        <w:t xml:space="preserve"> 2021 yılını </w:t>
      </w:r>
      <w:r>
        <w:rPr>
          <w:rFonts w:ascii="Arial" w:hAnsi="Arial" w:cs="Arial"/>
        </w:rPr>
        <w:t xml:space="preserve">yüzde </w:t>
      </w:r>
      <w:r w:rsidR="00B678AF" w:rsidRPr="00B678AF">
        <w:rPr>
          <w:rFonts w:ascii="Arial" w:hAnsi="Arial" w:cs="Arial"/>
        </w:rPr>
        <w:t xml:space="preserve">3,2 ile </w:t>
      </w:r>
      <w:r>
        <w:rPr>
          <w:rFonts w:ascii="Arial" w:hAnsi="Arial" w:cs="Arial"/>
        </w:rPr>
        <w:t>kapattı</w:t>
      </w:r>
      <w:r w:rsidR="00B678AF" w:rsidRPr="00B678AF">
        <w:rPr>
          <w:rFonts w:ascii="Arial" w:hAnsi="Arial" w:cs="Arial"/>
        </w:rPr>
        <w:t>.  Sektör</w:t>
      </w:r>
      <w:r>
        <w:rPr>
          <w:rFonts w:ascii="Arial" w:hAnsi="Arial" w:cs="Arial"/>
        </w:rPr>
        <w:t>ün</w:t>
      </w:r>
      <w:r w:rsidR="00B678AF" w:rsidRPr="00B678AF">
        <w:rPr>
          <w:rFonts w:ascii="Arial" w:hAnsi="Arial" w:cs="Arial"/>
        </w:rPr>
        <w:t>, 2021 yılı</w:t>
      </w:r>
      <w:r>
        <w:rPr>
          <w:rFonts w:ascii="Arial" w:hAnsi="Arial" w:cs="Arial"/>
        </w:rPr>
        <w:t xml:space="preserve">nda </w:t>
      </w:r>
      <w:r w:rsidR="00B678AF" w:rsidRPr="00B678AF">
        <w:rPr>
          <w:rFonts w:ascii="Arial" w:hAnsi="Arial" w:cs="Arial"/>
        </w:rPr>
        <w:t>takipteki alacak</w:t>
      </w:r>
      <w:r>
        <w:rPr>
          <w:rFonts w:ascii="Arial" w:hAnsi="Arial" w:cs="Arial"/>
        </w:rPr>
        <w:t xml:space="preserve">ları </w:t>
      </w:r>
      <w:r w:rsidRPr="00B678AF">
        <w:rPr>
          <w:rFonts w:ascii="Arial" w:hAnsi="Arial" w:cs="Arial"/>
        </w:rPr>
        <w:t>160 milyar TL</w:t>
      </w:r>
      <w:r>
        <w:rPr>
          <w:rFonts w:ascii="Arial" w:hAnsi="Arial" w:cs="Arial"/>
        </w:rPr>
        <w:t xml:space="preserve"> oldu. </w:t>
      </w:r>
    </w:p>
    <w:p w14:paraId="233064E4" w14:textId="2E0B7735" w:rsidR="00B678AF" w:rsidRDefault="00B678AF" w:rsidP="00D7503B">
      <w:pPr>
        <w:spacing w:after="0" w:line="300" w:lineRule="auto"/>
        <w:contextualSpacing/>
        <w:jc w:val="both"/>
        <w:rPr>
          <w:rFonts w:ascii="Arial" w:hAnsi="Arial" w:cs="Arial"/>
        </w:rPr>
      </w:pPr>
    </w:p>
    <w:p w14:paraId="56A11A96" w14:textId="77777777" w:rsidR="00B678AF" w:rsidRPr="00F43113" w:rsidRDefault="00B678AF" w:rsidP="00B678AF">
      <w:pPr>
        <w:spacing w:after="0" w:line="300" w:lineRule="auto"/>
        <w:contextualSpacing/>
        <w:jc w:val="both"/>
        <w:rPr>
          <w:rFonts w:ascii="Arial" w:hAnsi="Arial" w:cs="Arial"/>
          <w:b/>
          <w:bCs/>
        </w:rPr>
      </w:pPr>
      <w:r w:rsidRPr="00F43113">
        <w:rPr>
          <w:rFonts w:ascii="Arial" w:hAnsi="Arial" w:cs="Arial"/>
          <w:b/>
          <w:bCs/>
        </w:rPr>
        <w:t>Mevduatlar</w:t>
      </w:r>
    </w:p>
    <w:p w14:paraId="08E8FCCE" w14:textId="39F4DF68" w:rsidR="00B678AF" w:rsidRDefault="00B678AF" w:rsidP="00615B53">
      <w:pPr>
        <w:spacing w:after="0" w:line="300" w:lineRule="auto"/>
        <w:contextualSpacing/>
        <w:jc w:val="both"/>
        <w:rPr>
          <w:rFonts w:ascii="Arial" w:hAnsi="Arial" w:cs="Arial"/>
        </w:rPr>
      </w:pPr>
      <w:r w:rsidRPr="00B678AF">
        <w:rPr>
          <w:rFonts w:ascii="Arial" w:hAnsi="Arial" w:cs="Arial"/>
        </w:rPr>
        <w:t xml:space="preserve">Sektörün mevduat tabanı 2019’a göre </w:t>
      </w:r>
      <w:r w:rsidR="00F43113">
        <w:rPr>
          <w:rFonts w:ascii="Arial" w:hAnsi="Arial" w:cs="Arial"/>
        </w:rPr>
        <w:t xml:space="preserve">yüzde </w:t>
      </w:r>
      <w:r w:rsidRPr="00B678AF">
        <w:rPr>
          <w:rFonts w:ascii="Arial" w:hAnsi="Arial" w:cs="Arial"/>
        </w:rPr>
        <w:t xml:space="preserve">108 ve 2020’ye göre </w:t>
      </w:r>
      <w:r w:rsidR="00F43113">
        <w:rPr>
          <w:rFonts w:ascii="Arial" w:hAnsi="Arial" w:cs="Arial"/>
        </w:rPr>
        <w:t xml:space="preserve">yüzde </w:t>
      </w:r>
      <w:r w:rsidRPr="00B678AF">
        <w:rPr>
          <w:rFonts w:ascii="Arial" w:hAnsi="Arial" w:cs="Arial"/>
        </w:rPr>
        <w:t>53</w:t>
      </w:r>
      <w:r w:rsidR="00F43113">
        <w:rPr>
          <w:rFonts w:ascii="Arial" w:hAnsi="Arial" w:cs="Arial"/>
        </w:rPr>
        <w:t>,</w:t>
      </w:r>
      <w:r w:rsidRPr="00B678AF">
        <w:rPr>
          <w:rFonts w:ascii="Arial" w:hAnsi="Arial" w:cs="Arial"/>
        </w:rPr>
        <w:t xml:space="preserve">2 büyüyerek 2021 yıl sonunda 5 trilyon TL’ye </w:t>
      </w:r>
      <w:r w:rsidR="00F43113">
        <w:rPr>
          <w:rFonts w:ascii="Arial" w:hAnsi="Arial" w:cs="Arial"/>
        </w:rPr>
        <w:t>yaklaştı</w:t>
      </w:r>
      <w:r w:rsidRPr="00B678AF">
        <w:rPr>
          <w:rFonts w:ascii="Arial" w:hAnsi="Arial" w:cs="Arial"/>
        </w:rPr>
        <w:t>.</w:t>
      </w:r>
      <w:r w:rsidR="00615B53">
        <w:rPr>
          <w:rFonts w:ascii="Arial" w:hAnsi="Arial" w:cs="Arial"/>
        </w:rPr>
        <w:t xml:space="preserve"> </w:t>
      </w:r>
      <w:r w:rsidR="00615B53" w:rsidRPr="00615B53">
        <w:rPr>
          <w:rFonts w:ascii="Arial" w:hAnsi="Arial" w:cs="Arial"/>
        </w:rPr>
        <w:t xml:space="preserve">Toplam mevduat pastası içinde yabancı para ve yabancı paraya endeksli olan kıymetli madenler mevduatının payı 2021 yıl sonu itibarıyla </w:t>
      </w:r>
      <w:r w:rsidR="00F43113">
        <w:rPr>
          <w:rFonts w:ascii="Arial" w:hAnsi="Arial" w:cs="Arial"/>
        </w:rPr>
        <w:t xml:space="preserve">yüzde </w:t>
      </w:r>
      <w:r w:rsidR="00615B53" w:rsidRPr="00615B53">
        <w:rPr>
          <w:rFonts w:ascii="Arial" w:hAnsi="Arial" w:cs="Arial"/>
        </w:rPr>
        <w:t>63 seviyesinde</w:t>
      </w:r>
      <w:r w:rsidR="00F43113">
        <w:rPr>
          <w:rFonts w:ascii="Arial" w:hAnsi="Arial" w:cs="Arial"/>
        </w:rPr>
        <w:t xml:space="preserve"> gerçekleşti</w:t>
      </w:r>
      <w:r w:rsidR="00615B53" w:rsidRPr="00615B53">
        <w:rPr>
          <w:rFonts w:ascii="Arial" w:hAnsi="Arial" w:cs="Arial"/>
        </w:rPr>
        <w:t>.</w:t>
      </w:r>
      <w:r w:rsidR="00F43113">
        <w:rPr>
          <w:rFonts w:ascii="Arial" w:hAnsi="Arial" w:cs="Arial"/>
        </w:rPr>
        <w:t xml:space="preserve"> </w:t>
      </w:r>
      <w:r w:rsidR="00615B53" w:rsidRPr="00615B53">
        <w:rPr>
          <w:rFonts w:ascii="Arial" w:hAnsi="Arial" w:cs="Arial"/>
        </w:rPr>
        <w:t xml:space="preserve">Dolarizasyona karşı alınan önlemler çerçevesinde geliştirilen ve 20 Aralık 2021 tarihinde devreye alınan kur korumalı mevduat aracı ise bu hacmin gerilemesine yol </w:t>
      </w:r>
      <w:r w:rsidR="00F43113">
        <w:rPr>
          <w:rFonts w:ascii="Arial" w:hAnsi="Arial" w:cs="Arial"/>
        </w:rPr>
        <w:t>açtı</w:t>
      </w:r>
      <w:r w:rsidR="00615B53" w:rsidRPr="00615B53">
        <w:rPr>
          <w:rFonts w:ascii="Arial" w:hAnsi="Arial" w:cs="Arial"/>
        </w:rPr>
        <w:t xml:space="preserve">. Yıl sonunda 237 milyar </w:t>
      </w:r>
      <w:r w:rsidR="00F43113">
        <w:rPr>
          <w:rFonts w:ascii="Arial" w:hAnsi="Arial" w:cs="Arial"/>
        </w:rPr>
        <w:t xml:space="preserve">dolar </w:t>
      </w:r>
      <w:r w:rsidR="00615B53" w:rsidRPr="00615B53">
        <w:rPr>
          <w:rFonts w:ascii="Arial" w:hAnsi="Arial" w:cs="Arial"/>
        </w:rPr>
        <w:t xml:space="preserve">olan döviz ve kıymetli maden mevduatı hacmi, </w:t>
      </w:r>
      <w:r w:rsidR="00F43113">
        <w:rPr>
          <w:rFonts w:ascii="Arial" w:hAnsi="Arial" w:cs="Arial"/>
        </w:rPr>
        <w:t>bu yılın ş</w:t>
      </w:r>
      <w:r w:rsidR="00615B53" w:rsidRPr="00615B53">
        <w:rPr>
          <w:rFonts w:ascii="Arial" w:hAnsi="Arial" w:cs="Arial"/>
        </w:rPr>
        <w:t xml:space="preserve">ubat ayının ilk haftası itibarıyla 225 milyar </w:t>
      </w:r>
      <w:r w:rsidR="00F43113">
        <w:rPr>
          <w:rFonts w:ascii="Arial" w:hAnsi="Arial" w:cs="Arial"/>
        </w:rPr>
        <w:t xml:space="preserve">dolara </w:t>
      </w:r>
      <w:r w:rsidR="00615B53" w:rsidRPr="00615B53">
        <w:rPr>
          <w:rFonts w:ascii="Arial" w:hAnsi="Arial" w:cs="Arial"/>
        </w:rPr>
        <w:t>gerile</w:t>
      </w:r>
      <w:r w:rsidR="00F43113">
        <w:rPr>
          <w:rFonts w:ascii="Arial" w:hAnsi="Arial" w:cs="Arial"/>
        </w:rPr>
        <w:t>di</w:t>
      </w:r>
      <w:r w:rsidR="00615B53" w:rsidRPr="00615B53">
        <w:rPr>
          <w:rFonts w:ascii="Arial" w:hAnsi="Arial" w:cs="Arial"/>
        </w:rPr>
        <w:t xml:space="preserve">, toplam pastadan alınan pay ise </w:t>
      </w:r>
      <w:r w:rsidR="00F43113">
        <w:rPr>
          <w:rFonts w:ascii="Arial" w:hAnsi="Arial" w:cs="Arial"/>
        </w:rPr>
        <w:t xml:space="preserve">yüzde </w:t>
      </w:r>
      <w:r w:rsidR="00615B53" w:rsidRPr="00615B53">
        <w:rPr>
          <w:rFonts w:ascii="Arial" w:hAnsi="Arial" w:cs="Arial"/>
        </w:rPr>
        <w:t xml:space="preserve">57 olarak </w:t>
      </w:r>
      <w:r w:rsidR="00F43113">
        <w:rPr>
          <w:rFonts w:ascii="Arial" w:hAnsi="Arial" w:cs="Arial"/>
        </w:rPr>
        <w:t>gerçekleşti</w:t>
      </w:r>
      <w:r w:rsidR="00615B53" w:rsidRPr="00615B53">
        <w:rPr>
          <w:rFonts w:ascii="Arial" w:hAnsi="Arial" w:cs="Arial"/>
        </w:rPr>
        <w:t>.</w:t>
      </w:r>
    </w:p>
    <w:p w14:paraId="2FD37127" w14:textId="5DA8AFA5" w:rsidR="00B678AF" w:rsidRDefault="00B678AF" w:rsidP="00B678AF">
      <w:pPr>
        <w:spacing w:after="0" w:line="300" w:lineRule="auto"/>
        <w:contextualSpacing/>
        <w:jc w:val="both"/>
        <w:rPr>
          <w:rFonts w:ascii="Arial" w:hAnsi="Arial" w:cs="Arial"/>
        </w:rPr>
      </w:pPr>
    </w:p>
    <w:p w14:paraId="4E8A788D" w14:textId="72499855" w:rsidR="001F5F05" w:rsidRDefault="00615B53" w:rsidP="001F5F05">
      <w:pPr>
        <w:spacing w:after="0"/>
        <w:contextualSpacing/>
        <w:rPr>
          <w:rFonts w:ascii="Arial" w:hAnsi="Arial" w:cs="Arial"/>
          <w:b/>
          <w:bCs/>
        </w:rPr>
      </w:pPr>
      <w:r w:rsidRPr="001F5F05">
        <w:rPr>
          <w:rFonts w:ascii="Arial" w:hAnsi="Arial" w:cs="Arial"/>
          <w:b/>
          <w:bCs/>
        </w:rPr>
        <w:t>Dijital bankacılık</w:t>
      </w:r>
    </w:p>
    <w:p w14:paraId="1E679864" w14:textId="283BA5CC" w:rsidR="00615B53" w:rsidRPr="001F5F05" w:rsidRDefault="001F5F05" w:rsidP="001F5F05">
      <w:pPr>
        <w:spacing w:after="0" w:line="300" w:lineRule="auto"/>
        <w:contextualSpacing/>
        <w:jc w:val="both"/>
        <w:rPr>
          <w:rFonts w:ascii="Arial" w:hAnsi="Arial" w:cs="Arial"/>
        </w:rPr>
      </w:pPr>
      <w:r w:rsidRPr="001F5F05">
        <w:rPr>
          <w:rFonts w:ascii="Arial" w:hAnsi="Arial" w:cs="Arial"/>
        </w:rPr>
        <w:t xml:space="preserve">Raporda sektörün finansal durumunun yanı sıra </w:t>
      </w:r>
      <w:r>
        <w:rPr>
          <w:rFonts w:ascii="Arial" w:hAnsi="Arial" w:cs="Arial"/>
        </w:rPr>
        <w:t>bankacılık s</w:t>
      </w:r>
      <w:r w:rsidRPr="00FA2082">
        <w:rPr>
          <w:rFonts w:ascii="Arial" w:hAnsi="Arial" w:cs="Arial"/>
        </w:rPr>
        <w:t>ektörün</w:t>
      </w:r>
      <w:r>
        <w:rPr>
          <w:rFonts w:ascii="Arial" w:hAnsi="Arial" w:cs="Arial"/>
        </w:rPr>
        <w:t xml:space="preserve">ün </w:t>
      </w:r>
      <w:r w:rsidRPr="00FA2082">
        <w:rPr>
          <w:rFonts w:ascii="Arial" w:hAnsi="Arial" w:cs="Arial"/>
        </w:rPr>
        <w:t xml:space="preserve">ajandasına </w:t>
      </w:r>
      <w:r>
        <w:rPr>
          <w:rFonts w:ascii="Arial" w:hAnsi="Arial" w:cs="Arial"/>
        </w:rPr>
        <w:t xml:space="preserve">önemli bir yer tutan </w:t>
      </w:r>
      <w:r w:rsidRPr="00FA2082">
        <w:rPr>
          <w:rFonts w:ascii="Arial" w:hAnsi="Arial" w:cs="Arial"/>
        </w:rPr>
        <w:t>dijital dönüşüm</w:t>
      </w:r>
      <w:r>
        <w:rPr>
          <w:rFonts w:ascii="Arial" w:hAnsi="Arial" w:cs="Arial"/>
        </w:rPr>
        <w:t xml:space="preserve"> ile ilgili rakamlara da yer veriliyor. Buna göre h</w:t>
      </w:r>
      <w:r w:rsidR="00615B53" w:rsidRPr="001F5F05">
        <w:rPr>
          <w:rFonts w:ascii="Arial" w:hAnsi="Arial" w:cs="Arial"/>
        </w:rPr>
        <w:t xml:space="preserve">ızlı gelişen alanlardan biri </w:t>
      </w:r>
      <w:r w:rsidRPr="001F5F05">
        <w:rPr>
          <w:rFonts w:ascii="Arial" w:hAnsi="Arial" w:cs="Arial"/>
        </w:rPr>
        <w:t xml:space="preserve">olan </w:t>
      </w:r>
      <w:r w:rsidR="00615B53" w:rsidRPr="001F5F05">
        <w:rPr>
          <w:rFonts w:ascii="Arial" w:hAnsi="Arial" w:cs="Arial"/>
        </w:rPr>
        <w:t>dijital bankacılık</w:t>
      </w:r>
      <w:r w:rsidRPr="001F5F05">
        <w:rPr>
          <w:rFonts w:ascii="Arial" w:hAnsi="Arial" w:cs="Arial"/>
        </w:rPr>
        <w:t xml:space="preserve">ta </w:t>
      </w:r>
      <w:r w:rsidR="00615B53" w:rsidRPr="001F5F05">
        <w:rPr>
          <w:rFonts w:ascii="Arial" w:hAnsi="Arial" w:cs="Arial"/>
        </w:rPr>
        <w:t>Ekim</w:t>
      </w:r>
      <w:r w:rsidRPr="001F5F05">
        <w:rPr>
          <w:rFonts w:ascii="Arial" w:hAnsi="Arial" w:cs="Arial"/>
        </w:rPr>
        <w:t xml:space="preserve"> </w:t>
      </w:r>
      <w:r w:rsidR="00AD6E5D">
        <w:rPr>
          <w:rFonts w:ascii="Arial" w:hAnsi="Arial" w:cs="Arial"/>
        </w:rPr>
        <w:t>–</w:t>
      </w:r>
      <w:r w:rsidRPr="001F5F05">
        <w:rPr>
          <w:rFonts w:ascii="Arial" w:hAnsi="Arial" w:cs="Arial"/>
        </w:rPr>
        <w:t xml:space="preserve"> </w:t>
      </w:r>
      <w:r w:rsidR="00615B53" w:rsidRPr="001F5F05">
        <w:rPr>
          <w:rFonts w:ascii="Arial" w:hAnsi="Arial" w:cs="Arial"/>
        </w:rPr>
        <w:t>Aralık</w:t>
      </w:r>
      <w:r w:rsidR="00AD6E5D">
        <w:rPr>
          <w:rFonts w:ascii="Arial" w:hAnsi="Arial" w:cs="Arial"/>
        </w:rPr>
        <w:t xml:space="preserve"> </w:t>
      </w:r>
      <w:r w:rsidR="00615B53" w:rsidRPr="001F5F05">
        <w:rPr>
          <w:rFonts w:ascii="Arial" w:hAnsi="Arial" w:cs="Arial"/>
        </w:rPr>
        <w:t xml:space="preserve">2021 dönemi içinde toplam aktif dijital bankacılık müşteri sayısı 77 milyon 932 bin kişiye </w:t>
      </w:r>
      <w:r w:rsidRPr="001F5F05">
        <w:rPr>
          <w:rFonts w:ascii="Arial" w:hAnsi="Arial" w:cs="Arial"/>
        </w:rPr>
        <w:t>ulaştı</w:t>
      </w:r>
      <w:r w:rsidR="00615B53" w:rsidRPr="001F5F05">
        <w:rPr>
          <w:rFonts w:ascii="Arial" w:hAnsi="Arial" w:cs="Arial"/>
        </w:rPr>
        <w:t>.</w:t>
      </w:r>
      <w:r w:rsidRPr="001F5F05">
        <w:rPr>
          <w:rFonts w:ascii="Arial" w:hAnsi="Arial" w:cs="Arial"/>
        </w:rPr>
        <w:t xml:space="preserve"> </w:t>
      </w:r>
      <w:r w:rsidR="00615B53" w:rsidRPr="001F5F05">
        <w:rPr>
          <w:rFonts w:ascii="Arial" w:hAnsi="Arial" w:cs="Arial"/>
        </w:rPr>
        <w:t xml:space="preserve">Bu sayının 2 milyon 764 bin kişisi “sadece internet bankacılığı” işlemi yaparken 65 milyon 954 bin kişisi “sadece mobil bankacılık” işlemi </w:t>
      </w:r>
      <w:r w:rsidRPr="001F5F05">
        <w:rPr>
          <w:rFonts w:ascii="Arial" w:hAnsi="Arial" w:cs="Arial"/>
        </w:rPr>
        <w:lastRenderedPageBreak/>
        <w:t>yaptı</w:t>
      </w:r>
      <w:r w:rsidR="00615B53" w:rsidRPr="001F5F05">
        <w:rPr>
          <w:rFonts w:ascii="Arial" w:hAnsi="Arial" w:cs="Arial"/>
        </w:rPr>
        <w:t xml:space="preserve">. Hem internet hem mobil bankacılık işlemi yapan kullanıcı sayısı ise 9 milyon 214 bin kişi olarak </w:t>
      </w:r>
      <w:r w:rsidRPr="001F5F05">
        <w:rPr>
          <w:rFonts w:ascii="Arial" w:hAnsi="Arial" w:cs="Arial"/>
        </w:rPr>
        <w:t>açıklandı</w:t>
      </w:r>
      <w:r w:rsidR="00615B53" w:rsidRPr="001F5F05">
        <w:rPr>
          <w:rFonts w:ascii="Arial" w:hAnsi="Arial" w:cs="Arial"/>
        </w:rPr>
        <w:t>. </w:t>
      </w:r>
    </w:p>
    <w:p w14:paraId="49A21D68" w14:textId="77777777" w:rsidR="00834E2B" w:rsidRDefault="00834E2B" w:rsidP="00834E2B">
      <w:pPr>
        <w:spacing w:after="0" w:line="300" w:lineRule="auto"/>
        <w:contextualSpacing/>
        <w:jc w:val="both"/>
        <w:rPr>
          <w:rFonts w:ascii="Arial" w:hAnsi="Arial" w:cs="Arial"/>
        </w:rPr>
      </w:pPr>
    </w:p>
    <w:p w14:paraId="259EEAAE" w14:textId="516779AB" w:rsidR="00834E2B" w:rsidRPr="00834E2B" w:rsidRDefault="00615B53" w:rsidP="00834E2B">
      <w:pPr>
        <w:spacing w:after="0" w:line="300" w:lineRule="auto"/>
        <w:contextualSpacing/>
        <w:jc w:val="both"/>
        <w:rPr>
          <w:rFonts w:ascii="Arial" w:hAnsi="Arial" w:cs="Arial"/>
        </w:rPr>
      </w:pPr>
      <w:r w:rsidRPr="00834E2B">
        <w:rPr>
          <w:rFonts w:ascii="Arial" w:hAnsi="Arial" w:cs="Arial"/>
        </w:rPr>
        <w:t xml:space="preserve">İnternet bankacılığı hizmetini kullanmak üzere sistemde kayıtlı ve en az bir kez giriş işlemi yapmış bireysel müşteri sayısı </w:t>
      </w:r>
      <w:r w:rsidR="001F5F05" w:rsidRPr="00834E2B">
        <w:rPr>
          <w:rFonts w:ascii="Arial" w:hAnsi="Arial" w:cs="Arial"/>
        </w:rPr>
        <w:t xml:space="preserve">ise </w:t>
      </w:r>
      <w:r w:rsidRPr="00834E2B">
        <w:rPr>
          <w:rFonts w:ascii="Arial" w:hAnsi="Arial" w:cs="Arial"/>
        </w:rPr>
        <w:t>Aralık 2021 itibar</w:t>
      </w:r>
      <w:r w:rsidR="001F5F05" w:rsidRPr="00834E2B">
        <w:rPr>
          <w:rFonts w:ascii="Arial" w:hAnsi="Arial" w:cs="Arial"/>
        </w:rPr>
        <w:t>ıyla</w:t>
      </w:r>
      <w:r w:rsidRPr="00834E2B">
        <w:rPr>
          <w:rFonts w:ascii="Arial" w:hAnsi="Arial" w:cs="Arial"/>
        </w:rPr>
        <w:t xml:space="preserve"> 81 milyon 689 bin kişi</w:t>
      </w:r>
      <w:r w:rsidR="001F5F05" w:rsidRPr="00834E2B">
        <w:rPr>
          <w:rFonts w:ascii="Arial" w:hAnsi="Arial" w:cs="Arial"/>
        </w:rPr>
        <w:t xml:space="preserve"> oldu</w:t>
      </w:r>
      <w:r w:rsidRPr="00834E2B">
        <w:rPr>
          <w:rFonts w:ascii="Arial" w:hAnsi="Arial" w:cs="Arial"/>
        </w:rPr>
        <w:t xml:space="preserve">. </w:t>
      </w:r>
      <w:r w:rsidR="001F5F05" w:rsidRPr="00834E2B">
        <w:rPr>
          <w:rFonts w:ascii="Arial" w:hAnsi="Arial" w:cs="Arial"/>
        </w:rPr>
        <w:t>S</w:t>
      </w:r>
      <w:r w:rsidRPr="00834E2B">
        <w:rPr>
          <w:rFonts w:ascii="Arial" w:hAnsi="Arial" w:cs="Arial"/>
        </w:rPr>
        <w:t>on bir yıl içerisinde en az bir kez giriş işlemi yapmış bireysel müşteri sayısı ise 24 milyon 405 bin kişi.</w:t>
      </w:r>
      <w:r w:rsidR="001F5F05" w:rsidRPr="00834E2B">
        <w:rPr>
          <w:rFonts w:ascii="Arial" w:hAnsi="Arial" w:cs="Arial"/>
        </w:rPr>
        <w:t xml:space="preserve">  </w:t>
      </w:r>
      <w:r w:rsidR="00834E2B" w:rsidRPr="00834E2B">
        <w:rPr>
          <w:rFonts w:ascii="Arial" w:hAnsi="Arial" w:cs="Arial"/>
        </w:rPr>
        <w:t xml:space="preserve">Mobil bankacılık hizmetini kullanmak üzere sistemde kayıtlı olan ve en az bir kez giriş işlemi yapmış toplam müşteri sayısı Aralık 2021 itibarıyla 117 milyon 226 bin kişi olurken bunların 75 milyon 168 bin kişisi Ekim </w:t>
      </w:r>
      <w:r w:rsidR="00AD6E5D">
        <w:rPr>
          <w:rFonts w:ascii="Arial" w:hAnsi="Arial" w:cs="Arial"/>
        </w:rPr>
        <w:t>–</w:t>
      </w:r>
      <w:r w:rsidR="00834E2B" w:rsidRPr="00834E2B">
        <w:rPr>
          <w:rFonts w:ascii="Arial" w:hAnsi="Arial" w:cs="Arial"/>
        </w:rPr>
        <w:t xml:space="preserve"> Aralık</w:t>
      </w:r>
      <w:r w:rsidR="00AD6E5D">
        <w:rPr>
          <w:rFonts w:ascii="Arial" w:hAnsi="Arial" w:cs="Arial"/>
        </w:rPr>
        <w:t xml:space="preserve"> </w:t>
      </w:r>
      <w:r w:rsidR="00834E2B" w:rsidRPr="00834E2B">
        <w:rPr>
          <w:rFonts w:ascii="Arial" w:hAnsi="Arial" w:cs="Arial"/>
        </w:rPr>
        <w:t xml:space="preserve">2021 dönemi içerisinde en az bir kez giriş işlemi yaptı. </w:t>
      </w:r>
    </w:p>
    <w:p w14:paraId="6A04C80E" w14:textId="4EFB2510" w:rsidR="00B678AF" w:rsidRDefault="00B678AF" w:rsidP="00D7503B">
      <w:pPr>
        <w:spacing w:after="0" w:line="300" w:lineRule="auto"/>
        <w:contextualSpacing/>
        <w:jc w:val="both"/>
        <w:rPr>
          <w:rFonts w:ascii="Arial" w:hAnsi="Arial" w:cs="Arial"/>
        </w:rPr>
      </w:pPr>
    </w:p>
    <w:p w14:paraId="47D1A7ED" w14:textId="20AABEF1" w:rsidR="0028718E" w:rsidRPr="006257BE" w:rsidRDefault="0028718E" w:rsidP="00DB4AB8">
      <w:pPr>
        <w:spacing w:after="0" w:line="300" w:lineRule="auto"/>
        <w:contextualSpacing/>
        <w:jc w:val="both"/>
        <w:rPr>
          <w:rFonts w:ascii="Arial" w:hAnsi="Arial" w:cs="Arial"/>
        </w:rPr>
      </w:pPr>
      <w:r w:rsidRPr="00FD6431">
        <w:rPr>
          <w:rFonts w:ascii="Arial" w:hAnsi="Arial" w:cs="Arial"/>
        </w:rPr>
        <w:t xml:space="preserve">Raporun tamamına </w:t>
      </w:r>
      <w:hyperlink r:id="rId11" w:history="1">
        <w:r w:rsidR="006257BE" w:rsidRPr="00FD6431">
          <w:rPr>
            <w:rStyle w:val="Kpr"/>
            <w:rFonts w:ascii="Arial" w:hAnsi="Arial" w:cs="Arial"/>
          </w:rPr>
          <w:t>buradan</w:t>
        </w:r>
      </w:hyperlink>
      <w:r w:rsidR="006257BE" w:rsidRPr="00FD6431">
        <w:rPr>
          <w:rFonts w:ascii="Arial" w:hAnsi="Arial" w:cs="Arial"/>
        </w:rPr>
        <w:t xml:space="preserve"> </w:t>
      </w:r>
      <w:r w:rsidRPr="00FD6431">
        <w:rPr>
          <w:rFonts w:ascii="Arial" w:hAnsi="Arial" w:cs="Arial"/>
        </w:rPr>
        <w:t>ulaşabilirsiniz</w:t>
      </w:r>
      <w:r w:rsidRPr="006257BE">
        <w:rPr>
          <w:rFonts w:ascii="Arial" w:hAnsi="Arial" w:cs="Arial"/>
        </w:rPr>
        <w:t>.</w:t>
      </w:r>
    </w:p>
    <w:p w14:paraId="5D19A030" w14:textId="77777777" w:rsidR="00DB4AB8" w:rsidRPr="006257BE" w:rsidRDefault="00DB4AB8" w:rsidP="00DB4AB8">
      <w:pPr>
        <w:spacing w:after="0" w:line="300" w:lineRule="auto"/>
        <w:contextualSpacing/>
        <w:jc w:val="both"/>
        <w:rPr>
          <w:rFonts w:ascii="Arial" w:hAnsi="Arial" w:cs="Arial"/>
          <w:b/>
          <w:bCs/>
        </w:rPr>
      </w:pPr>
    </w:p>
    <w:p w14:paraId="2383D20D" w14:textId="77777777" w:rsidR="00D322B8" w:rsidRPr="006257BE" w:rsidRDefault="00D322B8" w:rsidP="004A399D">
      <w:pPr>
        <w:spacing w:after="0" w:line="240" w:lineRule="auto"/>
        <w:contextualSpacing/>
        <w:jc w:val="both"/>
        <w:rPr>
          <w:b/>
          <w:bCs/>
          <w:sz w:val="16"/>
          <w:szCs w:val="16"/>
          <w:u w:val="single"/>
        </w:rPr>
      </w:pPr>
      <w:r w:rsidRPr="006257BE">
        <w:rPr>
          <w:b/>
          <w:sz w:val="16"/>
          <w:szCs w:val="16"/>
          <w:u w:val="single"/>
        </w:rPr>
        <w:t>KPMG Hakkında</w:t>
      </w:r>
    </w:p>
    <w:p w14:paraId="131DF718" w14:textId="77777777" w:rsidR="00D322B8" w:rsidRPr="006257BE" w:rsidRDefault="00D322B8" w:rsidP="004A399D">
      <w:pPr>
        <w:spacing w:after="0" w:line="240" w:lineRule="auto"/>
        <w:contextualSpacing/>
        <w:jc w:val="both"/>
        <w:rPr>
          <w:color w:val="000000"/>
          <w:sz w:val="24"/>
          <w:szCs w:val="24"/>
        </w:rPr>
      </w:pPr>
      <w:r w:rsidRPr="006257BE">
        <w:rPr>
          <w:color w:val="000000"/>
          <w:sz w:val="18"/>
          <w:szCs w:val="18"/>
        </w:rPr>
        <w:t>Denetim, vergi ve danışmanlık alanında teknoloji temelli hizmetler sunan KPMG, geçmişi 1867 yılına dayanan, üye firmalar ağı sistemiyle 145 ülkede 236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1.850 çalışanıyla her sektörden 4 binin üzerinde firmaya sektörler özelinde hizmet veriyor. 2020 yılında küresel ağın Lighthouse lisansını alarak yeni teknolojilerde dünyadaki mükemmeliyet merkezleri arasına giren KPMG Türkiye, müşterilerine değer yaratan çözümler sunuyor. Detaylı bilgi için</w:t>
      </w:r>
      <w:r w:rsidRPr="006257BE">
        <w:rPr>
          <w:rStyle w:val="apple-converted-space"/>
          <w:color w:val="000000"/>
          <w:sz w:val="18"/>
          <w:szCs w:val="18"/>
        </w:rPr>
        <w:t> </w:t>
      </w:r>
      <w:hyperlink r:id="rId12" w:tooltip="http://www.kpmg.com.tr/" w:history="1">
        <w:r w:rsidRPr="006257BE">
          <w:rPr>
            <w:rStyle w:val="Kpr"/>
            <w:color w:val="954F72"/>
            <w:sz w:val="18"/>
            <w:szCs w:val="18"/>
          </w:rPr>
          <w:t>www.kpmg.com.tr</w:t>
        </w:r>
      </w:hyperlink>
      <w:r w:rsidRPr="006257BE">
        <w:rPr>
          <w:rStyle w:val="apple-converted-space"/>
          <w:color w:val="000000"/>
          <w:sz w:val="18"/>
          <w:szCs w:val="18"/>
        </w:rPr>
        <w:t> </w:t>
      </w:r>
      <w:r w:rsidRPr="006257BE">
        <w:rPr>
          <w:color w:val="000000"/>
          <w:sz w:val="18"/>
          <w:szCs w:val="18"/>
        </w:rPr>
        <w:t>adresine başvurabilirsiniz.</w:t>
      </w:r>
    </w:p>
    <w:p w14:paraId="7F9D1A4C" w14:textId="77777777" w:rsidR="00D322B8" w:rsidRPr="006257BE" w:rsidRDefault="00D322B8" w:rsidP="004A399D">
      <w:pPr>
        <w:pBdr>
          <w:top w:val="nil"/>
          <w:left w:val="nil"/>
          <w:bottom w:val="nil"/>
          <w:right w:val="nil"/>
          <w:between w:val="nil"/>
        </w:pBdr>
        <w:spacing w:after="0" w:line="240" w:lineRule="auto"/>
        <w:contextualSpacing/>
        <w:jc w:val="both"/>
        <w:rPr>
          <w:sz w:val="18"/>
          <w:szCs w:val="18"/>
        </w:rPr>
      </w:pPr>
    </w:p>
    <w:p w14:paraId="4906D9DC" w14:textId="4B8BD0B3" w:rsidR="00D322B8" w:rsidRPr="006257BE" w:rsidRDefault="00D322B8" w:rsidP="004A399D">
      <w:pPr>
        <w:pBdr>
          <w:top w:val="nil"/>
          <w:left w:val="nil"/>
          <w:bottom w:val="nil"/>
          <w:right w:val="nil"/>
          <w:between w:val="nil"/>
        </w:pBdr>
        <w:spacing w:after="0" w:line="240" w:lineRule="auto"/>
        <w:contextualSpacing/>
        <w:jc w:val="both"/>
        <w:rPr>
          <w:rFonts w:ascii="Tahoma" w:eastAsia="Tahoma" w:hAnsi="Tahoma" w:cs="Tahoma"/>
          <w:b/>
          <w:sz w:val="18"/>
          <w:szCs w:val="18"/>
        </w:rPr>
      </w:pPr>
      <w:r w:rsidRPr="006257BE">
        <w:rPr>
          <w:rFonts w:ascii="Tahoma" w:eastAsia="Tahoma" w:hAnsi="Tahoma" w:cs="Tahoma"/>
          <w:b/>
          <w:sz w:val="18"/>
          <w:szCs w:val="18"/>
        </w:rPr>
        <w:t xml:space="preserve">Bilgi </w:t>
      </w:r>
      <w:r w:rsidR="004D1FE9" w:rsidRPr="006257BE">
        <w:rPr>
          <w:rFonts w:ascii="Tahoma" w:eastAsia="Tahoma" w:hAnsi="Tahoma" w:cs="Tahoma"/>
          <w:b/>
          <w:sz w:val="18"/>
          <w:szCs w:val="18"/>
        </w:rPr>
        <w:t>i</w:t>
      </w:r>
      <w:r w:rsidRPr="006257BE">
        <w:rPr>
          <w:rFonts w:ascii="Tahoma" w:eastAsia="Tahoma" w:hAnsi="Tahoma" w:cs="Tahoma"/>
          <w:b/>
          <w:sz w:val="18"/>
          <w:szCs w:val="18"/>
        </w:rPr>
        <w:t xml:space="preserve">çin: </w:t>
      </w:r>
      <w:r w:rsidRPr="006257BE">
        <w:rPr>
          <w:rFonts w:ascii="Tahoma" w:eastAsia="Tahoma" w:hAnsi="Tahoma" w:cs="Tahoma"/>
          <w:b/>
          <w:sz w:val="18"/>
          <w:szCs w:val="18"/>
        </w:rPr>
        <w:tab/>
      </w:r>
    </w:p>
    <w:p w14:paraId="26E09754" w14:textId="77777777" w:rsidR="00D322B8" w:rsidRPr="006257BE"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6257BE">
        <w:rPr>
          <w:rFonts w:ascii="Tahoma" w:eastAsia="Tahoma" w:hAnsi="Tahoma" w:cs="Tahoma"/>
          <w:color w:val="000000" w:themeColor="text1"/>
          <w:sz w:val="18"/>
          <w:szCs w:val="18"/>
        </w:rPr>
        <w:t>Ceren Moral Aru</w:t>
      </w:r>
    </w:p>
    <w:p w14:paraId="111A3328" w14:textId="77777777" w:rsidR="00D322B8" w:rsidRPr="006257BE"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6257BE">
        <w:rPr>
          <w:rFonts w:ascii="Tahoma" w:eastAsia="Tahoma" w:hAnsi="Tahoma" w:cs="Tahoma"/>
          <w:color w:val="000000" w:themeColor="text1"/>
          <w:sz w:val="18"/>
          <w:szCs w:val="18"/>
        </w:rPr>
        <w:t>0533 921 43 53</w:t>
      </w:r>
    </w:p>
    <w:p w14:paraId="35293D81" w14:textId="77777777" w:rsidR="00D322B8" w:rsidRPr="006257BE"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6257BE">
        <w:rPr>
          <w:rFonts w:ascii="Tahoma" w:eastAsia="Tahoma" w:hAnsi="Tahoma" w:cs="Tahoma"/>
          <w:color w:val="000000" w:themeColor="text1"/>
          <w:sz w:val="18"/>
          <w:szCs w:val="18"/>
        </w:rPr>
        <w:t>cerenm@marjinal.com.tr</w:t>
      </w:r>
    </w:p>
    <w:p w14:paraId="3359F04C" w14:textId="77777777" w:rsidR="00D322B8" w:rsidRPr="006257BE" w:rsidRDefault="00D322B8" w:rsidP="00FB099A">
      <w:pPr>
        <w:rPr>
          <w:rFonts w:ascii="Arial" w:hAnsi="Arial" w:cs="Arial"/>
        </w:rPr>
      </w:pPr>
    </w:p>
    <w:p w14:paraId="62516F6D" w14:textId="77777777" w:rsidR="00511A4F" w:rsidRPr="006257BE" w:rsidRDefault="00511A4F" w:rsidP="00FB099A">
      <w:pPr>
        <w:rPr>
          <w:rFonts w:ascii="Arial" w:hAnsi="Arial" w:cs="Arial"/>
        </w:rPr>
      </w:pPr>
    </w:p>
    <w:p w14:paraId="2699C430" w14:textId="2F228AE0" w:rsidR="00AD1559" w:rsidRPr="006257BE" w:rsidRDefault="00AD1559" w:rsidP="0097526A">
      <w:pPr>
        <w:pStyle w:val="chrome"/>
        <w:shd w:val="clear" w:color="auto" w:fill="FFFFFF"/>
        <w:spacing w:before="0" w:beforeAutospacing="0" w:after="0" w:afterAutospacing="0"/>
        <w:textAlignment w:val="baseline"/>
        <w:rPr>
          <w:rFonts w:ascii="Arial" w:hAnsi="Arial" w:cs="Arial"/>
          <w:color w:val="333333"/>
          <w:sz w:val="22"/>
          <w:szCs w:val="22"/>
        </w:rPr>
      </w:pPr>
    </w:p>
    <w:p w14:paraId="6C7DDD1E" w14:textId="3398AD21" w:rsidR="00376CAF" w:rsidRPr="006257BE" w:rsidRDefault="00376CAF" w:rsidP="00FB099A">
      <w:pPr>
        <w:rPr>
          <w:rFonts w:ascii="Arial" w:eastAsia="Times New Roman" w:hAnsi="Arial" w:cs="Arial"/>
          <w:color w:val="000000"/>
        </w:rPr>
      </w:pPr>
    </w:p>
    <w:p w14:paraId="2AB1866D" w14:textId="1B96F09F" w:rsidR="00376CAF" w:rsidRPr="006257BE" w:rsidRDefault="00376CAF" w:rsidP="00376CAF">
      <w:pPr>
        <w:rPr>
          <w:rFonts w:ascii="Arial" w:hAnsi="Arial" w:cs="Arial"/>
        </w:rPr>
      </w:pPr>
    </w:p>
    <w:sectPr w:rsidR="00376CAF" w:rsidRPr="006257BE" w:rsidSect="00D322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E5F5" w14:textId="77777777" w:rsidR="006D4826" w:rsidRDefault="006D4826" w:rsidP="00D322B8">
      <w:pPr>
        <w:spacing w:after="0" w:line="240" w:lineRule="auto"/>
      </w:pPr>
      <w:r>
        <w:separator/>
      </w:r>
    </w:p>
  </w:endnote>
  <w:endnote w:type="continuationSeparator" w:id="0">
    <w:p w14:paraId="741E7176" w14:textId="77777777" w:rsidR="006D4826" w:rsidRDefault="006D4826" w:rsidP="00D3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EB68" w14:textId="77777777" w:rsidR="006D4826" w:rsidRDefault="006D4826" w:rsidP="00D322B8">
      <w:pPr>
        <w:spacing w:after="0" w:line="240" w:lineRule="auto"/>
      </w:pPr>
      <w:r>
        <w:separator/>
      </w:r>
    </w:p>
  </w:footnote>
  <w:footnote w:type="continuationSeparator" w:id="0">
    <w:p w14:paraId="13DA5E5B" w14:textId="77777777" w:rsidR="006D4826" w:rsidRDefault="006D4826" w:rsidP="00D3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31884">
    <w:abstractNumId w:val="0"/>
  </w:num>
  <w:num w:numId="2" w16cid:durableId="1781022798">
    <w:abstractNumId w:val="2"/>
  </w:num>
  <w:num w:numId="3" w16cid:durableId="661665381">
    <w:abstractNumId w:val="1"/>
  </w:num>
  <w:num w:numId="4" w16cid:durableId="759715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9A"/>
    <w:rsid w:val="00000B59"/>
    <w:rsid w:val="00003A13"/>
    <w:rsid w:val="00010290"/>
    <w:rsid w:val="0002393F"/>
    <w:rsid w:val="00030E0C"/>
    <w:rsid w:val="00037DC0"/>
    <w:rsid w:val="00050F6E"/>
    <w:rsid w:val="00055607"/>
    <w:rsid w:val="00057F69"/>
    <w:rsid w:val="000859AF"/>
    <w:rsid w:val="00086CCC"/>
    <w:rsid w:val="00087103"/>
    <w:rsid w:val="00095268"/>
    <w:rsid w:val="000C46F9"/>
    <w:rsid w:val="000C5AB6"/>
    <w:rsid w:val="000D38DD"/>
    <w:rsid w:val="00123062"/>
    <w:rsid w:val="001230AE"/>
    <w:rsid w:val="001379EB"/>
    <w:rsid w:val="0016287F"/>
    <w:rsid w:val="00197D29"/>
    <w:rsid w:val="001A2426"/>
    <w:rsid w:val="001B0E50"/>
    <w:rsid w:val="001D763A"/>
    <w:rsid w:val="001E1645"/>
    <w:rsid w:val="001E5460"/>
    <w:rsid w:val="001F5F05"/>
    <w:rsid w:val="002054E4"/>
    <w:rsid w:val="00207324"/>
    <w:rsid w:val="002159B8"/>
    <w:rsid w:val="00215E8F"/>
    <w:rsid w:val="00226B77"/>
    <w:rsid w:val="002401CF"/>
    <w:rsid w:val="00251E53"/>
    <w:rsid w:val="0026094B"/>
    <w:rsid w:val="00270661"/>
    <w:rsid w:val="002724D1"/>
    <w:rsid w:val="00275810"/>
    <w:rsid w:val="0028718E"/>
    <w:rsid w:val="002A52EE"/>
    <w:rsid w:val="002C69A1"/>
    <w:rsid w:val="002D3A9A"/>
    <w:rsid w:val="002E47F9"/>
    <w:rsid w:val="002E5B04"/>
    <w:rsid w:val="00320E15"/>
    <w:rsid w:val="0032289A"/>
    <w:rsid w:val="00344941"/>
    <w:rsid w:val="003468D7"/>
    <w:rsid w:val="003656F3"/>
    <w:rsid w:val="00370DEB"/>
    <w:rsid w:val="00376CAF"/>
    <w:rsid w:val="00395697"/>
    <w:rsid w:val="003A593A"/>
    <w:rsid w:val="003C0FFB"/>
    <w:rsid w:val="003C439A"/>
    <w:rsid w:val="003D4F02"/>
    <w:rsid w:val="003D7B28"/>
    <w:rsid w:val="003E1C06"/>
    <w:rsid w:val="003E6D0B"/>
    <w:rsid w:val="003E7BAE"/>
    <w:rsid w:val="004136C3"/>
    <w:rsid w:val="00422D00"/>
    <w:rsid w:val="00430650"/>
    <w:rsid w:val="00433B51"/>
    <w:rsid w:val="00445F3E"/>
    <w:rsid w:val="00461E4D"/>
    <w:rsid w:val="004A399D"/>
    <w:rsid w:val="004D1FE9"/>
    <w:rsid w:val="004D5E3E"/>
    <w:rsid w:val="004E34FB"/>
    <w:rsid w:val="004F4625"/>
    <w:rsid w:val="004F4A67"/>
    <w:rsid w:val="00511A4F"/>
    <w:rsid w:val="005175DD"/>
    <w:rsid w:val="005604C1"/>
    <w:rsid w:val="0056796C"/>
    <w:rsid w:val="005A4CA5"/>
    <w:rsid w:val="005C587C"/>
    <w:rsid w:val="00615B53"/>
    <w:rsid w:val="006257BE"/>
    <w:rsid w:val="00637C15"/>
    <w:rsid w:val="0065131B"/>
    <w:rsid w:val="006524A0"/>
    <w:rsid w:val="0065331B"/>
    <w:rsid w:val="006620CF"/>
    <w:rsid w:val="006651C9"/>
    <w:rsid w:val="006844CE"/>
    <w:rsid w:val="006923D1"/>
    <w:rsid w:val="00693178"/>
    <w:rsid w:val="006D40E2"/>
    <w:rsid w:val="006D4826"/>
    <w:rsid w:val="006E2959"/>
    <w:rsid w:val="00712EA5"/>
    <w:rsid w:val="0072012D"/>
    <w:rsid w:val="00745D55"/>
    <w:rsid w:val="007534ED"/>
    <w:rsid w:val="007579E4"/>
    <w:rsid w:val="007614EB"/>
    <w:rsid w:val="00761AD2"/>
    <w:rsid w:val="007711BF"/>
    <w:rsid w:val="007D3441"/>
    <w:rsid w:val="00804BEF"/>
    <w:rsid w:val="00812B22"/>
    <w:rsid w:val="00815963"/>
    <w:rsid w:val="00834E2B"/>
    <w:rsid w:val="00860951"/>
    <w:rsid w:val="00876803"/>
    <w:rsid w:val="008A3556"/>
    <w:rsid w:val="008D091F"/>
    <w:rsid w:val="008F4797"/>
    <w:rsid w:val="009228B8"/>
    <w:rsid w:val="0093489B"/>
    <w:rsid w:val="00946277"/>
    <w:rsid w:val="00954474"/>
    <w:rsid w:val="00963425"/>
    <w:rsid w:val="0097123D"/>
    <w:rsid w:val="009746EB"/>
    <w:rsid w:val="0097526A"/>
    <w:rsid w:val="00997F8E"/>
    <w:rsid w:val="009A4076"/>
    <w:rsid w:val="009C145B"/>
    <w:rsid w:val="009C40DD"/>
    <w:rsid w:val="009D20C9"/>
    <w:rsid w:val="009D389D"/>
    <w:rsid w:val="009F352B"/>
    <w:rsid w:val="009F4C03"/>
    <w:rsid w:val="00A05523"/>
    <w:rsid w:val="00A12FA8"/>
    <w:rsid w:val="00A16BD1"/>
    <w:rsid w:val="00A236E4"/>
    <w:rsid w:val="00A33A58"/>
    <w:rsid w:val="00A82827"/>
    <w:rsid w:val="00A842EF"/>
    <w:rsid w:val="00A933F5"/>
    <w:rsid w:val="00A97A31"/>
    <w:rsid w:val="00AC557A"/>
    <w:rsid w:val="00AD1559"/>
    <w:rsid w:val="00AD337D"/>
    <w:rsid w:val="00AD54D6"/>
    <w:rsid w:val="00AD6E5D"/>
    <w:rsid w:val="00AD7908"/>
    <w:rsid w:val="00AE0852"/>
    <w:rsid w:val="00AE0C5E"/>
    <w:rsid w:val="00B05134"/>
    <w:rsid w:val="00B07BDF"/>
    <w:rsid w:val="00B25D38"/>
    <w:rsid w:val="00B3745B"/>
    <w:rsid w:val="00B678AF"/>
    <w:rsid w:val="00BA1F99"/>
    <w:rsid w:val="00BA71FE"/>
    <w:rsid w:val="00BB0308"/>
    <w:rsid w:val="00BB608E"/>
    <w:rsid w:val="00BF0F13"/>
    <w:rsid w:val="00BF16D4"/>
    <w:rsid w:val="00C33EC5"/>
    <w:rsid w:val="00C36A84"/>
    <w:rsid w:val="00C6020F"/>
    <w:rsid w:val="00C6078E"/>
    <w:rsid w:val="00C61C73"/>
    <w:rsid w:val="00C6506C"/>
    <w:rsid w:val="00C67B88"/>
    <w:rsid w:val="00C76ED8"/>
    <w:rsid w:val="00C7784A"/>
    <w:rsid w:val="00C97C6C"/>
    <w:rsid w:val="00CA0069"/>
    <w:rsid w:val="00CB1087"/>
    <w:rsid w:val="00CB3047"/>
    <w:rsid w:val="00CB7D6F"/>
    <w:rsid w:val="00CD7F12"/>
    <w:rsid w:val="00CF0BF6"/>
    <w:rsid w:val="00D3166B"/>
    <w:rsid w:val="00D322B8"/>
    <w:rsid w:val="00D36E76"/>
    <w:rsid w:val="00D64BF4"/>
    <w:rsid w:val="00D74CEA"/>
    <w:rsid w:val="00D7503B"/>
    <w:rsid w:val="00D761F3"/>
    <w:rsid w:val="00D97160"/>
    <w:rsid w:val="00DA6E98"/>
    <w:rsid w:val="00DB45B5"/>
    <w:rsid w:val="00DB4AB8"/>
    <w:rsid w:val="00DB595B"/>
    <w:rsid w:val="00DB6158"/>
    <w:rsid w:val="00DC33C8"/>
    <w:rsid w:val="00DC407B"/>
    <w:rsid w:val="00DD1909"/>
    <w:rsid w:val="00DE578B"/>
    <w:rsid w:val="00E0077A"/>
    <w:rsid w:val="00E05755"/>
    <w:rsid w:val="00E1434C"/>
    <w:rsid w:val="00E172C7"/>
    <w:rsid w:val="00E1732B"/>
    <w:rsid w:val="00E6627F"/>
    <w:rsid w:val="00E85F70"/>
    <w:rsid w:val="00EA2E22"/>
    <w:rsid w:val="00EB3B3E"/>
    <w:rsid w:val="00EB6C5E"/>
    <w:rsid w:val="00EC33D2"/>
    <w:rsid w:val="00F02DC7"/>
    <w:rsid w:val="00F130A7"/>
    <w:rsid w:val="00F24DC1"/>
    <w:rsid w:val="00F3167F"/>
    <w:rsid w:val="00F40D4D"/>
    <w:rsid w:val="00F43113"/>
    <w:rsid w:val="00F55ADF"/>
    <w:rsid w:val="00FA2082"/>
    <w:rsid w:val="00FA250A"/>
    <w:rsid w:val="00FA7B23"/>
    <w:rsid w:val="00FB099A"/>
    <w:rsid w:val="00FB3F96"/>
    <w:rsid w:val="00FD6431"/>
    <w:rsid w:val="00FF3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styleId="zmlenmeyenBahsetme">
    <w:name w:val="Unresolved Mention"/>
    <w:basedOn w:val="VarsaylanParagrafYazTipi"/>
    <w:uiPriority w:val="99"/>
    <w:semiHidden/>
    <w:unhideWhenUsed/>
    <w:rsid w:val="00BA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335958060">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120875611">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326200746">
      <w:bodyDiv w:val="1"/>
      <w:marLeft w:val="0"/>
      <w:marRight w:val="0"/>
      <w:marTop w:val="0"/>
      <w:marBottom w:val="0"/>
      <w:divBdr>
        <w:top w:val="none" w:sz="0" w:space="0" w:color="auto"/>
        <w:left w:val="none" w:sz="0" w:space="0" w:color="auto"/>
        <w:bottom w:val="none" w:sz="0" w:space="0" w:color="auto"/>
        <w:right w:val="none" w:sz="0" w:space="0" w:color="auto"/>
      </w:divBdr>
      <w:divsChild>
        <w:div w:id="1037437247">
          <w:marLeft w:val="0"/>
          <w:marRight w:val="0"/>
          <w:marTop w:val="0"/>
          <w:marBottom w:val="0"/>
          <w:divBdr>
            <w:top w:val="none" w:sz="0" w:space="0" w:color="auto"/>
            <w:left w:val="none" w:sz="0" w:space="0" w:color="auto"/>
            <w:bottom w:val="none" w:sz="0" w:space="0" w:color="auto"/>
            <w:right w:val="none" w:sz="0" w:space="0" w:color="auto"/>
          </w:divBdr>
        </w:div>
      </w:divsChild>
    </w:div>
    <w:div w:id="1660503089">
      <w:bodyDiv w:val="1"/>
      <w:marLeft w:val="0"/>
      <w:marRight w:val="0"/>
      <w:marTop w:val="0"/>
      <w:marBottom w:val="0"/>
      <w:divBdr>
        <w:top w:val="none" w:sz="0" w:space="0" w:color="auto"/>
        <w:left w:val="none" w:sz="0" w:space="0" w:color="auto"/>
        <w:bottom w:val="none" w:sz="0" w:space="0" w:color="auto"/>
        <w:right w:val="none" w:sz="0" w:space="0" w:color="auto"/>
      </w:divBdr>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pmg.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kpmg/tr/tr/home/gorusler/2022/05/bankacilik-sektorel-baki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9" ma:contentTypeDescription="Yeni belge oluşturun." ma:contentTypeScope="" ma:versionID="71fb90ef985eabcb73cf990e58530c1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4ee682745842122075020adcd08c53a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documentManagement>
</p:properties>
</file>

<file path=customXml/itemProps1.xml><?xml version="1.0" encoding="utf-8"?>
<ds:datastoreItem xmlns:ds="http://schemas.openxmlformats.org/officeDocument/2006/customXml" ds:itemID="{1B4740DE-2664-485B-B45B-62F406D5B39C}">
  <ds:schemaRefs>
    <ds:schemaRef ds:uri="http://schemas.microsoft.com/sharepoint/v3/contenttype/forms"/>
  </ds:schemaRefs>
</ds:datastoreItem>
</file>

<file path=customXml/itemProps2.xml><?xml version="1.0" encoding="utf-8"?>
<ds:datastoreItem xmlns:ds="http://schemas.openxmlformats.org/officeDocument/2006/customXml" ds:itemID="{3A369146-C407-48FA-ADD0-3118DFCF2831}">
  <ds:schemaRefs>
    <ds:schemaRef ds:uri="http://schemas.openxmlformats.org/officeDocument/2006/bibliography"/>
  </ds:schemaRefs>
</ds:datastoreItem>
</file>

<file path=customXml/itemProps3.xml><?xml version="1.0" encoding="utf-8"?>
<ds:datastoreItem xmlns:ds="http://schemas.openxmlformats.org/officeDocument/2006/customXml" ds:itemID="{A90169D6-3981-440A-AF8E-AB14AA9B2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24102-6347-4E14-AE3E-A328867965D4}">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KPMG</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5</cp:revision>
  <dcterms:created xsi:type="dcterms:W3CDTF">2022-05-24T06:54:00Z</dcterms:created>
  <dcterms:modified xsi:type="dcterms:W3CDTF">2022-05-24T07:27:00Z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