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5B505C12" w:rsidR="00D322B8" w:rsidRPr="009E3D9A" w:rsidRDefault="00D322B8" w:rsidP="43AAACE7">
      <w:pPr>
        <w:rPr>
          <w:rFonts w:ascii="Tahoma" w:eastAsia="Tahoma" w:hAnsi="Tahoma" w:cs="Tahoma"/>
          <w:b/>
          <w:bCs/>
          <w:u w:val="single"/>
        </w:rPr>
      </w:pPr>
      <w:r w:rsidRPr="009E3D9A">
        <w:rPr>
          <w:rFonts w:ascii="Tahoma" w:eastAsia="Tahoma" w:hAnsi="Tahoma" w:cs="Tahoma"/>
          <w:b/>
          <w:bCs/>
          <w:u w:val="single"/>
        </w:rPr>
        <w:t>BASIN BÜLTENİ</w:t>
      </w:r>
      <w:r w:rsidRPr="009E3D9A">
        <w:rPr>
          <w:u w:val="single"/>
        </w:rPr>
        <w:tab/>
      </w:r>
      <w:r w:rsidRPr="009E3D9A">
        <w:rPr>
          <w:u w:val="single"/>
        </w:rPr>
        <w:tab/>
      </w:r>
      <w:r w:rsidRPr="009E3D9A">
        <w:rPr>
          <w:u w:val="single"/>
        </w:rPr>
        <w:tab/>
      </w:r>
      <w:r w:rsidRPr="009E3D9A">
        <w:rPr>
          <w:u w:val="single"/>
        </w:rPr>
        <w:tab/>
      </w:r>
      <w:r w:rsidRPr="009E3D9A">
        <w:rPr>
          <w:u w:val="single"/>
        </w:rPr>
        <w:tab/>
      </w:r>
      <w:r w:rsidRPr="009E3D9A">
        <w:rPr>
          <w:rFonts w:ascii="Tahoma" w:eastAsia="Tahoma" w:hAnsi="Tahoma" w:cs="Tahoma"/>
          <w:b/>
          <w:bCs/>
          <w:u w:val="single"/>
        </w:rPr>
        <w:t xml:space="preserve">                                            </w:t>
      </w:r>
      <w:r w:rsidR="262B3357" w:rsidRPr="009E3D9A">
        <w:rPr>
          <w:rFonts w:ascii="Tahoma" w:eastAsia="Tahoma" w:hAnsi="Tahoma" w:cs="Tahoma"/>
          <w:b/>
          <w:bCs/>
          <w:u w:val="single"/>
        </w:rPr>
        <w:t>08</w:t>
      </w:r>
      <w:r w:rsidRPr="009E3D9A">
        <w:rPr>
          <w:rFonts w:ascii="Tahoma" w:eastAsia="Tahoma" w:hAnsi="Tahoma" w:cs="Tahoma"/>
          <w:b/>
          <w:bCs/>
          <w:u w:val="single"/>
        </w:rPr>
        <w:t>.</w:t>
      </w:r>
      <w:r w:rsidR="00E57B5B" w:rsidRPr="009E3D9A">
        <w:rPr>
          <w:rFonts w:ascii="Tahoma" w:eastAsia="Tahoma" w:hAnsi="Tahoma" w:cs="Tahoma"/>
          <w:b/>
          <w:bCs/>
          <w:u w:val="single"/>
        </w:rPr>
        <w:t>0</w:t>
      </w:r>
      <w:r w:rsidR="006A0CFA" w:rsidRPr="009E3D9A">
        <w:rPr>
          <w:rFonts w:ascii="Tahoma" w:eastAsia="Tahoma" w:hAnsi="Tahoma" w:cs="Tahoma"/>
          <w:b/>
          <w:bCs/>
          <w:u w:val="single"/>
        </w:rPr>
        <w:t>3</w:t>
      </w:r>
      <w:r w:rsidRPr="009E3D9A">
        <w:rPr>
          <w:rFonts w:ascii="Tahoma" w:eastAsia="Tahoma" w:hAnsi="Tahoma" w:cs="Tahoma"/>
          <w:b/>
          <w:bCs/>
          <w:u w:val="single"/>
        </w:rPr>
        <w:t>.202</w:t>
      </w:r>
      <w:r w:rsidR="00E57B5B" w:rsidRPr="009E3D9A">
        <w:rPr>
          <w:rFonts w:ascii="Tahoma" w:eastAsia="Tahoma" w:hAnsi="Tahoma" w:cs="Tahoma"/>
          <w:b/>
          <w:bCs/>
          <w:u w:val="single"/>
        </w:rPr>
        <w:t>3</w:t>
      </w:r>
    </w:p>
    <w:p w14:paraId="335CEAF7" w14:textId="77777777" w:rsidR="00D322B8" w:rsidRDefault="00D322B8" w:rsidP="00FB099A">
      <w:pPr>
        <w:rPr>
          <w:rFonts w:ascii="Arial" w:hAnsi="Arial" w:cs="Arial"/>
          <w:b/>
          <w:bCs/>
        </w:rPr>
      </w:pPr>
    </w:p>
    <w:p w14:paraId="3B448E3A" w14:textId="07690011" w:rsidR="00551841" w:rsidRPr="00A22F08" w:rsidRDefault="00A22F08" w:rsidP="00B41214">
      <w:pPr>
        <w:spacing w:after="0" w:line="300" w:lineRule="auto"/>
        <w:contextualSpacing/>
        <w:jc w:val="center"/>
        <w:rPr>
          <w:rFonts w:ascii="Arial" w:hAnsi="Arial" w:cs="Arial"/>
          <w:b/>
          <w:bCs/>
          <w:sz w:val="40"/>
          <w:szCs w:val="40"/>
        </w:rPr>
      </w:pPr>
      <w:r w:rsidRPr="00A22F08">
        <w:rPr>
          <w:rFonts w:ascii="Arial" w:hAnsi="Arial" w:cs="Arial"/>
          <w:b/>
          <w:bCs/>
          <w:sz w:val="40"/>
          <w:szCs w:val="40"/>
        </w:rPr>
        <w:t xml:space="preserve">Küresel </w:t>
      </w:r>
      <w:proofErr w:type="spellStart"/>
      <w:r w:rsidRPr="00A22F08">
        <w:rPr>
          <w:rFonts w:ascii="Arial" w:hAnsi="Arial" w:cs="Arial"/>
          <w:b/>
          <w:bCs/>
          <w:sz w:val="40"/>
          <w:szCs w:val="40"/>
        </w:rPr>
        <w:t>fintech</w:t>
      </w:r>
      <w:proofErr w:type="spellEnd"/>
      <w:r w:rsidRPr="00A22F08">
        <w:rPr>
          <w:rFonts w:ascii="Arial" w:hAnsi="Arial" w:cs="Arial"/>
          <w:b/>
          <w:bCs/>
          <w:sz w:val="40"/>
          <w:szCs w:val="40"/>
        </w:rPr>
        <w:t xml:space="preserve"> yatırımları 2022 yılında 164 milyar dolara ulaştı</w:t>
      </w:r>
    </w:p>
    <w:p w14:paraId="0704C3D2" w14:textId="13A8EDEE" w:rsidR="00D322B8" w:rsidRPr="006A0CFA" w:rsidRDefault="00D322B8" w:rsidP="00D322B8">
      <w:pPr>
        <w:spacing w:after="0" w:line="300" w:lineRule="auto"/>
        <w:contextualSpacing/>
        <w:jc w:val="both"/>
        <w:rPr>
          <w:rFonts w:ascii="Arial" w:hAnsi="Arial" w:cs="Arial"/>
          <w:highlight w:val="yellow"/>
        </w:rPr>
      </w:pPr>
    </w:p>
    <w:p w14:paraId="2B22594E" w14:textId="25FB5A02" w:rsidR="00914A5F" w:rsidRPr="00914A5F" w:rsidRDefault="004E4B93" w:rsidP="00914A5F">
      <w:pPr>
        <w:spacing w:after="0" w:line="300" w:lineRule="auto"/>
        <w:contextualSpacing/>
        <w:jc w:val="center"/>
        <w:rPr>
          <w:rFonts w:ascii="Arial" w:hAnsi="Arial" w:cs="Arial"/>
          <w:sz w:val="24"/>
          <w:szCs w:val="24"/>
        </w:rPr>
      </w:pPr>
      <w:r>
        <w:rPr>
          <w:rFonts w:ascii="Arial" w:hAnsi="Arial" w:cs="Arial"/>
          <w:b/>
          <w:bCs/>
          <w:sz w:val="24"/>
          <w:szCs w:val="24"/>
        </w:rPr>
        <w:t>K</w:t>
      </w:r>
      <w:r w:rsidRPr="004E4B93">
        <w:rPr>
          <w:rFonts w:ascii="Arial" w:hAnsi="Arial" w:cs="Arial"/>
          <w:b/>
          <w:bCs/>
          <w:sz w:val="24"/>
          <w:szCs w:val="24"/>
        </w:rPr>
        <w:t>PMG tarafından hazırlanan “</w:t>
      </w:r>
      <w:proofErr w:type="spellStart"/>
      <w:r w:rsidRPr="004E4B93">
        <w:rPr>
          <w:rFonts w:ascii="Arial" w:hAnsi="Arial" w:cs="Arial"/>
          <w:b/>
          <w:bCs/>
          <w:sz w:val="24"/>
          <w:szCs w:val="24"/>
        </w:rPr>
        <w:t>Pulse</w:t>
      </w:r>
      <w:proofErr w:type="spellEnd"/>
      <w:r w:rsidRPr="004E4B93">
        <w:rPr>
          <w:rFonts w:ascii="Arial" w:hAnsi="Arial" w:cs="Arial"/>
          <w:b/>
          <w:bCs/>
          <w:sz w:val="24"/>
          <w:szCs w:val="24"/>
        </w:rPr>
        <w:t xml:space="preserve"> of </w:t>
      </w:r>
      <w:proofErr w:type="spellStart"/>
      <w:r w:rsidRPr="004E4B93">
        <w:rPr>
          <w:rFonts w:ascii="Arial" w:hAnsi="Arial" w:cs="Arial"/>
          <w:b/>
          <w:bCs/>
          <w:sz w:val="24"/>
          <w:szCs w:val="24"/>
        </w:rPr>
        <w:t>Fintech</w:t>
      </w:r>
      <w:proofErr w:type="spellEnd"/>
      <w:r w:rsidRPr="004E4B93">
        <w:rPr>
          <w:rFonts w:ascii="Arial" w:hAnsi="Arial" w:cs="Arial"/>
          <w:b/>
          <w:bCs/>
          <w:sz w:val="24"/>
          <w:szCs w:val="24"/>
        </w:rPr>
        <w:t>” raporuna göre</w:t>
      </w:r>
      <w:r>
        <w:rPr>
          <w:rFonts w:ascii="Arial" w:hAnsi="Arial" w:cs="Arial"/>
          <w:b/>
          <w:bCs/>
          <w:sz w:val="24"/>
          <w:szCs w:val="24"/>
        </w:rPr>
        <w:t xml:space="preserve"> </w:t>
      </w:r>
      <w:r w:rsidRPr="004E4B93">
        <w:rPr>
          <w:rFonts w:ascii="Arial" w:hAnsi="Arial" w:cs="Arial"/>
          <w:b/>
          <w:bCs/>
          <w:sz w:val="24"/>
          <w:szCs w:val="24"/>
        </w:rPr>
        <w:t xml:space="preserve">küresel </w:t>
      </w:r>
      <w:proofErr w:type="spellStart"/>
      <w:r w:rsidRPr="004E4B93">
        <w:rPr>
          <w:rFonts w:ascii="Arial" w:hAnsi="Arial" w:cs="Arial"/>
          <w:b/>
          <w:bCs/>
          <w:sz w:val="24"/>
          <w:szCs w:val="24"/>
        </w:rPr>
        <w:t>fintech</w:t>
      </w:r>
      <w:proofErr w:type="spellEnd"/>
      <w:r w:rsidRPr="004E4B93">
        <w:rPr>
          <w:rFonts w:ascii="Arial" w:hAnsi="Arial" w:cs="Arial"/>
          <w:b/>
          <w:bCs/>
          <w:sz w:val="24"/>
          <w:szCs w:val="24"/>
        </w:rPr>
        <w:t xml:space="preserve"> sektörü</w:t>
      </w:r>
      <w:r>
        <w:rPr>
          <w:rFonts w:ascii="Arial" w:hAnsi="Arial" w:cs="Arial"/>
          <w:b/>
          <w:bCs/>
          <w:sz w:val="24"/>
          <w:szCs w:val="24"/>
        </w:rPr>
        <w:t>,</w:t>
      </w:r>
      <w:r w:rsidRPr="004E4B93">
        <w:rPr>
          <w:rFonts w:ascii="Arial" w:hAnsi="Arial" w:cs="Arial"/>
          <w:b/>
          <w:bCs/>
          <w:sz w:val="24"/>
          <w:szCs w:val="24"/>
        </w:rPr>
        <w:t xml:space="preserve"> 2022'de 6 bin 6 adet anlaşma ile toplamda 164,1 milyar dolar yatırım aldı. </w:t>
      </w:r>
      <w:r>
        <w:rPr>
          <w:rFonts w:ascii="Arial" w:hAnsi="Arial" w:cs="Arial"/>
          <w:b/>
          <w:bCs/>
          <w:sz w:val="24"/>
          <w:szCs w:val="24"/>
        </w:rPr>
        <w:t xml:space="preserve">Sektör </w:t>
      </w:r>
      <w:r w:rsidRPr="004E4B93">
        <w:rPr>
          <w:rFonts w:ascii="Arial" w:hAnsi="Arial" w:cs="Arial"/>
          <w:b/>
          <w:bCs/>
          <w:sz w:val="24"/>
          <w:szCs w:val="24"/>
        </w:rPr>
        <w:t>yatırım miktarı açısından şimdiye kadarki en iyi üçüncü yıl</w:t>
      </w:r>
      <w:r>
        <w:rPr>
          <w:rFonts w:ascii="Arial" w:hAnsi="Arial" w:cs="Arial"/>
          <w:b/>
          <w:bCs/>
          <w:sz w:val="24"/>
          <w:szCs w:val="24"/>
        </w:rPr>
        <w:t>ını</w:t>
      </w:r>
      <w:r w:rsidRPr="004E4B93">
        <w:rPr>
          <w:rFonts w:ascii="Arial" w:hAnsi="Arial" w:cs="Arial"/>
          <w:b/>
          <w:bCs/>
          <w:sz w:val="24"/>
          <w:szCs w:val="24"/>
        </w:rPr>
        <w:t>, anlaşma sayısı açısından da en iyi ikinci yıl</w:t>
      </w:r>
      <w:r>
        <w:rPr>
          <w:rFonts w:ascii="Arial" w:hAnsi="Arial" w:cs="Arial"/>
          <w:b/>
          <w:bCs/>
          <w:sz w:val="24"/>
          <w:szCs w:val="24"/>
        </w:rPr>
        <w:t xml:space="preserve">ını geçirdi. </w:t>
      </w:r>
    </w:p>
    <w:p w14:paraId="49D6A45F" w14:textId="77777777" w:rsidR="00E07F3B" w:rsidRDefault="00E07F3B" w:rsidP="00660505">
      <w:pPr>
        <w:spacing w:after="0" w:line="300" w:lineRule="auto"/>
        <w:contextualSpacing/>
        <w:jc w:val="both"/>
        <w:rPr>
          <w:rFonts w:ascii="Arial" w:hAnsi="Arial" w:cs="Arial"/>
        </w:rPr>
      </w:pPr>
    </w:p>
    <w:p w14:paraId="3E578D0C" w14:textId="27756A1E" w:rsidR="00352AE5" w:rsidRPr="00660505" w:rsidRDefault="00A22F08" w:rsidP="00FE6710">
      <w:pPr>
        <w:spacing w:after="0" w:line="300" w:lineRule="auto"/>
        <w:contextualSpacing/>
        <w:jc w:val="both"/>
        <w:rPr>
          <w:rFonts w:ascii="Arial" w:hAnsi="Arial" w:cs="Arial"/>
        </w:rPr>
      </w:pPr>
      <w:proofErr w:type="spellStart"/>
      <w:r w:rsidRPr="43AAACE7">
        <w:rPr>
          <w:rFonts w:ascii="Arial" w:hAnsi="Arial" w:cs="Arial"/>
        </w:rPr>
        <w:t>KPMG</w:t>
      </w:r>
      <w:r w:rsidR="00C92162" w:rsidRPr="43AAACE7">
        <w:rPr>
          <w:rFonts w:ascii="Arial" w:hAnsi="Arial" w:cs="Arial"/>
        </w:rPr>
        <w:t>’nin</w:t>
      </w:r>
      <w:proofErr w:type="spellEnd"/>
      <w:r w:rsidR="00C92162" w:rsidRPr="43AAACE7">
        <w:rPr>
          <w:rFonts w:ascii="Arial" w:hAnsi="Arial" w:cs="Arial"/>
        </w:rPr>
        <w:t xml:space="preserve"> </w:t>
      </w:r>
      <w:r w:rsidR="004E4B93" w:rsidRPr="43AAACE7">
        <w:rPr>
          <w:rFonts w:ascii="Arial" w:hAnsi="Arial" w:cs="Arial"/>
        </w:rPr>
        <w:t xml:space="preserve">2022 yılının ikinci yarısında küresel çapta yapılan </w:t>
      </w:r>
      <w:proofErr w:type="spellStart"/>
      <w:r w:rsidR="004E4B93" w:rsidRPr="43AAACE7">
        <w:rPr>
          <w:rFonts w:ascii="Arial" w:hAnsi="Arial" w:cs="Arial"/>
        </w:rPr>
        <w:t>fintech</w:t>
      </w:r>
      <w:proofErr w:type="spellEnd"/>
      <w:r w:rsidR="004E4B93" w:rsidRPr="43AAACE7">
        <w:rPr>
          <w:rFonts w:ascii="Arial" w:hAnsi="Arial" w:cs="Arial"/>
        </w:rPr>
        <w:t xml:space="preserve"> yatırımlarını</w:t>
      </w:r>
      <w:r w:rsidR="00C92162" w:rsidRPr="43AAACE7">
        <w:rPr>
          <w:rFonts w:ascii="Arial" w:hAnsi="Arial" w:cs="Arial"/>
        </w:rPr>
        <w:t>n</w:t>
      </w:r>
      <w:r w:rsidR="004E4B93" w:rsidRPr="43AAACE7">
        <w:rPr>
          <w:rFonts w:ascii="Arial" w:hAnsi="Arial" w:cs="Arial"/>
        </w:rPr>
        <w:t xml:space="preserve"> analiz </w:t>
      </w:r>
      <w:r w:rsidR="00C92162" w:rsidRPr="43AAACE7">
        <w:rPr>
          <w:rFonts w:ascii="Arial" w:hAnsi="Arial" w:cs="Arial"/>
        </w:rPr>
        <w:t xml:space="preserve">edildiği </w:t>
      </w:r>
      <w:r w:rsidR="004E4B93" w:rsidRPr="43AAACE7">
        <w:rPr>
          <w:rFonts w:ascii="Arial" w:hAnsi="Arial" w:cs="Arial"/>
        </w:rPr>
        <w:t xml:space="preserve">kapsamlı raporu </w:t>
      </w:r>
      <w:r w:rsidRPr="43AAACE7">
        <w:rPr>
          <w:rFonts w:ascii="Arial" w:hAnsi="Arial" w:cs="Arial"/>
        </w:rPr>
        <w:t>“</w:t>
      </w:r>
      <w:proofErr w:type="spellStart"/>
      <w:r w:rsidRPr="43AAACE7">
        <w:rPr>
          <w:rFonts w:ascii="Arial" w:hAnsi="Arial" w:cs="Arial"/>
        </w:rPr>
        <w:t>Pulse</w:t>
      </w:r>
      <w:proofErr w:type="spellEnd"/>
      <w:r w:rsidRPr="43AAACE7">
        <w:rPr>
          <w:rFonts w:ascii="Arial" w:hAnsi="Arial" w:cs="Arial"/>
        </w:rPr>
        <w:t xml:space="preserve"> of </w:t>
      </w:r>
      <w:proofErr w:type="spellStart"/>
      <w:r w:rsidRPr="43AAACE7">
        <w:rPr>
          <w:rFonts w:ascii="Arial" w:hAnsi="Arial" w:cs="Arial"/>
        </w:rPr>
        <w:t>Fintech</w:t>
      </w:r>
      <w:proofErr w:type="spellEnd"/>
      <w:r w:rsidRPr="43AAACE7">
        <w:rPr>
          <w:rFonts w:ascii="Arial" w:hAnsi="Arial" w:cs="Arial"/>
        </w:rPr>
        <w:t>”</w:t>
      </w:r>
      <w:r w:rsidR="00D47759" w:rsidRPr="43AAACE7">
        <w:rPr>
          <w:rFonts w:ascii="Arial" w:hAnsi="Arial" w:cs="Arial"/>
        </w:rPr>
        <w:t xml:space="preserve"> (</w:t>
      </w:r>
      <w:proofErr w:type="spellStart"/>
      <w:r w:rsidR="00D47759" w:rsidRPr="43AAACE7">
        <w:rPr>
          <w:rFonts w:ascii="Arial" w:hAnsi="Arial" w:cs="Arial"/>
        </w:rPr>
        <w:t>Fintech'in</w:t>
      </w:r>
      <w:proofErr w:type="spellEnd"/>
      <w:r w:rsidR="00D47759" w:rsidRPr="43AAACE7">
        <w:rPr>
          <w:rFonts w:ascii="Arial" w:hAnsi="Arial" w:cs="Arial"/>
        </w:rPr>
        <w:t xml:space="preserve"> Nabzı)</w:t>
      </w:r>
      <w:r w:rsidRPr="43AAACE7">
        <w:rPr>
          <w:rFonts w:ascii="Arial" w:hAnsi="Arial" w:cs="Arial"/>
        </w:rPr>
        <w:t xml:space="preserve"> </w:t>
      </w:r>
      <w:r w:rsidR="004E4B93" w:rsidRPr="43AAACE7">
        <w:rPr>
          <w:rFonts w:ascii="Arial" w:hAnsi="Arial" w:cs="Arial"/>
        </w:rPr>
        <w:t>yayımlandı</w:t>
      </w:r>
      <w:r w:rsidRPr="43AAACE7">
        <w:rPr>
          <w:rFonts w:ascii="Arial" w:hAnsi="Arial" w:cs="Arial"/>
        </w:rPr>
        <w:t xml:space="preserve">. Rapora göre </w:t>
      </w:r>
      <w:r w:rsidR="00FE6710" w:rsidRPr="43AAACE7">
        <w:rPr>
          <w:rFonts w:ascii="Arial" w:hAnsi="Arial" w:cs="Arial"/>
        </w:rPr>
        <w:t xml:space="preserve">2021 yılında 238,9 milyar dolar yatırım miktarı ve 7 bin 321 anlaşma sayısı ile rekor kıran küresel </w:t>
      </w:r>
      <w:proofErr w:type="spellStart"/>
      <w:r w:rsidR="00FE6710" w:rsidRPr="43AAACE7">
        <w:rPr>
          <w:rFonts w:ascii="Arial" w:hAnsi="Arial" w:cs="Arial"/>
        </w:rPr>
        <w:t>finte</w:t>
      </w:r>
      <w:r w:rsidR="001A4BAC" w:rsidRPr="43AAACE7">
        <w:rPr>
          <w:rFonts w:ascii="Arial" w:hAnsi="Arial" w:cs="Arial"/>
        </w:rPr>
        <w:t>ch</w:t>
      </w:r>
      <w:proofErr w:type="spellEnd"/>
      <w:r w:rsidR="00FE6710" w:rsidRPr="43AAACE7">
        <w:rPr>
          <w:rFonts w:ascii="Arial" w:hAnsi="Arial" w:cs="Arial"/>
        </w:rPr>
        <w:t xml:space="preserve"> sektörü</w:t>
      </w:r>
      <w:r w:rsidR="00610BE9" w:rsidRPr="43AAACE7">
        <w:rPr>
          <w:rFonts w:ascii="Arial" w:hAnsi="Arial" w:cs="Arial"/>
        </w:rPr>
        <w:t>,</w:t>
      </w:r>
      <w:r w:rsidR="00FE6710" w:rsidRPr="43AAACE7">
        <w:rPr>
          <w:rFonts w:ascii="Arial" w:hAnsi="Arial" w:cs="Arial"/>
        </w:rPr>
        <w:t xml:space="preserve"> 2022'de 6 bin 6 adet anlaşma ile toplamda 164,1 milyar dolar yatırım aldı. Bu rakamlar 2021 yılına kıyasla düşük olsa da yatırım miktarı açısından şimdiye kadarki en iyi </w:t>
      </w:r>
      <w:proofErr w:type="gramStart"/>
      <w:r w:rsidR="00FE6710" w:rsidRPr="43AAACE7">
        <w:rPr>
          <w:rFonts w:ascii="Arial" w:hAnsi="Arial" w:cs="Arial"/>
        </w:rPr>
        <w:t>üçüncü</w:t>
      </w:r>
      <w:proofErr w:type="gramEnd"/>
      <w:r w:rsidR="00FE6710" w:rsidRPr="43AAACE7">
        <w:rPr>
          <w:rFonts w:ascii="Arial" w:hAnsi="Arial" w:cs="Arial"/>
        </w:rPr>
        <w:t xml:space="preserve"> yıl, anlaşma sayısı açısından da en iyi ikinci yıl oldu.  </w:t>
      </w:r>
    </w:p>
    <w:p w14:paraId="3FCAEC16" w14:textId="77777777" w:rsidR="00352AE5" w:rsidRDefault="00352AE5" w:rsidP="00352AE5">
      <w:pPr>
        <w:spacing w:after="0" w:line="300" w:lineRule="auto"/>
        <w:contextualSpacing/>
        <w:jc w:val="both"/>
        <w:rPr>
          <w:rFonts w:ascii="Arial" w:hAnsi="Arial" w:cs="Arial"/>
        </w:rPr>
      </w:pPr>
    </w:p>
    <w:p w14:paraId="2C68CCF3" w14:textId="430D24B4" w:rsidR="00FE6710" w:rsidRDefault="00FE6710" w:rsidP="00352AE5">
      <w:pPr>
        <w:spacing w:after="0" w:line="300" w:lineRule="auto"/>
        <w:contextualSpacing/>
        <w:jc w:val="both"/>
        <w:rPr>
          <w:rFonts w:ascii="Arial" w:hAnsi="Arial" w:cs="Arial"/>
        </w:rPr>
      </w:pPr>
      <w:r>
        <w:rPr>
          <w:rFonts w:ascii="Arial" w:hAnsi="Arial" w:cs="Arial"/>
        </w:rPr>
        <w:t xml:space="preserve">2022 yılının </w:t>
      </w:r>
      <w:r w:rsidRPr="00FE6710">
        <w:rPr>
          <w:rFonts w:ascii="Arial" w:hAnsi="Arial" w:cs="Arial"/>
        </w:rPr>
        <w:t xml:space="preserve">ilk yarısında görülen 119,2 milyar </w:t>
      </w:r>
      <w:r>
        <w:rPr>
          <w:rFonts w:ascii="Arial" w:hAnsi="Arial" w:cs="Arial"/>
        </w:rPr>
        <w:t xml:space="preserve">dolarlık </w:t>
      </w:r>
      <w:r w:rsidRPr="00FE6710">
        <w:rPr>
          <w:rFonts w:ascii="Arial" w:hAnsi="Arial" w:cs="Arial"/>
        </w:rPr>
        <w:t xml:space="preserve">küresel </w:t>
      </w:r>
      <w:proofErr w:type="spellStart"/>
      <w:r w:rsidRPr="00FE6710">
        <w:rPr>
          <w:rFonts w:ascii="Arial" w:hAnsi="Arial" w:cs="Arial"/>
        </w:rPr>
        <w:t>finte</w:t>
      </w:r>
      <w:r w:rsidR="001A4BAC">
        <w:rPr>
          <w:rFonts w:ascii="Arial" w:hAnsi="Arial" w:cs="Arial"/>
        </w:rPr>
        <w:t>ch</w:t>
      </w:r>
      <w:proofErr w:type="spellEnd"/>
      <w:r w:rsidRPr="00FE6710">
        <w:rPr>
          <w:rFonts w:ascii="Arial" w:hAnsi="Arial" w:cs="Arial"/>
        </w:rPr>
        <w:t xml:space="preserve"> yatırımına kıyasla, </w:t>
      </w:r>
      <w:r>
        <w:rPr>
          <w:rFonts w:ascii="Arial" w:hAnsi="Arial" w:cs="Arial"/>
        </w:rPr>
        <w:t xml:space="preserve">yılın ikinci yarsında </w:t>
      </w:r>
      <w:r w:rsidRPr="00FE6710">
        <w:rPr>
          <w:rFonts w:ascii="Arial" w:hAnsi="Arial" w:cs="Arial"/>
        </w:rPr>
        <w:t xml:space="preserve">küresel </w:t>
      </w:r>
      <w:proofErr w:type="spellStart"/>
      <w:r w:rsidRPr="00FE6710">
        <w:rPr>
          <w:rFonts w:ascii="Arial" w:hAnsi="Arial" w:cs="Arial"/>
        </w:rPr>
        <w:t>fintech</w:t>
      </w:r>
      <w:proofErr w:type="spellEnd"/>
      <w:r w:rsidRPr="00FE6710">
        <w:rPr>
          <w:rFonts w:ascii="Arial" w:hAnsi="Arial" w:cs="Arial"/>
        </w:rPr>
        <w:t xml:space="preserve"> yatırımı 44,9 milyar </w:t>
      </w:r>
      <w:r>
        <w:rPr>
          <w:rFonts w:ascii="Arial" w:hAnsi="Arial" w:cs="Arial"/>
        </w:rPr>
        <w:t xml:space="preserve">dolar oldu. Yatırım miktarının yüzde </w:t>
      </w:r>
      <w:r w:rsidRPr="00FE6710">
        <w:rPr>
          <w:rFonts w:ascii="Arial" w:hAnsi="Arial" w:cs="Arial"/>
        </w:rPr>
        <w:t>50'den fazla düş</w:t>
      </w:r>
      <w:r>
        <w:rPr>
          <w:rFonts w:ascii="Arial" w:hAnsi="Arial" w:cs="Arial"/>
        </w:rPr>
        <w:t>mesin</w:t>
      </w:r>
      <w:r w:rsidR="00C92162">
        <w:rPr>
          <w:rFonts w:ascii="Arial" w:hAnsi="Arial" w:cs="Arial"/>
        </w:rPr>
        <w:t xml:space="preserve">de </w:t>
      </w:r>
      <w:r>
        <w:rPr>
          <w:rFonts w:ascii="Arial" w:hAnsi="Arial" w:cs="Arial"/>
        </w:rPr>
        <w:t xml:space="preserve">ise </w:t>
      </w:r>
      <w:r w:rsidRPr="00FE6710">
        <w:rPr>
          <w:rFonts w:ascii="Arial" w:hAnsi="Arial" w:cs="Arial"/>
        </w:rPr>
        <w:t xml:space="preserve">büyük </w:t>
      </w:r>
      <w:r>
        <w:rPr>
          <w:rFonts w:ascii="Arial" w:hAnsi="Arial" w:cs="Arial"/>
        </w:rPr>
        <w:t xml:space="preserve">çaplı </w:t>
      </w:r>
      <w:r w:rsidRPr="00FE6710">
        <w:rPr>
          <w:rFonts w:ascii="Arial" w:hAnsi="Arial" w:cs="Arial"/>
        </w:rPr>
        <w:t>anlaşmalar</w:t>
      </w:r>
      <w:r>
        <w:rPr>
          <w:rFonts w:ascii="Arial" w:hAnsi="Arial" w:cs="Arial"/>
        </w:rPr>
        <w:t>ın sayısındaki</w:t>
      </w:r>
      <w:r w:rsidRPr="00FE6710">
        <w:rPr>
          <w:rFonts w:ascii="Arial" w:hAnsi="Arial" w:cs="Arial"/>
        </w:rPr>
        <w:t xml:space="preserve"> keskin düşüş</w:t>
      </w:r>
      <w:r>
        <w:rPr>
          <w:rFonts w:ascii="Arial" w:hAnsi="Arial" w:cs="Arial"/>
        </w:rPr>
        <w:t xml:space="preserve"> etkili oldu. </w:t>
      </w:r>
      <w:r w:rsidRPr="00FE6710">
        <w:rPr>
          <w:rFonts w:ascii="Arial" w:hAnsi="Arial" w:cs="Arial"/>
        </w:rPr>
        <w:t>Yılın ilk</w:t>
      </w:r>
      <w:r w:rsidR="00C92162">
        <w:rPr>
          <w:rFonts w:ascii="Arial" w:hAnsi="Arial" w:cs="Arial"/>
        </w:rPr>
        <w:t xml:space="preserve"> </w:t>
      </w:r>
      <w:r w:rsidRPr="00FE6710">
        <w:rPr>
          <w:rFonts w:ascii="Arial" w:hAnsi="Arial" w:cs="Arial"/>
        </w:rPr>
        <w:t xml:space="preserve">yarısında, </w:t>
      </w:r>
      <w:r>
        <w:rPr>
          <w:rFonts w:ascii="Arial" w:hAnsi="Arial" w:cs="Arial"/>
        </w:rPr>
        <w:t xml:space="preserve">bir </w:t>
      </w:r>
      <w:r w:rsidRPr="00FE6710">
        <w:rPr>
          <w:rFonts w:ascii="Arial" w:hAnsi="Arial" w:cs="Arial"/>
        </w:rPr>
        <w:t xml:space="preserve">milyar doların üzerinde sekiz </w:t>
      </w:r>
      <w:r w:rsidR="00C92162" w:rsidRPr="00FE6710">
        <w:rPr>
          <w:rFonts w:ascii="Arial" w:hAnsi="Arial" w:cs="Arial"/>
        </w:rPr>
        <w:t xml:space="preserve">birleşme ve satın alma </w:t>
      </w:r>
      <w:r w:rsidR="00C92162">
        <w:rPr>
          <w:rFonts w:ascii="Arial" w:hAnsi="Arial" w:cs="Arial"/>
        </w:rPr>
        <w:t>(</w:t>
      </w:r>
      <w:r w:rsidRPr="00FE6710">
        <w:rPr>
          <w:rFonts w:ascii="Arial" w:hAnsi="Arial" w:cs="Arial"/>
        </w:rPr>
        <w:t>M&amp;A</w:t>
      </w:r>
      <w:r w:rsidR="00C92162">
        <w:rPr>
          <w:rFonts w:ascii="Arial" w:hAnsi="Arial" w:cs="Arial"/>
        </w:rPr>
        <w:t>)</w:t>
      </w:r>
      <w:r w:rsidRPr="00FE6710">
        <w:rPr>
          <w:rFonts w:ascii="Arial" w:hAnsi="Arial" w:cs="Arial"/>
        </w:rPr>
        <w:t xml:space="preserve"> anlaşması </w:t>
      </w:r>
      <w:r>
        <w:rPr>
          <w:rFonts w:ascii="Arial" w:hAnsi="Arial" w:cs="Arial"/>
        </w:rPr>
        <w:t>gerçekleşirken</w:t>
      </w:r>
      <w:r w:rsidR="00610BE9">
        <w:rPr>
          <w:rFonts w:ascii="Arial" w:hAnsi="Arial" w:cs="Arial"/>
        </w:rPr>
        <w:t>,</w:t>
      </w:r>
      <w:r>
        <w:rPr>
          <w:rFonts w:ascii="Arial" w:hAnsi="Arial" w:cs="Arial"/>
        </w:rPr>
        <w:t xml:space="preserve"> ikin</w:t>
      </w:r>
      <w:r w:rsidR="008302B6">
        <w:rPr>
          <w:rFonts w:ascii="Arial" w:hAnsi="Arial" w:cs="Arial"/>
        </w:rPr>
        <w:t>ci</w:t>
      </w:r>
      <w:r>
        <w:rPr>
          <w:rFonts w:ascii="Arial" w:hAnsi="Arial" w:cs="Arial"/>
        </w:rPr>
        <w:t xml:space="preserve"> yarıda bu miktarın </w:t>
      </w:r>
      <w:r w:rsidRPr="00FE6710">
        <w:rPr>
          <w:rFonts w:ascii="Arial" w:hAnsi="Arial" w:cs="Arial"/>
        </w:rPr>
        <w:t xml:space="preserve">üzerinde sadece dört </w:t>
      </w:r>
      <w:r w:rsidR="00C92162" w:rsidRPr="00FE6710">
        <w:rPr>
          <w:rFonts w:ascii="Arial" w:hAnsi="Arial" w:cs="Arial"/>
        </w:rPr>
        <w:t xml:space="preserve">M&amp;A </w:t>
      </w:r>
      <w:r w:rsidRPr="00FE6710">
        <w:rPr>
          <w:rFonts w:ascii="Arial" w:hAnsi="Arial" w:cs="Arial"/>
        </w:rPr>
        <w:t xml:space="preserve">anlaşması </w:t>
      </w:r>
      <w:r w:rsidR="008302B6">
        <w:rPr>
          <w:rFonts w:ascii="Arial" w:hAnsi="Arial" w:cs="Arial"/>
        </w:rPr>
        <w:t>yapıl</w:t>
      </w:r>
      <w:r w:rsidR="008302B6" w:rsidRPr="00C46251">
        <w:rPr>
          <w:rFonts w:ascii="Arial" w:hAnsi="Arial" w:cs="Arial"/>
        </w:rPr>
        <w:t xml:space="preserve">dı. </w:t>
      </w:r>
      <w:r w:rsidRPr="00C46251">
        <w:rPr>
          <w:rFonts w:ascii="Arial" w:hAnsi="Arial" w:cs="Arial"/>
        </w:rPr>
        <w:t xml:space="preserve">ABD merkezli </w:t>
      </w:r>
      <w:proofErr w:type="spellStart"/>
      <w:r w:rsidRPr="00C46251">
        <w:rPr>
          <w:rFonts w:ascii="Arial" w:hAnsi="Arial" w:cs="Arial"/>
        </w:rPr>
        <w:t>Avalara'nın</w:t>
      </w:r>
      <w:proofErr w:type="spellEnd"/>
      <w:r w:rsidRPr="00C46251">
        <w:rPr>
          <w:rFonts w:ascii="Arial" w:hAnsi="Arial" w:cs="Arial"/>
        </w:rPr>
        <w:t xml:space="preserve"> 8,4 milyar dolar</w:t>
      </w:r>
      <w:r w:rsidR="008302B6" w:rsidRPr="00C46251">
        <w:rPr>
          <w:rFonts w:ascii="Arial" w:hAnsi="Arial" w:cs="Arial"/>
        </w:rPr>
        <w:t>a</w:t>
      </w:r>
      <w:r w:rsidRPr="00C46251">
        <w:rPr>
          <w:rFonts w:ascii="Arial" w:hAnsi="Arial" w:cs="Arial"/>
        </w:rPr>
        <w:t xml:space="preserve"> satın alınması</w:t>
      </w:r>
      <w:r w:rsidR="008302B6" w:rsidRPr="00C46251">
        <w:rPr>
          <w:rFonts w:ascii="Arial" w:hAnsi="Arial" w:cs="Arial"/>
        </w:rPr>
        <w:t xml:space="preserve"> geçen yılın ikinci yarısındaki en büyük yatırım miktarı oldu</w:t>
      </w:r>
      <w:r w:rsidRPr="00C46251">
        <w:rPr>
          <w:rFonts w:ascii="Arial" w:hAnsi="Arial" w:cs="Arial"/>
        </w:rPr>
        <w:t>.</w:t>
      </w:r>
      <w:r w:rsidRPr="00FE6710">
        <w:rPr>
          <w:rFonts w:ascii="Arial" w:hAnsi="Arial" w:cs="Arial"/>
        </w:rPr>
        <w:t xml:space="preserve"> </w:t>
      </w:r>
    </w:p>
    <w:p w14:paraId="25D25279" w14:textId="77777777" w:rsidR="00352AE5" w:rsidRDefault="00352AE5" w:rsidP="00660505">
      <w:pPr>
        <w:spacing w:after="0" w:line="300" w:lineRule="auto"/>
        <w:contextualSpacing/>
        <w:jc w:val="both"/>
        <w:rPr>
          <w:rFonts w:ascii="Arial" w:hAnsi="Arial" w:cs="Arial"/>
        </w:rPr>
      </w:pPr>
    </w:p>
    <w:p w14:paraId="032EFFBE" w14:textId="62811633" w:rsidR="00660505" w:rsidRDefault="00352AE5" w:rsidP="00660505">
      <w:pPr>
        <w:spacing w:after="0" w:line="300" w:lineRule="auto"/>
        <w:contextualSpacing/>
        <w:jc w:val="both"/>
        <w:rPr>
          <w:rFonts w:ascii="Arial" w:hAnsi="Arial" w:cs="Arial"/>
        </w:rPr>
      </w:pPr>
      <w:r w:rsidRPr="008302B6">
        <w:rPr>
          <w:rFonts w:ascii="Arial" w:hAnsi="Arial" w:cs="Arial"/>
          <w:b/>
          <w:bCs/>
        </w:rPr>
        <w:t xml:space="preserve">KPMG Türkiye </w:t>
      </w:r>
      <w:proofErr w:type="spellStart"/>
      <w:r w:rsidRPr="008302B6">
        <w:rPr>
          <w:rFonts w:ascii="Arial" w:hAnsi="Arial" w:cs="Arial"/>
          <w:b/>
          <w:bCs/>
        </w:rPr>
        <w:t>Fintech</w:t>
      </w:r>
      <w:proofErr w:type="spellEnd"/>
      <w:r w:rsidRPr="008302B6">
        <w:rPr>
          <w:rFonts w:ascii="Arial" w:hAnsi="Arial" w:cs="Arial"/>
          <w:b/>
          <w:bCs/>
        </w:rPr>
        <w:t xml:space="preserve"> ve Dijital Finans Lideri Sinem Cantürk</w:t>
      </w:r>
      <w:r>
        <w:rPr>
          <w:rFonts w:ascii="Arial" w:hAnsi="Arial" w:cs="Arial"/>
        </w:rPr>
        <w:t xml:space="preserve">, </w:t>
      </w:r>
      <w:r w:rsidR="008302B6">
        <w:rPr>
          <w:rFonts w:ascii="Arial" w:hAnsi="Arial" w:cs="Arial"/>
        </w:rPr>
        <w:t>k</w:t>
      </w:r>
      <w:r w:rsidR="008302B6" w:rsidRPr="00660505">
        <w:rPr>
          <w:rFonts w:ascii="Arial" w:hAnsi="Arial" w:cs="Arial"/>
        </w:rPr>
        <w:t xml:space="preserve">onuyla ilgili </w:t>
      </w:r>
      <w:r w:rsidR="008302B6">
        <w:rPr>
          <w:rFonts w:ascii="Arial" w:hAnsi="Arial" w:cs="Arial"/>
        </w:rPr>
        <w:t xml:space="preserve">şunları söyledi: </w:t>
      </w:r>
      <w:r>
        <w:rPr>
          <w:rFonts w:ascii="Arial" w:hAnsi="Arial" w:cs="Arial"/>
        </w:rPr>
        <w:t>“</w:t>
      </w:r>
      <w:r w:rsidR="008302B6">
        <w:rPr>
          <w:rFonts w:ascii="Arial" w:hAnsi="Arial" w:cs="Arial"/>
        </w:rPr>
        <w:t xml:space="preserve">Resesyon uyarılarını </w:t>
      </w:r>
      <w:r w:rsidR="008302B6" w:rsidRPr="008302B6">
        <w:rPr>
          <w:rFonts w:ascii="Arial" w:hAnsi="Arial" w:cs="Arial"/>
        </w:rPr>
        <w:t xml:space="preserve">giderek daha fazla </w:t>
      </w:r>
      <w:r w:rsidR="008302B6">
        <w:rPr>
          <w:rFonts w:ascii="Arial" w:hAnsi="Arial" w:cs="Arial"/>
        </w:rPr>
        <w:t>duyduğumuz</w:t>
      </w:r>
      <w:r w:rsidR="008302B6" w:rsidRPr="008302B6">
        <w:rPr>
          <w:rFonts w:ascii="Arial" w:hAnsi="Arial" w:cs="Arial"/>
        </w:rPr>
        <w:t xml:space="preserve">, halka arz penceresinin hala kapalı olduğu ve </w:t>
      </w:r>
      <w:r w:rsidR="008302B6">
        <w:rPr>
          <w:rFonts w:ascii="Arial" w:hAnsi="Arial" w:cs="Arial"/>
        </w:rPr>
        <w:t xml:space="preserve">ileri </w:t>
      </w:r>
      <w:r w:rsidR="008302B6" w:rsidRPr="008302B6">
        <w:rPr>
          <w:rFonts w:ascii="Arial" w:hAnsi="Arial" w:cs="Arial"/>
        </w:rPr>
        <w:t xml:space="preserve">aşama şirketlerin değerlemelerinin hala baskı altında </w:t>
      </w:r>
      <w:r w:rsidR="00C92162">
        <w:rPr>
          <w:rFonts w:ascii="Arial" w:hAnsi="Arial" w:cs="Arial"/>
        </w:rPr>
        <w:t xml:space="preserve">bulunduğu </w:t>
      </w:r>
      <w:r w:rsidR="008302B6">
        <w:rPr>
          <w:rFonts w:ascii="Arial" w:hAnsi="Arial" w:cs="Arial"/>
        </w:rPr>
        <w:t xml:space="preserve">bir ortamda girdiğimiz </w:t>
      </w:r>
      <w:r w:rsidR="008302B6" w:rsidRPr="008302B6">
        <w:rPr>
          <w:rFonts w:ascii="Arial" w:hAnsi="Arial" w:cs="Arial"/>
        </w:rPr>
        <w:t>2023</w:t>
      </w:r>
      <w:r w:rsidR="008302B6">
        <w:rPr>
          <w:rFonts w:ascii="Arial" w:hAnsi="Arial" w:cs="Arial"/>
        </w:rPr>
        <w:t xml:space="preserve">’te, </w:t>
      </w:r>
      <w:r w:rsidR="008302B6" w:rsidRPr="008302B6">
        <w:rPr>
          <w:rFonts w:ascii="Arial" w:hAnsi="Arial" w:cs="Arial"/>
        </w:rPr>
        <w:t xml:space="preserve">önümüzde engebeli bir yol </w:t>
      </w:r>
      <w:r w:rsidR="008302B6">
        <w:rPr>
          <w:rFonts w:ascii="Arial" w:hAnsi="Arial" w:cs="Arial"/>
        </w:rPr>
        <w:t>var</w:t>
      </w:r>
      <w:r w:rsidR="008302B6" w:rsidRPr="008302B6">
        <w:rPr>
          <w:rFonts w:ascii="Arial" w:hAnsi="Arial" w:cs="Arial"/>
        </w:rPr>
        <w:t xml:space="preserve">. </w:t>
      </w:r>
      <w:r w:rsidR="008302B6">
        <w:rPr>
          <w:rFonts w:ascii="Arial" w:hAnsi="Arial" w:cs="Arial"/>
        </w:rPr>
        <w:t xml:space="preserve">Buna karşın </w:t>
      </w:r>
      <w:r w:rsidR="008302B6" w:rsidRPr="008302B6">
        <w:rPr>
          <w:rFonts w:ascii="Arial" w:hAnsi="Arial" w:cs="Arial"/>
        </w:rPr>
        <w:t xml:space="preserve">küresel </w:t>
      </w:r>
      <w:r w:rsidR="008302B6">
        <w:rPr>
          <w:rFonts w:ascii="Arial" w:hAnsi="Arial" w:cs="Arial"/>
        </w:rPr>
        <w:t xml:space="preserve">çapta </w:t>
      </w:r>
      <w:proofErr w:type="spellStart"/>
      <w:r w:rsidR="008302B6" w:rsidRPr="008302B6">
        <w:rPr>
          <w:rFonts w:ascii="Arial" w:hAnsi="Arial" w:cs="Arial"/>
        </w:rPr>
        <w:t>finte</w:t>
      </w:r>
      <w:r w:rsidR="001A4BAC">
        <w:rPr>
          <w:rFonts w:ascii="Arial" w:hAnsi="Arial" w:cs="Arial"/>
        </w:rPr>
        <w:t>ch</w:t>
      </w:r>
      <w:proofErr w:type="spellEnd"/>
      <w:r w:rsidR="008302B6" w:rsidRPr="008302B6">
        <w:rPr>
          <w:rFonts w:ascii="Arial" w:hAnsi="Arial" w:cs="Arial"/>
        </w:rPr>
        <w:t xml:space="preserve"> pazarı</w:t>
      </w:r>
      <w:r w:rsidR="008302B6">
        <w:rPr>
          <w:rFonts w:ascii="Arial" w:hAnsi="Arial" w:cs="Arial"/>
        </w:rPr>
        <w:t xml:space="preserve"> yatırım almaya devam ediyor.</w:t>
      </w:r>
      <w:r w:rsidR="001A4BAC">
        <w:rPr>
          <w:rFonts w:ascii="Arial" w:hAnsi="Arial" w:cs="Arial"/>
        </w:rPr>
        <w:t xml:space="preserve"> Katma </w:t>
      </w:r>
      <w:r w:rsidR="001A4BAC" w:rsidRPr="008302B6">
        <w:rPr>
          <w:rFonts w:ascii="Arial" w:hAnsi="Arial" w:cs="Arial"/>
        </w:rPr>
        <w:t xml:space="preserve">değer </w:t>
      </w:r>
      <w:r w:rsidR="001A4BAC">
        <w:rPr>
          <w:rFonts w:ascii="Arial" w:hAnsi="Arial" w:cs="Arial"/>
        </w:rPr>
        <w:t xml:space="preserve">sunan </w:t>
      </w:r>
      <w:r w:rsidR="001A4BAC" w:rsidRPr="008302B6">
        <w:rPr>
          <w:rFonts w:ascii="Arial" w:hAnsi="Arial" w:cs="Arial"/>
        </w:rPr>
        <w:t>ve iş modellerinin uygulanabilirliğini ve sürdürülebilir k</w:t>
      </w:r>
      <w:r w:rsidR="001A4BAC">
        <w:rPr>
          <w:rFonts w:ascii="Arial" w:hAnsi="Arial" w:cs="Arial"/>
        </w:rPr>
        <w:t>â</w:t>
      </w:r>
      <w:r w:rsidR="001A4BAC" w:rsidRPr="008302B6">
        <w:rPr>
          <w:rFonts w:ascii="Arial" w:hAnsi="Arial" w:cs="Arial"/>
        </w:rPr>
        <w:t>rlılığını gerçekten gösterebilen</w:t>
      </w:r>
      <w:r w:rsidR="001A4BAC">
        <w:rPr>
          <w:rFonts w:ascii="Arial" w:hAnsi="Arial" w:cs="Arial"/>
        </w:rPr>
        <w:t>, ö</w:t>
      </w:r>
      <w:r w:rsidR="001A4BAC" w:rsidRPr="008302B6">
        <w:rPr>
          <w:rFonts w:ascii="Arial" w:hAnsi="Arial" w:cs="Arial"/>
        </w:rPr>
        <w:t xml:space="preserve">zellikle </w:t>
      </w:r>
      <w:r w:rsidR="001A4BAC">
        <w:rPr>
          <w:rFonts w:ascii="Arial" w:hAnsi="Arial" w:cs="Arial"/>
        </w:rPr>
        <w:t>r</w:t>
      </w:r>
      <w:r w:rsidR="001A4BAC" w:rsidRPr="001A4BAC">
        <w:rPr>
          <w:rFonts w:ascii="Arial" w:hAnsi="Arial" w:cs="Arial"/>
        </w:rPr>
        <w:t xml:space="preserve">egülasyon </w:t>
      </w:r>
      <w:r w:rsidR="001A4BAC">
        <w:rPr>
          <w:rFonts w:ascii="Arial" w:hAnsi="Arial" w:cs="Arial"/>
        </w:rPr>
        <w:t>t</w:t>
      </w:r>
      <w:r w:rsidR="001A4BAC" w:rsidRPr="001A4BAC">
        <w:rPr>
          <w:rFonts w:ascii="Arial" w:hAnsi="Arial" w:cs="Arial"/>
        </w:rPr>
        <w:t xml:space="preserve">eknolojisi </w:t>
      </w:r>
      <w:r w:rsidR="001A4BAC" w:rsidRPr="008302B6">
        <w:rPr>
          <w:rFonts w:ascii="Arial" w:hAnsi="Arial" w:cs="Arial"/>
        </w:rPr>
        <w:t xml:space="preserve">ve siber güvenlik gibi </w:t>
      </w:r>
      <w:r w:rsidR="001A4BAC">
        <w:rPr>
          <w:rFonts w:ascii="Arial" w:hAnsi="Arial" w:cs="Arial"/>
        </w:rPr>
        <w:t xml:space="preserve">alanlarda faaliyet gösteren, </w:t>
      </w:r>
      <w:proofErr w:type="spellStart"/>
      <w:r w:rsidR="001A4BAC" w:rsidRPr="008302B6">
        <w:rPr>
          <w:rFonts w:ascii="Arial" w:hAnsi="Arial" w:cs="Arial"/>
        </w:rPr>
        <w:t>fintech'ler</w:t>
      </w:r>
      <w:proofErr w:type="spellEnd"/>
      <w:r w:rsidR="001A4BAC">
        <w:rPr>
          <w:rFonts w:ascii="Arial" w:hAnsi="Arial" w:cs="Arial"/>
        </w:rPr>
        <w:t xml:space="preserve"> </w:t>
      </w:r>
      <w:r w:rsidR="008302B6" w:rsidRPr="008302B6">
        <w:rPr>
          <w:rFonts w:ascii="Arial" w:hAnsi="Arial" w:cs="Arial"/>
        </w:rPr>
        <w:t xml:space="preserve">ilgi çekmeye devam </w:t>
      </w:r>
      <w:r w:rsidR="001A4BAC">
        <w:rPr>
          <w:rFonts w:ascii="Arial" w:hAnsi="Arial" w:cs="Arial"/>
        </w:rPr>
        <w:t>ediyor</w:t>
      </w:r>
      <w:r w:rsidR="008302B6" w:rsidRPr="008302B6">
        <w:rPr>
          <w:rFonts w:ascii="Arial" w:hAnsi="Arial" w:cs="Arial"/>
        </w:rPr>
        <w:t xml:space="preserve">. Daha uzun vadede, dünya çapında finansal hizmetlerin devam eden dönüşümü ve finansal hizmetlerin diğer sektörlere </w:t>
      </w:r>
      <w:r w:rsidR="001A4BAC">
        <w:rPr>
          <w:rFonts w:ascii="Arial" w:hAnsi="Arial" w:cs="Arial"/>
        </w:rPr>
        <w:t xml:space="preserve">entegrasyonuna odaklanılması </w:t>
      </w:r>
      <w:r w:rsidR="008302B6" w:rsidRPr="008302B6">
        <w:rPr>
          <w:rFonts w:ascii="Arial" w:hAnsi="Arial" w:cs="Arial"/>
        </w:rPr>
        <w:t xml:space="preserve">göz önüne alındığında, </w:t>
      </w:r>
      <w:proofErr w:type="spellStart"/>
      <w:r w:rsidR="008302B6" w:rsidRPr="008302B6">
        <w:rPr>
          <w:rFonts w:ascii="Arial" w:hAnsi="Arial" w:cs="Arial"/>
        </w:rPr>
        <w:t>fintech</w:t>
      </w:r>
      <w:proofErr w:type="spellEnd"/>
      <w:r w:rsidR="008302B6" w:rsidRPr="008302B6">
        <w:rPr>
          <w:rFonts w:ascii="Arial" w:hAnsi="Arial" w:cs="Arial"/>
        </w:rPr>
        <w:t xml:space="preserve"> yatırımlarının görünümünün oldukça olumlu olduğuna inanıyoruz.</w:t>
      </w:r>
      <w:r w:rsidR="001A4BAC">
        <w:rPr>
          <w:rFonts w:ascii="Arial" w:hAnsi="Arial" w:cs="Arial"/>
        </w:rPr>
        <w:t>” dedi.</w:t>
      </w:r>
    </w:p>
    <w:p w14:paraId="5B6C5B2A" w14:textId="77777777" w:rsidR="00660505" w:rsidRDefault="00660505" w:rsidP="00660505">
      <w:pPr>
        <w:spacing w:after="0" w:line="300" w:lineRule="auto"/>
        <w:contextualSpacing/>
        <w:jc w:val="both"/>
        <w:rPr>
          <w:rFonts w:ascii="Arial" w:hAnsi="Arial" w:cs="Arial"/>
        </w:rPr>
      </w:pPr>
    </w:p>
    <w:p w14:paraId="340B63CF" w14:textId="55D0A989" w:rsidR="00660505" w:rsidRPr="00660505" w:rsidRDefault="001A4BAC" w:rsidP="00660505">
      <w:pPr>
        <w:spacing w:after="0" w:line="300" w:lineRule="auto"/>
        <w:contextualSpacing/>
        <w:jc w:val="both"/>
        <w:rPr>
          <w:rFonts w:ascii="Arial" w:hAnsi="Arial" w:cs="Arial"/>
          <w:b/>
          <w:bCs/>
        </w:rPr>
      </w:pPr>
      <w:proofErr w:type="spellStart"/>
      <w:r w:rsidRPr="001A4BAC">
        <w:rPr>
          <w:rFonts w:ascii="Arial" w:hAnsi="Arial" w:cs="Arial"/>
          <w:b/>
          <w:bCs/>
        </w:rPr>
        <w:t>Fintech</w:t>
      </w:r>
      <w:proofErr w:type="spellEnd"/>
      <w:r w:rsidRPr="001A4BAC">
        <w:rPr>
          <w:rFonts w:ascii="Arial" w:hAnsi="Arial" w:cs="Arial"/>
          <w:b/>
          <w:bCs/>
        </w:rPr>
        <w:t xml:space="preserve"> yatırımları</w:t>
      </w:r>
      <w:r w:rsidR="00C92162">
        <w:rPr>
          <w:rFonts w:ascii="Arial" w:hAnsi="Arial" w:cs="Arial"/>
          <w:b/>
          <w:bCs/>
        </w:rPr>
        <w:t>nda en büyük payı ABD’li şirketler aldı</w:t>
      </w:r>
    </w:p>
    <w:p w14:paraId="3400C93A" w14:textId="246C1766" w:rsidR="00660505" w:rsidRPr="00660505" w:rsidRDefault="001A4BAC" w:rsidP="00660505">
      <w:pPr>
        <w:spacing w:after="0" w:line="300" w:lineRule="auto"/>
        <w:contextualSpacing/>
        <w:jc w:val="both"/>
        <w:rPr>
          <w:rFonts w:ascii="Arial" w:hAnsi="Arial" w:cs="Arial"/>
        </w:rPr>
      </w:pPr>
      <w:r w:rsidRPr="001A4BAC">
        <w:rPr>
          <w:rFonts w:ascii="Arial" w:hAnsi="Arial" w:cs="Arial"/>
        </w:rPr>
        <w:t>Bölgesel bazda, Amerika kıtası 2022'de 2</w:t>
      </w:r>
      <w:r>
        <w:rPr>
          <w:rFonts w:ascii="Arial" w:hAnsi="Arial" w:cs="Arial"/>
        </w:rPr>
        <w:t xml:space="preserve"> bin </w:t>
      </w:r>
      <w:r w:rsidRPr="001A4BAC">
        <w:rPr>
          <w:rFonts w:ascii="Arial" w:hAnsi="Arial" w:cs="Arial"/>
        </w:rPr>
        <w:t>786 anlaşma</w:t>
      </w:r>
      <w:r>
        <w:rPr>
          <w:rFonts w:ascii="Arial" w:hAnsi="Arial" w:cs="Arial"/>
        </w:rPr>
        <w:t xml:space="preserve"> kapsamında</w:t>
      </w:r>
      <w:r w:rsidRPr="001A4BAC">
        <w:rPr>
          <w:rFonts w:ascii="Arial" w:hAnsi="Arial" w:cs="Arial"/>
        </w:rPr>
        <w:t xml:space="preserve"> 68,6 milyar dolar ile küresel </w:t>
      </w:r>
      <w:proofErr w:type="spellStart"/>
      <w:r w:rsidRPr="001A4BAC">
        <w:rPr>
          <w:rFonts w:ascii="Arial" w:hAnsi="Arial" w:cs="Arial"/>
        </w:rPr>
        <w:t>fintech</w:t>
      </w:r>
      <w:proofErr w:type="spellEnd"/>
      <w:r w:rsidRPr="001A4BAC">
        <w:rPr>
          <w:rFonts w:ascii="Arial" w:hAnsi="Arial" w:cs="Arial"/>
        </w:rPr>
        <w:t xml:space="preserve"> yatırımlarının en büyük payını oluşturmaya devam etti</w:t>
      </w:r>
      <w:r>
        <w:rPr>
          <w:rFonts w:ascii="Arial" w:hAnsi="Arial" w:cs="Arial"/>
        </w:rPr>
        <w:t xml:space="preserve">. Bu anlaşmaların </w:t>
      </w:r>
      <w:r w:rsidRPr="001A4BAC">
        <w:rPr>
          <w:rFonts w:ascii="Arial" w:hAnsi="Arial" w:cs="Arial"/>
        </w:rPr>
        <w:t>2</w:t>
      </w:r>
      <w:r>
        <w:rPr>
          <w:rFonts w:ascii="Arial" w:hAnsi="Arial" w:cs="Arial"/>
        </w:rPr>
        <w:t xml:space="preserve"> bin </w:t>
      </w:r>
      <w:r w:rsidRPr="001A4BAC">
        <w:rPr>
          <w:rFonts w:ascii="Arial" w:hAnsi="Arial" w:cs="Arial"/>
        </w:rPr>
        <w:t xml:space="preserve">222 </w:t>
      </w:r>
      <w:r>
        <w:rPr>
          <w:rFonts w:ascii="Arial" w:hAnsi="Arial" w:cs="Arial"/>
        </w:rPr>
        <w:t xml:space="preserve">tanesini ve yatırımların </w:t>
      </w:r>
      <w:r w:rsidRPr="001A4BAC">
        <w:rPr>
          <w:rFonts w:ascii="Arial" w:hAnsi="Arial" w:cs="Arial"/>
        </w:rPr>
        <w:t>61,6 milyar doları</w:t>
      </w:r>
      <w:r>
        <w:rPr>
          <w:rFonts w:ascii="Arial" w:hAnsi="Arial" w:cs="Arial"/>
        </w:rPr>
        <w:t>nı</w:t>
      </w:r>
      <w:r w:rsidRPr="001A4BAC">
        <w:rPr>
          <w:rFonts w:ascii="Arial" w:hAnsi="Arial" w:cs="Arial"/>
        </w:rPr>
        <w:t xml:space="preserve"> ABD </w:t>
      </w:r>
      <w:r>
        <w:rPr>
          <w:rFonts w:ascii="Arial" w:hAnsi="Arial" w:cs="Arial"/>
        </w:rPr>
        <w:t xml:space="preserve">merkezli </w:t>
      </w:r>
      <w:proofErr w:type="spellStart"/>
      <w:r>
        <w:rPr>
          <w:rFonts w:ascii="Arial" w:hAnsi="Arial" w:cs="Arial"/>
        </w:rPr>
        <w:t>fintech’ler</w:t>
      </w:r>
      <w:proofErr w:type="spellEnd"/>
      <w:r>
        <w:rPr>
          <w:rFonts w:ascii="Arial" w:hAnsi="Arial" w:cs="Arial"/>
        </w:rPr>
        <w:t xml:space="preserve"> </w:t>
      </w:r>
      <w:r w:rsidRPr="001A4BAC">
        <w:rPr>
          <w:rFonts w:ascii="Arial" w:hAnsi="Arial" w:cs="Arial"/>
        </w:rPr>
        <w:t xml:space="preserve">oluşturdu. </w:t>
      </w:r>
      <w:r>
        <w:rPr>
          <w:rFonts w:ascii="Arial" w:hAnsi="Arial" w:cs="Arial"/>
        </w:rPr>
        <w:t xml:space="preserve">Diğer </w:t>
      </w:r>
      <w:r>
        <w:rPr>
          <w:rFonts w:ascii="Arial" w:hAnsi="Arial" w:cs="Arial"/>
        </w:rPr>
        <w:lastRenderedPageBreak/>
        <w:t xml:space="preserve">yandan </w:t>
      </w:r>
      <w:r w:rsidRPr="001A4BAC">
        <w:rPr>
          <w:rFonts w:ascii="Arial" w:hAnsi="Arial" w:cs="Arial"/>
        </w:rPr>
        <w:t xml:space="preserve">Asya-Pasifik </w:t>
      </w:r>
      <w:r>
        <w:rPr>
          <w:rFonts w:ascii="Arial" w:hAnsi="Arial" w:cs="Arial"/>
        </w:rPr>
        <w:t>B</w:t>
      </w:r>
      <w:r w:rsidRPr="001A4BAC">
        <w:rPr>
          <w:rFonts w:ascii="Arial" w:hAnsi="Arial" w:cs="Arial"/>
        </w:rPr>
        <w:t>ölgesi 1.227 anlaşma</w:t>
      </w:r>
      <w:r>
        <w:rPr>
          <w:rFonts w:ascii="Arial" w:hAnsi="Arial" w:cs="Arial"/>
        </w:rPr>
        <w:t xml:space="preserve"> kapsamında</w:t>
      </w:r>
      <w:r w:rsidRPr="001A4BAC">
        <w:rPr>
          <w:rFonts w:ascii="Arial" w:hAnsi="Arial" w:cs="Arial"/>
        </w:rPr>
        <w:t xml:space="preserve"> 50,5 milyar dolar</w:t>
      </w:r>
      <w:r>
        <w:rPr>
          <w:rFonts w:ascii="Arial" w:hAnsi="Arial" w:cs="Arial"/>
        </w:rPr>
        <w:t xml:space="preserve">, </w:t>
      </w:r>
      <w:r w:rsidRPr="001A4BAC">
        <w:rPr>
          <w:rFonts w:ascii="Arial" w:hAnsi="Arial" w:cs="Arial"/>
        </w:rPr>
        <w:t xml:space="preserve">EMEA </w:t>
      </w:r>
      <w:r>
        <w:rPr>
          <w:rFonts w:ascii="Arial" w:hAnsi="Arial" w:cs="Arial"/>
        </w:rPr>
        <w:t>B</w:t>
      </w:r>
      <w:r w:rsidRPr="001A4BAC">
        <w:rPr>
          <w:rFonts w:ascii="Arial" w:hAnsi="Arial" w:cs="Arial"/>
        </w:rPr>
        <w:t xml:space="preserve">ölgesi </w:t>
      </w:r>
      <w:r>
        <w:rPr>
          <w:rFonts w:ascii="Arial" w:hAnsi="Arial" w:cs="Arial"/>
        </w:rPr>
        <w:t xml:space="preserve">ise </w:t>
      </w:r>
      <w:r w:rsidRPr="001A4BAC">
        <w:rPr>
          <w:rFonts w:ascii="Arial" w:hAnsi="Arial" w:cs="Arial"/>
        </w:rPr>
        <w:t>1.977 anlaşma</w:t>
      </w:r>
      <w:r>
        <w:rPr>
          <w:rFonts w:ascii="Arial" w:hAnsi="Arial" w:cs="Arial"/>
        </w:rPr>
        <w:t xml:space="preserve"> kapsamında</w:t>
      </w:r>
      <w:r w:rsidRPr="001A4BAC">
        <w:rPr>
          <w:rFonts w:ascii="Arial" w:hAnsi="Arial" w:cs="Arial"/>
        </w:rPr>
        <w:t xml:space="preserve"> 44,9 milyar dolar </w:t>
      </w:r>
      <w:r>
        <w:rPr>
          <w:rFonts w:ascii="Arial" w:hAnsi="Arial" w:cs="Arial"/>
        </w:rPr>
        <w:t xml:space="preserve">yatırım </w:t>
      </w:r>
      <w:r w:rsidRPr="001A4BAC">
        <w:rPr>
          <w:rFonts w:ascii="Arial" w:hAnsi="Arial" w:cs="Arial"/>
        </w:rPr>
        <w:t xml:space="preserve">çekti. </w:t>
      </w:r>
    </w:p>
    <w:p w14:paraId="76664200" w14:textId="77777777" w:rsidR="00660505" w:rsidRDefault="00660505" w:rsidP="00660505">
      <w:pPr>
        <w:spacing w:after="0" w:line="300" w:lineRule="auto"/>
        <w:contextualSpacing/>
        <w:jc w:val="both"/>
        <w:rPr>
          <w:rFonts w:ascii="Arial" w:hAnsi="Arial" w:cs="Arial"/>
        </w:rPr>
      </w:pPr>
    </w:p>
    <w:p w14:paraId="1D34856C" w14:textId="7FE510CD" w:rsidR="00660505" w:rsidRPr="00660505" w:rsidRDefault="00A5230E" w:rsidP="00660505">
      <w:pPr>
        <w:spacing w:after="0" w:line="300" w:lineRule="auto"/>
        <w:contextualSpacing/>
        <w:jc w:val="both"/>
        <w:rPr>
          <w:rFonts w:ascii="Arial" w:hAnsi="Arial" w:cs="Arial"/>
          <w:b/>
          <w:bCs/>
        </w:rPr>
      </w:pPr>
      <w:r>
        <w:rPr>
          <w:rFonts w:ascii="Arial" w:hAnsi="Arial" w:cs="Arial"/>
          <w:b/>
          <w:bCs/>
        </w:rPr>
        <w:t>Y</w:t>
      </w:r>
      <w:r w:rsidRPr="00A5230E">
        <w:rPr>
          <w:rFonts w:ascii="Arial" w:hAnsi="Arial" w:cs="Arial"/>
          <w:b/>
          <w:bCs/>
        </w:rPr>
        <w:t>atırımcılar k</w:t>
      </w:r>
      <w:r>
        <w:rPr>
          <w:rFonts w:ascii="Arial" w:hAnsi="Arial" w:cs="Arial"/>
          <w:b/>
          <w:bCs/>
        </w:rPr>
        <w:t>â</w:t>
      </w:r>
      <w:r w:rsidRPr="00A5230E">
        <w:rPr>
          <w:rFonts w:ascii="Arial" w:hAnsi="Arial" w:cs="Arial"/>
          <w:b/>
          <w:bCs/>
        </w:rPr>
        <w:t>rlılık ve nakit akışına öncelik veriyor</w:t>
      </w:r>
    </w:p>
    <w:p w14:paraId="3B8D77A9" w14:textId="6A45D2A9" w:rsidR="00660505" w:rsidRDefault="00A5230E" w:rsidP="00660505">
      <w:pPr>
        <w:spacing w:after="0" w:line="300" w:lineRule="auto"/>
        <w:contextualSpacing/>
        <w:jc w:val="both"/>
        <w:rPr>
          <w:rFonts w:ascii="Arial" w:hAnsi="Arial" w:cs="Arial"/>
        </w:rPr>
      </w:pPr>
      <w:r>
        <w:rPr>
          <w:rFonts w:ascii="Arial" w:hAnsi="Arial" w:cs="Arial"/>
        </w:rPr>
        <w:t>K</w:t>
      </w:r>
      <w:r w:rsidRPr="00A5230E">
        <w:rPr>
          <w:rFonts w:ascii="Arial" w:hAnsi="Arial" w:cs="Arial"/>
        </w:rPr>
        <w:t xml:space="preserve">üresel </w:t>
      </w:r>
      <w:r>
        <w:rPr>
          <w:rFonts w:ascii="Arial" w:hAnsi="Arial" w:cs="Arial"/>
        </w:rPr>
        <w:t xml:space="preserve">çapta </w:t>
      </w:r>
      <w:proofErr w:type="spellStart"/>
      <w:r w:rsidRPr="00A5230E">
        <w:rPr>
          <w:rFonts w:ascii="Arial" w:hAnsi="Arial" w:cs="Arial"/>
        </w:rPr>
        <w:t>fintech</w:t>
      </w:r>
      <w:proofErr w:type="spellEnd"/>
      <w:r w:rsidRPr="00A5230E">
        <w:rPr>
          <w:rFonts w:ascii="Arial" w:hAnsi="Arial" w:cs="Arial"/>
        </w:rPr>
        <w:t xml:space="preserve"> sektörüne yapılan yatırımlar</w:t>
      </w:r>
      <w:r>
        <w:rPr>
          <w:rFonts w:ascii="Arial" w:hAnsi="Arial" w:cs="Arial"/>
        </w:rPr>
        <w:t>;</w:t>
      </w:r>
      <w:r w:rsidRPr="00A5230E">
        <w:rPr>
          <w:rFonts w:ascii="Arial" w:hAnsi="Arial" w:cs="Arial"/>
        </w:rPr>
        <w:t xml:space="preserve"> jeopolitik belirsizliğin, yükselen faiz oranlarının ve enflasyonun, değerlemeler üzerindeki aşağı yönlü baskının ve halka arz piyasasın</w:t>
      </w:r>
      <w:r>
        <w:rPr>
          <w:rFonts w:ascii="Arial" w:hAnsi="Arial" w:cs="Arial"/>
        </w:rPr>
        <w:t xml:space="preserve">daki durgunluğun </w:t>
      </w:r>
      <w:r w:rsidRPr="00A5230E">
        <w:rPr>
          <w:rFonts w:ascii="Arial" w:hAnsi="Arial" w:cs="Arial"/>
        </w:rPr>
        <w:t xml:space="preserve">etkisini </w:t>
      </w:r>
      <w:r>
        <w:rPr>
          <w:rFonts w:ascii="Arial" w:hAnsi="Arial" w:cs="Arial"/>
        </w:rPr>
        <w:t>y</w:t>
      </w:r>
      <w:r w:rsidRPr="00A5230E">
        <w:rPr>
          <w:rFonts w:ascii="Arial" w:hAnsi="Arial" w:cs="Arial"/>
        </w:rPr>
        <w:t>ıl</w:t>
      </w:r>
      <w:r>
        <w:rPr>
          <w:rFonts w:ascii="Arial" w:hAnsi="Arial" w:cs="Arial"/>
        </w:rPr>
        <w:t>ın</w:t>
      </w:r>
      <w:r w:rsidRPr="00A5230E">
        <w:rPr>
          <w:rFonts w:ascii="Arial" w:hAnsi="Arial" w:cs="Arial"/>
        </w:rPr>
        <w:t xml:space="preserve"> ortasında yeni yeni hissetmeye </w:t>
      </w:r>
      <w:r>
        <w:rPr>
          <w:rFonts w:ascii="Arial" w:hAnsi="Arial" w:cs="Arial"/>
        </w:rPr>
        <w:t>başladı</w:t>
      </w:r>
      <w:r w:rsidRPr="00A5230E">
        <w:rPr>
          <w:rFonts w:ascii="Arial" w:hAnsi="Arial" w:cs="Arial"/>
        </w:rPr>
        <w:t xml:space="preserve">. </w:t>
      </w:r>
      <w:r>
        <w:rPr>
          <w:rFonts w:ascii="Arial" w:hAnsi="Arial" w:cs="Arial"/>
        </w:rPr>
        <w:t xml:space="preserve">Bu nedenle 2022 yılının ikinci yarısında </w:t>
      </w:r>
      <w:proofErr w:type="spellStart"/>
      <w:r w:rsidRPr="00A5230E">
        <w:rPr>
          <w:rFonts w:ascii="Arial" w:hAnsi="Arial" w:cs="Arial"/>
        </w:rPr>
        <w:t>fintech</w:t>
      </w:r>
      <w:proofErr w:type="spellEnd"/>
      <w:r w:rsidRPr="00A5230E">
        <w:rPr>
          <w:rFonts w:ascii="Arial" w:hAnsi="Arial" w:cs="Arial"/>
        </w:rPr>
        <w:t xml:space="preserve"> yatırımları genel teknoloji yatırım trendlerini takip </w:t>
      </w:r>
      <w:r>
        <w:rPr>
          <w:rFonts w:ascii="Arial" w:hAnsi="Arial" w:cs="Arial"/>
        </w:rPr>
        <w:t>etti</w:t>
      </w:r>
      <w:r w:rsidRPr="00A5230E">
        <w:rPr>
          <w:rFonts w:ascii="Arial" w:hAnsi="Arial" w:cs="Arial"/>
        </w:rPr>
        <w:t>, yatırımcılar birçok büyük ve son dönem anlaşmaların</w:t>
      </w:r>
      <w:r>
        <w:rPr>
          <w:rFonts w:ascii="Arial" w:hAnsi="Arial" w:cs="Arial"/>
        </w:rPr>
        <w:t>dan</w:t>
      </w:r>
      <w:r w:rsidRPr="00A5230E">
        <w:rPr>
          <w:rFonts w:ascii="Arial" w:hAnsi="Arial" w:cs="Arial"/>
        </w:rPr>
        <w:t xml:space="preserve"> geri </w:t>
      </w:r>
      <w:r>
        <w:rPr>
          <w:rFonts w:ascii="Arial" w:hAnsi="Arial" w:cs="Arial"/>
        </w:rPr>
        <w:t xml:space="preserve">çekildi </w:t>
      </w:r>
      <w:r w:rsidRPr="00A5230E">
        <w:rPr>
          <w:rFonts w:ascii="Arial" w:hAnsi="Arial" w:cs="Arial"/>
        </w:rPr>
        <w:t xml:space="preserve">ve anlaşma yapmak için daha fazla zaman </w:t>
      </w:r>
      <w:r>
        <w:rPr>
          <w:rFonts w:ascii="Arial" w:hAnsi="Arial" w:cs="Arial"/>
        </w:rPr>
        <w:t>talep etti</w:t>
      </w:r>
      <w:r w:rsidRPr="00A5230E">
        <w:rPr>
          <w:rFonts w:ascii="Arial" w:hAnsi="Arial" w:cs="Arial"/>
        </w:rPr>
        <w:t xml:space="preserve">. Halka arz piyasası neredeyse tamamen </w:t>
      </w:r>
      <w:r>
        <w:rPr>
          <w:rFonts w:ascii="Arial" w:hAnsi="Arial" w:cs="Arial"/>
        </w:rPr>
        <w:t>durma noktasına gelerek</w:t>
      </w:r>
      <w:r w:rsidR="00610BE9">
        <w:rPr>
          <w:rFonts w:ascii="Arial" w:hAnsi="Arial" w:cs="Arial"/>
        </w:rPr>
        <w:t>,</w:t>
      </w:r>
      <w:r>
        <w:rPr>
          <w:rFonts w:ascii="Arial" w:hAnsi="Arial" w:cs="Arial"/>
        </w:rPr>
        <w:t xml:space="preserve"> </w:t>
      </w:r>
      <w:r w:rsidRPr="00A5230E">
        <w:rPr>
          <w:rFonts w:ascii="Arial" w:hAnsi="Arial" w:cs="Arial"/>
        </w:rPr>
        <w:t xml:space="preserve">çıkış fırsatlarını önemli ölçüde azalttığından, </w:t>
      </w:r>
      <w:proofErr w:type="spellStart"/>
      <w:r w:rsidRPr="00A5230E">
        <w:rPr>
          <w:rFonts w:ascii="Arial" w:hAnsi="Arial" w:cs="Arial"/>
        </w:rPr>
        <w:t>fintech</w:t>
      </w:r>
      <w:proofErr w:type="spellEnd"/>
      <w:r w:rsidRPr="00A5230E">
        <w:rPr>
          <w:rFonts w:ascii="Arial" w:hAnsi="Arial" w:cs="Arial"/>
        </w:rPr>
        <w:t xml:space="preserve"> yatırımcıları da mevcut portföy şirketlerinin nakit akışına ve kârlılığına odaklanmayı </w:t>
      </w:r>
      <w:r>
        <w:rPr>
          <w:rFonts w:ascii="Arial" w:hAnsi="Arial" w:cs="Arial"/>
        </w:rPr>
        <w:t>tercih etti</w:t>
      </w:r>
      <w:r w:rsidRPr="00A5230E">
        <w:rPr>
          <w:rFonts w:ascii="Arial" w:hAnsi="Arial" w:cs="Arial"/>
        </w:rPr>
        <w:t>.</w:t>
      </w:r>
    </w:p>
    <w:p w14:paraId="0C7035A5" w14:textId="47C6A25B" w:rsidR="00660505" w:rsidRDefault="00660505" w:rsidP="00660505">
      <w:pPr>
        <w:spacing w:after="0" w:line="300" w:lineRule="auto"/>
        <w:contextualSpacing/>
        <w:jc w:val="both"/>
        <w:rPr>
          <w:rFonts w:ascii="Arial" w:hAnsi="Arial" w:cs="Arial"/>
        </w:rPr>
      </w:pPr>
    </w:p>
    <w:p w14:paraId="2608A1D1" w14:textId="30E955C3" w:rsidR="00660505" w:rsidRPr="00660505" w:rsidRDefault="00A5230E" w:rsidP="00660505">
      <w:pPr>
        <w:spacing w:after="0" w:line="300" w:lineRule="auto"/>
        <w:contextualSpacing/>
        <w:jc w:val="both"/>
        <w:rPr>
          <w:rFonts w:ascii="Arial" w:hAnsi="Arial" w:cs="Arial"/>
          <w:b/>
          <w:bCs/>
        </w:rPr>
      </w:pPr>
      <w:proofErr w:type="spellStart"/>
      <w:r w:rsidRPr="00A5230E">
        <w:rPr>
          <w:rFonts w:ascii="Arial" w:hAnsi="Arial" w:cs="Arial"/>
          <w:b/>
          <w:bCs/>
        </w:rPr>
        <w:t>Regtech</w:t>
      </w:r>
      <w:proofErr w:type="spellEnd"/>
      <w:r w:rsidRPr="00A5230E">
        <w:rPr>
          <w:rFonts w:ascii="Arial" w:hAnsi="Arial" w:cs="Arial"/>
          <w:b/>
          <w:bCs/>
        </w:rPr>
        <w:t xml:space="preserve"> 18,6 milyar dolarlık rekor yatırım çekti</w:t>
      </w:r>
    </w:p>
    <w:p w14:paraId="2884CB0C" w14:textId="26A32264" w:rsidR="00660505" w:rsidRDefault="00A5230E" w:rsidP="00660505">
      <w:pPr>
        <w:spacing w:after="0" w:line="300" w:lineRule="auto"/>
        <w:contextualSpacing/>
        <w:jc w:val="both"/>
        <w:rPr>
          <w:rFonts w:ascii="Arial" w:hAnsi="Arial" w:cs="Arial"/>
        </w:rPr>
      </w:pPr>
      <w:proofErr w:type="spellStart"/>
      <w:r w:rsidRPr="00A5230E">
        <w:rPr>
          <w:rFonts w:ascii="Arial" w:hAnsi="Arial" w:cs="Arial"/>
        </w:rPr>
        <w:t>Regtech</w:t>
      </w:r>
      <w:proofErr w:type="spellEnd"/>
      <w:r>
        <w:rPr>
          <w:rFonts w:ascii="Arial" w:hAnsi="Arial" w:cs="Arial"/>
        </w:rPr>
        <w:t xml:space="preserve"> (r</w:t>
      </w:r>
      <w:r w:rsidRPr="001A4BAC">
        <w:rPr>
          <w:rFonts w:ascii="Arial" w:hAnsi="Arial" w:cs="Arial"/>
        </w:rPr>
        <w:t xml:space="preserve">egülasyon </w:t>
      </w:r>
      <w:r>
        <w:rPr>
          <w:rFonts w:ascii="Arial" w:hAnsi="Arial" w:cs="Arial"/>
        </w:rPr>
        <w:t>t</w:t>
      </w:r>
      <w:r w:rsidRPr="001A4BAC">
        <w:rPr>
          <w:rFonts w:ascii="Arial" w:hAnsi="Arial" w:cs="Arial"/>
        </w:rPr>
        <w:t>eknolojisi</w:t>
      </w:r>
      <w:r>
        <w:rPr>
          <w:rFonts w:ascii="Arial" w:hAnsi="Arial" w:cs="Arial"/>
        </w:rPr>
        <w:t>)</w:t>
      </w:r>
      <w:r w:rsidRPr="00A5230E">
        <w:rPr>
          <w:rFonts w:ascii="Arial" w:hAnsi="Arial" w:cs="Arial"/>
        </w:rPr>
        <w:t xml:space="preserve"> alanı, 2022'de </w:t>
      </w:r>
      <w:proofErr w:type="spellStart"/>
      <w:r w:rsidRPr="00A5230E">
        <w:rPr>
          <w:rFonts w:ascii="Arial" w:hAnsi="Arial" w:cs="Arial"/>
        </w:rPr>
        <w:t>fintech</w:t>
      </w:r>
      <w:proofErr w:type="spellEnd"/>
      <w:r w:rsidRPr="00A5230E">
        <w:rPr>
          <w:rFonts w:ascii="Arial" w:hAnsi="Arial" w:cs="Arial"/>
        </w:rPr>
        <w:t xml:space="preserve"> yatırımlarının parla</w:t>
      </w:r>
      <w:r>
        <w:rPr>
          <w:rFonts w:ascii="Arial" w:hAnsi="Arial" w:cs="Arial"/>
        </w:rPr>
        <w:t xml:space="preserve">yan ışığı oldu. </w:t>
      </w:r>
      <w:r w:rsidRPr="00A5230E">
        <w:rPr>
          <w:rFonts w:ascii="Arial" w:hAnsi="Arial" w:cs="Arial"/>
        </w:rPr>
        <w:t>2021</w:t>
      </w:r>
      <w:r w:rsidR="00A22F08">
        <w:rPr>
          <w:rFonts w:ascii="Arial" w:hAnsi="Arial" w:cs="Arial"/>
        </w:rPr>
        <w:t xml:space="preserve"> yılında </w:t>
      </w:r>
      <w:r w:rsidRPr="00A5230E">
        <w:rPr>
          <w:rFonts w:ascii="Arial" w:hAnsi="Arial" w:cs="Arial"/>
        </w:rPr>
        <w:t xml:space="preserve">12,1 milyar dolarlık </w:t>
      </w:r>
      <w:r w:rsidR="00A22F08">
        <w:rPr>
          <w:rFonts w:ascii="Arial" w:hAnsi="Arial" w:cs="Arial"/>
        </w:rPr>
        <w:t>yatırım ile rekor kıran sektör</w:t>
      </w:r>
      <w:r w:rsidR="00610BE9">
        <w:rPr>
          <w:rFonts w:ascii="Arial" w:hAnsi="Arial" w:cs="Arial"/>
        </w:rPr>
        <w:t>,</w:t>
      </w:r>
      <w:r w:rsidR="00A22F08">
        <w:rPr>
          <w:rFonts w:ascii="Arial" w:hAnsi="Arial" w:cs="Arial"/>
        </w:rPr>
        <w:t xml:space="preserve"> geçen yılın ikinci yarısında, bu rekorun </w:t>
      </w:r>
      <w:r w:rsidRPr="00A5230E">
        <w:rPr>
          <w:rFonts w:ascii="Arial" w:hAnsi="Arial" w:cs="Arial"/>
        </w:rPr>
        <w:t>çok üzerinde</w:t>
      </w:r>
      <w:r w:rsidR="00A22F08">
        <w:rPr>
          <w:rFonts w:ascii="Arial" w:hAnsi="Arial" w:cs="Arial"/>
        </w:rPr>
        <w:t xml:space="preserve">, </w:t>
      </w:r>
      <w:r w:rsidRPr="00A5230E">
        <w:rPr>
          <w:rFonts w:ascii="Arial" w:hAnsi="Arial" w:cs="Arial"/>
        </w:rPr>
        <w:t xml:space="preserve">18,6 milyar dolarlık </w:t>
      </w:r>
      <w:r w:rsidR="00A22F08">
        <w:rPr>
          <w:rFonts w:ascii="Arial" w:hAnsi="Arial" w:cs="Arial"/>
        </w:rPr>
        <w:t xml:space="preserve">yatırım çekerek </w:t>
      </w:r>
      <w:r w:rsidRPr="00A5230E">
        <w:rPr>
          <w:rFonts w:ascii="Arial" w:hAnsi="Arial" w:cs="Arial"/>
        </w:rPr>
        <w:t xml:space="preserve">yeni bir </w:t>
      </w:r>
      <w:r w:rsidR="00A22F08">
        <w:rPr>
          <w:rFonts w:ascii="Arial" w:hAnsi="Arial" w:cs="Arial"/>
        </w:rPr>
        <w:t>r</w:t>
      </w:r>
      <w:r w:rsidR="00610BE9">
        <w:rPr>
          <w:rFonts w:ascii="Arial" w:hAnsi="Arial" w:cs="Arial"/>
        </w:rPr>
        <w:t>e</w:t>
      </w:r>
      <w:r w:rsidR="00A22F08">
        <w:rPr>
          <w:rFonts w:ascii="Arial" w:hAnsi="Arial" w:cs="Arial"/>
        </w:rPr>
        <w:t>kor kırdı</w:t>
      </w:r>
      <w:r w:rsidRPr="00A5230E">
        <w:rPr>
          <w:rFonts w:ascii="Arial" w:hAnsi="Arial" w:cs="Arial"/>
        </w:rPr>
        <w:t xml:space="preserve">. </w:t>
      </w:r>
      <w:proofErr w:type="spellStart"/>
      <w:r w:rsidRPr="00A5230E">
        <w:rPr>
          <w:rFonts w:ascii="Arial" w:hAnsi="Arial" w:cs="Arial"/>
        </w:rPr>
        <w:t>Regtech</w:t>
      </w:r>
      <w:proofErr w:type="spellEnd"/>
      <w:r w:rsidR="00A22F08">
        <w:rPr>
          <w:rFonts w:ascii="Arial" w:hAnsi="Arial" w:cs="Arial"/>
        </w:rPr>
        <w:t xml:space="preserve"> alanı;</w:t>
      </w:r>
      <w:r w:rsidRPr="00A5230E">
        <w:rPr>
          <w:rFonts w:ascii="Arial" w:hAnsi="Arial" w:cs="Arial"/>
        </w:rPr>
        <w:t xml:space="preserve"> Vista </w:t>
      </w:r>
      <w:proofErr w:type="spellStart"/>
      <w:r w:rsidRPr="00A5230E">
        <w:rPr>
          <w:rFonts w:ascii="Arial" w:hAnsi="Arial" w:cs="Arial"/>
        </w:rPr>
        <w:t>Equity</w:t>
      </w:r>
      <w:proofErr w:type="spellEnd"/>
      <w:r w:rsidRPr="00A5230E">
        <w:rPr>
          <w:rFonts w:ascii="Arial" w:hAnsi="Arial" w:cs="Arial"/>
        </w:rPr>
        <w:t xml:space="preserve"> </w:t>
      </w:r>
      <w:proofErr w:type="spellStart"/>
      <w:r w:rsidRPr="00A5230E">
        <w:rPr>
          <w:rFonts w:ascii="Arial" w:hAnsi="Arial" w:cs="Arial"/>
        </w:rPr>
        <w:t>Partners'ın</w:t>
      </w:r>
      <w:proofErr w:type="spellEnd"/>
      <w:r w:rsidRPr="00A5230E">
        <w:rPr>
          <w:rFonts w:ascii="Arial" w:hAnsi="Arial" w:cs="Arial"/>
        </w:rPr>
        <w:t xml:space="preserve"> </w:t>
      </w:r>
      <w:proofErr w:type="spellStart"/>
      <w:r w:rsidRPr="00A5230E">
        <w:rPr>
          <w:rFonts w:ascii="Arial" w:hAnsi="Arial" w:cs="Arial"/>
        </w:rPr>
        <w:t>Avalara'yı</w:t>
      </w:r>
      <w:proofErr w:type="spellEnd"/>
      <w:r w:rsidRPr="00A5230E">
        <w:rPr>
          <w:rFonts w:ascii="Arial" w:hAnsi="Arial" w:cs="Arial"/>
        </w:rPr>
        <w:t xml:space="preserve"> </w:t>
      </w:r>
      <w:r w:rsidR="00A22F08" w:rsidRPr="00A5230E">
        <w:rPr>
          <w:rFonts w:ascii="Arial" w:hAnsi="Arial" w:cs="Arial"/>
        </w:rPr>
        <w:t xml:space="preserve">8,4 milyar </w:t>
      </w:r>
      <w:r w:rsidR="00A22F08">
        <w:rPr>
          <w:rFonts w:ascii="Arial" w:hAnsi="Arial" w:cs="Arial"/>
        </w:rPr>
        <w:t>dolar</w:t>
      </w:r>
      <w:r w:rsidR="00610BE9">
        <w:rPr>
          <w:rFonts w:ascii="Arial" w:hAnsi="Arial" w:cs="Arial"/>
        </w:rPr>
        <w:t>a</w:t>
      </w:r>
      <w:r w:rsidR="00A22F08" w:rsidRPr="00A5230E">
        <w:rPr>
          <w:rFonts w:ascii="Arial" w:hAnsi="Arial" w:cs="Arial"/>
        </w:rPr>
        <w:t xml:space="preserve"> </w:t>
      </w:r>
      <w:r w:rsidRPr="00A5230E">
        <w:rPr>
          <w:rFonts w:ascii="Arial" w:hAnsi="Arial" w:cs="Arial"/>
        </w:rPr>
        <w:t xml:space="preserve">satın alması ve </w:t>
      </w:r>
      <w:proofErr w:type="spellStart"/>
      <w:r w:rsidRPr="00A5230E">
        <w:rPr>
          <w:rFonts w:ascii="Arial" w:hAnsi="Arial" w:cs="Arial"/>
        </w:rPr>
        <w:t>Computer</w:t>
      </w:r>
      <w:proofErr w:type="spellEnd"/>
      <w:r w:rsidRPr="00A5230E">
        <w:rPr>
          <w:rFonts w:ascii="Arial" w:hAnsi="Arial" w:cs="Arial"/>
        </w:rPr>
        <w:t xml:space="preserve"> Services </w:t>
      </w:r>
      <w:proofErr w:type="spellStart"/>
      <w:r w:rsidRPr="00A5230E">
        <w:rPr>
          <w:rFonts w:ascii="Arial" w:hAnsi="Arial" w:cs="Arial"/>
        </w:rPr>
        <w:t>Inc'in</w:t>
      </w:r>
      <w:proofErr w:type="spellEnd"/>
      <w:r w:rsidRPr="00A5230E">
        <w:rPr>
          <w:rFonts w:ascii="Arial" w:hAnsi="Arial" w:cs="Arial"/>
        </w:rPr>
        <w:t xml:space="preserve"> </w:t>
      </w:r>
      <w:proofErr w:type="spellStart"/>
      <w:r w:rsidRPr="00A5230E">
        <w:rPr>
          <w:rFonts w:ascii="Arial" w:hAnsi="Arial" w:cs="Arial"/>
        </w:rPr>
        <w:t>Centerbridge</w:t>
      </w:r>
      <w:proofErr w:type="spellEnd"/>
      <w:r w:rsidRPr="00A5230E">
        <w:rPr>
          <w:rFonts w:ascii="Arial" w:hAnsi="Arial" w:cs="Arial"/>
        </w:rPr>
        <w:t xml:space="preserve"> </w:t>
      </w:r>
      <w:proofErr w:type="spellStart"/>
      <w:r w:rsidRPr="00A5230E">
        <w:rPr>
          <w:rFonts w:ascii="Arial" w:hAnsi="Arial" w:cs="Arial"/>
        </w:rPr>
        <w:t>Partners</w:t>
      </w:r>
      <w:proofErr w:type="spellEnd"/>
      <w:r w:rsidRPr="00A5230E">
        <w:rPr>
          <w:rFonts w:ascii="Arial" w:hAnsi="Arial" w:cs="Arial"/>
        </w:rPr>
        <w:t xml:space="preserve"> ve </w:t>
      </w:r>
      <w:proofErr w:type="spellStart"/>
      <w:r w:rsidRPr="00A5230E">
        <w:rPr>
          <w:rFonts w:ascii="Arial" w:hAnsi="Arial" w:cs="Arial"/>
        </w:rPr>
        <w:t>Bridgeport</w:t>
      </w:r>
      <w:proofErr w:type="spellEnd"/>
      <w:r w:rsidRPr="00A5230E">
        <w:rPr>
          <w:rFonts w:ascii="Arial" w:hAnsi="Arial" w:cs="Arial"/>
        </w:rPr>
        <w:t xml:space="preserve"> </w:t>
      </w:r>
      <w:proofErr w:type="spellStart"/>
      <w:r w:rsidRPr="00A5230E">
        <w:rPr>
          <w:rFonts w:ascii="Arial" w:hAnsi="Arial" w:cs="Arial"/>
        </w:rPr>
        <w:t>Partners</w:t>
      </w:r>
      <w:proofErr w:type="spellEnd"/>
      <w:r w:rsidRPr="00A5230E">
        <w:rPr>
          <w:rFonts w:ascii="Arial" w:hAnsi="Arial" w:cs="Arial"/>
        </w:rPr>
        <w:t xml:space="preserve"> tarafından 1,6 milyar </w:t>
      </w:r>
      <w:r w:rsidR="00A22F08">
        <w:rPr>
          <w:rFonts w:ascii="Arial" w:hAnsi="Arial" w:cs="Arial"/>
        </w:rPr>
        <w:t xml:space="preserve">dolara </w:t>
      </w:r>
      <w:r w:rsidRPr="00A5230E">
        <w:rPr>
          <w:rFonts w:ascii="Arial" w:hAnsi="Arial" w:cs="Arial"/>
        </w:rPr>
        <w:t xml:space="preserve">satın alınması olmak üzere en büyük üç </w:t>
      </w:r>
      <w:proofErr w:type="spellStart"/>
      <w:r w:rsidRPr="00A5230E">
        <w:rPr>
          <w:rFonts w:ascii="Arial" w:hAnsi="Arial" w:cs="Arial"/>
        </w:rPr>
        <w:t>fintech</w:t>
      </w:r>
      <w:proofErr w:type="spellEnd"/>
      <w:r w:rsidRPr="00A5230E">
        <w:rPr>
          <w:rFonts w:ascii="Arial" w:hAnsi="Arial" w:cs="Arial"/>
        </w:rPr>
        <w:t xml:space="preserve"> anlaşmasından ikisini </w:t>
      </w:r>
      <w:r w:rsidR="00A22F08">
        <w:rPr>
          <w:rFonts w:ascii="Arial" w:hAnsi="Arial" w:cs="Arial"/>
        </w:rPr>
        <w:t xml:space="preserve">kendisine </w:t>
      </w:r>
      <w:r w:rsidRPr="00A5230E">
        <w:rPr>
          <w:rFonts w:ascii="Arial" w:hAnsi="Arial" w:cs="Arial"/>
        </w:rPr>
        <w:t xml:space="preserve">çekti. Küresel </w:t>
      </w:r>
      <w:r w:rsidR="00A22F08">
        <w:rPr>
          <w:rFonts w:ascii="Arial" w:hAnsi="Arial" w:cs="Arial"/>
        </w:rPr>
        <w:t xml:space="preserve">ölçekte </w:t>
      </w:r>
      <w:r w:rsidRPr="00A5230E">
        <w:rPr>
          <w:rFonts w:ascii="Arial" w:hAnsi="Arial" w:cs="Arial"/>
        </w:rPr>
        <w:t xml:space="preserve">finansal hizmetler için karmaşık </w:t>
      </w:r>
      <w:r w:rsidR="00A22F08">
        <w:rPr>
          <w:rFonts w:ascii="Arial" w:hAnsi="Arial" w:cs="Arial"/>
        </w:rPr>
        <w:t xml:space="preserve">regülasyon </w:t>
      </w:r>
      <w:r w:rsidRPr="00A5230E">
        <w:rPr>
          <w:rFonts w:ascii="Arial" w:hAnsi="Arial" w:cs="Arial"/>
        </w:rPr>
        <w:t>ortam</w:t>
      </w:r>
      <w:r w:rsidR="00A22F08">
        <w:rPr>
          <w:rFonts w:ascii="Arial" w:hAnsi="Arial" w:cs="Arial"/>
        </w:rPr>
        <w:t>ının</w:t>
      </w:r>
      <w:r w:rsidRPr="00A5230E">
        <w:rPr>
          <w:rFonts w:ascii="Arial" w:hAnsi="Arial" w:cs="Arial"/>
        </w:rPr>
        <w:t xml:space="preserve"> ve kârlılık </w:t>
      </w:r>
      <w:r w:rsidR="00A22F08">
        <w:rPr>
          <w:rFonts w:ascii="Arial" w:hAnsi="Arial" w:cs="Arial"/>
        </w:rPr>
        <w:t xml:space="preserve">ile </w:t>
      </w:r>
      <w:r w:rsidRPr="00A5230E">
        <w:rPr>
          <w:rFonts w:ascii="Arial" w:hAnsi="Arial" w:cs="Arial"/>
        </w:rPr>
        <w:t xml:space="preserve">maliyet azaltmaya </w:t>
      </w:r>
      <w:r w:rsidR="00A22F08">
        <w:rPr>
          <w:rFonts w:ascii="Arial" w:hAnsi="Arial" w:cs="Arial"/>
        </w:rPr>
        <w:t xml:space="preserve">yönelimin artması </w:t>
      </w:r>
      <w:r w:rsidRPr="00A5230E">
        <w:rPr>
          <w:rFonts w:ascii="Arial" w:hAnsi="Arial" w:cs="Arial"/>
        </w:rPr>
        <w:t>göz önüne alındığında şirketler</w:t>
      </w:r>
      <w:r w:rsidR="00C92162">
        <w:rPr>
          <w:rFonts w:ascii="Arial" w:hAnsi="Arial" w:cs="Arial"/>
        </w:rPr>
        <w:t>,</w:t>
      </w:r>
      <w:r w:rsidRPr="00A5230E">
        <w:rPr>
          <w:rFonts w:ascii="Arial" w:hAnsi="Arial" w:cs="Arial"/>
        </w:rPr>
        <w:t xml:space="preserve"> uyum faaliyetlerini kolaylaştırmak ve iyileştirmek için teknolojiye </w:t>
      </w:r>
      <w:r w:rsidR="00A22F08">
        <w:rPr>
          <w:rFonts w:ascii="Arial" w:hAnsi="Arial" w:cs="Arial"/>
        </w:rPr>
        <w:t xml:space="preserve">daha fazla önem veriyor, bu da </w:t>
      </w:r>
      <w:proofErr w:type="spellStart"/>
      <w:r w:rsidR="00A22F08" w:rsidRPr="00A5230E">
        <w:rPr>
          <w:rFonts w:ascii="Arial" w:hAnsi="Arial" w:cs="Arial"/>
        </w:rPr>
        <w:t>regtech</w:t>
      </w:r>
      <w:proofErr w:type="spellEnd"/>
      <w:r w:rsidR="00A22F08" w:rsidRPr="00A5230E">
        <w:rPr>
          <w:rFonts w:ascii="Arial" w:hAnsi="Arial" w:cs="Arial"/>
        </w:rPr>
        <w:t xml:space="preserve"> yatırım</w:t>
      </w:r>
      <w:r w:rsidR="00C92162">
        <w:rPr>
          <w:rFonts w:ascii="Arial" w:hAnsi="Arial" w:cs="Arial"/>
        </w:rPr>
        <w:t>ların</w:t>
      </w:r>
      <w:r w:rsidR="00A22F08">
        <w:rPr>
          <w:rFonts w:ascii="Arial" w:hAnsi="Arial" w:cs="Arial"/>
        </w:rPr>
        <w:t xml:space="preserve"> artacağı beklentilerini güçlendiriyor.</w:t>
      </w:r>
    </w:p>
    <w:p w14:paraId="11BDDEAE" w14:textId="3C147B13" w:rsidR="00660505" w:rsidRDefault="00660505" w:rsidP="00660505">
      <w:pPr>
        <w:spacing w:after="0" w:line="300" w:lineRule="auto"/>
        <w:contextualSpacing/>
        <w:jc w:val="both"/>
        <w:rPr>
          <w:rFonts w:ascii="Arial" w:hAnsi="Arial" w:cs="Arial"/>
        </w:rPr>
      </w:pPr>
    </w:p>
    <w:p w14:paraId="23B36A98" w14:textId="0870ADA1" w:rsidR="00A22F08" w:rsidRDefault="00A22F08" w:rsidP="00660505">
      <w:pPr>
        <w:spacing w:after="0" w:line="300" w:lineRule="auto"/>
        <w:contextualSpacing/>
        <w:jc w:val="both"/>
        <w:rPr>
          <w:rFonts w:ascii="Arial" w:hAnsi="Arial" w:cs="Arial"/>
          <w:b/>
          <w:bCs/>
        </w:rPr>
      </w:pPr>
      <w:r w:rsidRPr="00A22F08">
        <w:rPr>
          <w:rFonts w:ascii="Arial" w:hAnsi="Arial" w:cs="Arial"/>
          <w:b/>
          <w:bCs/>
        </w:rPr>
        <w:t>Yatırımcılar, kripto sektöründeki zorluklar</w:t>
      </w:r>
      <w:r>
        <w:rPr>
          <w:rFonts w:ascii="Arial" w:hAnsi="Arial" w:cs="Arial"/>
          <w:b/>
          <w:bCs/>
        </w:rPr>
        <w:t xml:space="preserve"> nedeniyle daha temkinli</w:t>
      </w:r>
    </w:p>
    <w:p w14:paraId="78C254C7" w14:textId="0BD4D439" w:rsidR="00660505" w:rsidRDefault="00A22F08" w:rsidP="00660505">
      <w:pPr>
        <w:spacing w:after="0" w:line="300" w:lineRule="auto"/>
        <w:contextualSpacing/>
        <w:jc w:val="both"/>
        <w:rPr>
          <w:rFonts w:ascii="Arial" w:hAnsi="Arial" w:cs="Arial"/>
        </w:rPr>
      </w:pPr>
      <w:r w:rsidRPr="00A22F08">
        <w:rPr>
          <w:rFonts w:ascii="Arial" w:hAnsi="Arial" w:cs="Arial"/>
        </w:rPr>
        <w:t xml:space="preserve">Kripto sektörü yatırımları </w:t>
      </w:r>
      <w:r>
        <w:rPr>
          <w:rFonts w:ascii="Arial" w:hAnsi="Arial" w:cs="Arial"/>
        </w:rPr>
        <w:t>ise geçen yılın m</w:t>
      </w:r>
      <w:r w:rsidRPr="00A22F08">
        <w:rPr>
          <w:rFonts w:ascii="Arial" w:hAnsi="Arial" w:cs="Arial"/>
        </w:rPr>
        <w:t xml:space="preserve">ayıs ayındaki </w:t>
      </w:r>
      <w:proofErr w:type="spellStart"/>
      <w:r w:rsidRPr="00A22F08">
        <w:rPr>
          <w:rFonts w:ascii="Arial" w:hAnsi="Arial" w:cs="Arial"/>
        </w:rPr>
        <w:t>Terra</w:t>
      </w:r>
      <w:proofErr w:type="spellEnd"/>
      <w:r w:rsidRPr="00A22F08">
        <w:rPr>
          <w:rFonts w:ascii="Arial" w:hAnsi="Arial" w:cs="Arial"/>
        </w:rPr>
        <w:t xml:space="preserve"> (</w:t>
      </w:r>
      <w:proofErr w:type="spellStart"/>
      <w:r w:rsidRPr="00A22F08">
        <w:rPr>
          <w:rFonts w:ascii="Arial" w:hAnsi="Arial" w:cs="Arial"/>
        </w:rPr>
        <w:t>Luna</w:t>
      </w:r>
      <w:proofErr w:type="spellEnd"/>
      <w:r w:rsidRPr="00A22F08">
        <w:rPr>
          <w:rFonts w:ascii="Arial" w:hAnsi="Arial" w:cs="Arial"/>
        </w:rPr>
        <w:t xml:space="preserve">) çöküşünün ardından önemli ölçüde düştü. </w:t>
      </w:r>
      <w:r w:rsidR="00C92162" w:rsidRPr="00C92162">
        <w:rPr>
          <w:rFonts w:ascii="Arial" w:hAnsi="Arial" w:cs="Arial"/>
        </w:rPr>
        <w:t>2021 yılında 30 milyar dolar yatırım alan blok zinciri ve kripto para sektörü, 2022 yılında 23,1 milyar dolar yatırım çekti.</w:t>
      </w:r>
      <w:r w:rsidR="00C92162">
        <w:rPr>
          <w:rFonts w:ascii="Arial" w:hAnsi="Arial" w:cs="Arial"/>
        </w:rPr>
        <w:t xml:space="preserve">  </w:t>
      </w:r>
      <w:r w:rsidRPr="00A22F08">
        <w:rPr>
          <w:rFonts w:ascii="Arial" w:hAnsi="Arial" w:cs="Arial"/>
        </w:rPr>
        <w:t xml:space="preserve">Kasım ayındaki FTX iflası </w:t>
      </w:r>
      <w:r>
        <w:rPr>
          <w:rFonts w:ascii="Arial" w:hAnsi="Arial" w:cs="Arial"/>
        </w:rPr>
        <w:t xml:space="preserve">da </w:t>
      </w:r>
      <w:r w:rsidRPr="00A22F08">
        <w:rPr>
          <w:rFonts w:ascii="Arial" w:hAnsi="Arial" w:cs="Arial"/>
        </w:rPr>
        <w:t xml:space="preserve">göz önüne alındığında, birçok yatırımcı kripto alanındaki yatırımlarla ilgili durum tespiti </w:t>
      </w:r>
      <w:r>
        <w:rPr>
          <w:rFonts w:ascii="Arial" w:hAnsi="Arial" w:cs="Arial"/>
        </w:rPr>
        <w:t xml:space="preserve">yapmaya </w:t>
      </w:r>
      <w:r w:rsidRPr="00A22F08">
        <w:rPr>
          <w:rFonts w:ascii="Arial" w:hAnsi="Arial" w:cs="Arial"/>
        </w:rPr>
        <w:t>ve süreçlerini gözden geçirme</w:t>
      </w:r>
      <w:r>
        <w:rPr>
          <w:rFonts w:ascii="Arial" w:hAnsi="Arial" w:cs="Arial"/>
        </w:rPr>
        <w:t>ye başladı.</w:t>
      </w:r>
      <w:r w:rsidR="00C92162">
        <w:rPr>
          <w:rFonts w:ascii="Arial" w:hAnsi="Arial" w:cs="Arial"/>
        </w:rPr>
        <w:t xml:space="preserve"> </w:t>
      </w:r>
      <w:r>
        <w:rPr>
          <w:rFonts w:ascii="Arial" w:hAnsi="Arial" w:cs="Arial"/>
        </w:rPr>
        <w:t xml:space="preserve">Bu durumun etkisi ile </w:t>
      </w:r>
      <w:r w:rsidRPr="00A22F08">
        <w:rPr>
          <w:rFonts w:ascii="Arial" w:hAnsi="Arial" w:cs="Arial"/>
        </w:rPr>
        <w:t xml:space="preserve">kripto odaklı firmalara yatırımın </w:t>
      </w:r>
      <w:r w:rsidR="00610BE9">
        <w:rPr>
          <w:rFonts w:ascii="Arial" w:hAnsi="Arial" w:cs="Arial"/>
        </w:rPr>
        <w:t xml:space="preserve">2023 yılının ilk yarısında da </w:t>
      </w:r>
      <w:r>
        <w:rPr>
          <w:rFonts w:ascii="Arial" w:hAnsi="Arial" w:cs="Arial"/>
        </w:rPr>
        <w:t>düşük kalması bekleniyor</w:t>
      </w:r>
      <w:r w:rsidRPr="00A22F08">
        <w:rPr>
          <w:rFonts w:ascii="Arial" w:hAnsi="Arial" w:cs="Arial"/>
        </w:rPr>
        <w:t xml:space="preserve">. </w:t>
      </w:r>
    </w:p>
    <w:p w14:paraId="07241492" w14:textId="0E35D299" w:rsidR="00660505" w:rsidRDefault="00660505" w:rsidP="00660505">
      <w:pPr>
        <w:spacing w:after="0" w:line="300" w:lineRule="auto"/>
        <w:contextualSpacing/>
        <w:jc w:val="both"/>
        <w:rPr>
          <w:rFonts w:ascii="Arial" w:hAnsi="Arial" w:cs="Arial"/>
        </w:rPr>
      </w:pPr>
    </w:p>
    <w:p w14:paraId="41DCFBD8" w14:textId="7549781E" w:rsidR="00660505" w:rsidRDefault="00660505" w:rsidP="00660505">
      <w:pPr>
        <w:spacing w:after="0" w:line="300" w:lineRule="auto"/>
        <w:contextualSpacing/>
        <w:jc w:val="both"/>
        <w:rPr>
          <w:rFonts w:ascii="Arial" w:hAnsi="Arial" w:cs="Arial"/>
        </w:rPr>
      </w:pPr>
      <w:r w:rsidRPr="00660505">
        <w:rPr>
          <w:rFonts w:ascii="Arial" w:hAnsi="Arial" w:cs="Arial"/>
        </w:rPr>
        <w:t xml:space="preserve">2022 yılının </w:t>
      </w:r>
      <w:r w:rsidR="00C46251">
        <w:rPr>
          <w:rFonts w:ascii="Arial" w:hAnsi="Arial" w:cs="Arial"/>
        </w:rPr>
        <w:t xml:space="preserve">tamamında </w:t>
      </w:r>
      <w:r w:rsidRPr="00660505">
        <w:rPr>
          <w:rFonts w:ascii="Arial" w:hAnsi="Arial" w:cs="Arial"/>
        </w:rPr>
        <w:t xml:space="preserve">en büyük 10 küresel </w:t>
      </w:r>
      <w:proofErr w:type="spellStart"/>
      <w:r w:rsidRPr="00660505">
        <w:rPr>
          <w:rFonts w:ascii="Arial" w:hAnsi="Arial" w:cs="Arial"/>
        </w:rPr>
        <w:t>finte</w:t>
      </w:r>
      <w:r w:rsidR="00C92162">
        <w:rPr>
          <w:rFonts w:ascii="Arial" w:hAnsi="Arial" w:cs="Arial"/>
        </w:rPr>
        <w:t>ch</w:t>
      </w:r>
      <w:proofErr w:type="spellEnd"/>
      <w:r w:rsidR="00C92162">
        <w:rPr>
          <w:rFonts w:ascii="Arial" w:hAnsi="Arial" w:cs="Arial"/>
        </w:rPr>
        <w:t xml:space="preserve"> </w:t>
      </w:r>
      <w:r w:rsidRPr="00660505">
        <w:rPr>
          <w:rFonts w:ascii="Arial" w:hAnsi="Arial" w:cs="Arial"/>
        </w:rPr>
        <w:t>yatırım</w:t>
      </w:r>
      <w:r w:rsidR="008302B6">
        <w:rPr>
          <w:rFonts w:ascii="Arial" w:hAnsi="Arial" w:cs="Arial"/>
        </w:rPr>
        <w:t>ı</w:t>
      </w:r>
      <w:r w:rsidR="00C46251">
        <w:rPr>
          <w:rFonts w:ascii="Arial" w:hAnsi="Arial" w:cs="Arial"/>
        </w:rPr>
        <w:t xml:space="preserve"> şu şekilde gerçekleşti</w:t>
      </w:r>
      <w:r w:rsidR="00C92162">
        <w:rPr>
          <w:rFonts w:ascii="Arial" w:hAnsi="Arial" w:cs="Arial"/>
        </w:rPr>
        <w:t>:</w:t>
      </w:r>
    </w:p>
    <w:p w14:paraId="528011C0" w14:textId="1635C600" w:rsidR="00660505" w:rsidRDefault="00660505" w:rsidP="00660505">
      <w:pPr>
        <w:spacing w:after="0" w:line="300" w:lineRule="auto"/>
        <w:contextualSpacing/>
        <w:jc w:val="both"/>
        <w:rPr>
          <w:rFonts w:ascii="Arial" w:hAnsi="Arial" w:cs="Arial"/>
        </w:rPr>
      </w:pPr>
    </w:p>
    <w:tbl>
      <w:tblPr>
        <w:tblStyle w:val="TabloKlavuzu"/>
        <w:tblW w:w="9493" w:type="dxa"/>
        <w:tblLook w:val="04A0" w:firstRow="1" w:lastRow="0" w:firstColumn="1" w:lastColumn="0" w:noHBand="0" w:noVBand="1"/>
      </w:tblPr>
      <w:tblGrid>
        <w:gridCol w:w="704"/>
        <w:gridCol w:w="2518"/>
        <w:gridCol w:w="1806"/>
        <w:gridCol w:w="2197"/>
        <w:gridCol w:w="2268"/>
      </w:tblGrid>
      <w:tr w:rsidR="00660505" w:rsidRPr="00A8767F" w14:paraId="73991DA2" w14:textId="77777777" w:rsidTr="00E90A5D">
        <w:tc>
          <w:tcPr>
            <w:tcW w:w="704" w:type="dxa"/>
          </w:tcPr>
          <w:p w14:paraId="2D92440E"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Sıra</w:t>
            </w:r>
          </w:p>
        </w:tc>
        <w:tc>
          <w:tcPr>
            <w:tcW w:w="2518" w:type="dxa"/>
          </w:tcPr>
          <w:p w14:paraId="5F49A0B4"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Şirket</w:t>
            </w:r>
          </w:p>
        </w:tc>
        <w:tc>
          <w:tcPr>
            <w:tcW w:w="1806" w:type="dxa"/>
          </w:tcPr>
          <w:p w14:paraId="26A70E81"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Yatırım Miktarı</w:t>
            </w:r>
          </w:p>
        </w:tc>
        <w:tc>
          <w:tcPr>
            <w:tcW w:w="2197" w:type="dxa"/>
          </w:tcPr>
          <w:p w14:paraId="71E44107"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Merkez</w:t>
            </w:r>
          </w:p>
        </w:tc>
        <w:tc>
          <w:tcPr>
            <w:tcW w:w="2268" w:type="dxa"/>
          </w:tcPr>
          <w:p w14:paraId="5C9FA566"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Sektör</w:t>
            </w:r>
          </w:p>
        </w:tc>
      </w:tr>
      <w:tr w:rsidR="00660505" w:rsidRPr="00A8767F" w14:paraId="05025158" w14:textId="77777777" w:rsidTr="00E90A5D">
        <w:tc>
          <w:tcPr>
            <w:tcW w:w="704" w:type="dxa"/>
          </w:tcPr>
          <w:p w14:paraId="5412B90D"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1</w:t>
            </w:r>
          </w:p>
        </w:tc>
        <w:tc>
          <w:tcPr>
            <w:tcW w:w="2518" w:type="dxa"/>
          </w:tcPr>
          <w:p w14:paraId="6D520275" w14:textId="77777777" w:rsidR="00660505" w:rsidRPr="00A8767F" w:rsidRDefault="00660505"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Afterpay</w:t>
            </w:r>
            <w:proofErr w:type="spellEnd"/>
          </w:p>
        </w:tc>
        <w:tc>
          <w:tcPr>
            <w:tcW w:w="1806" w:type="dxa"/>
          </w:tcPr>
          <w:p w14:paraId="7E35416E" w14:textId="77777777"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27,9 milyar dolar</w:t>
            </w:r>
          </w:p>
        </w:tc>
        <w:tc>
          <w:tcPr>
            <w:tcW w:w="2197" w:type="dxa"/>
          </w:tcPr>
          <w:p w14:paraId="5C1C0DC6" w14:textId="62A31BD2"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Avustralya</w:t>
            </w:r>
          </w:p>
        </w:tc>
        <w:tc>
          <w:tcPr>
            <w:tcW w:w="2268" w:type="dxa"/>
          </w:tcPr>
          <w:p w14:paraId="3B4945AA" w14:textId="77777777"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Ödemeler</w:t>
            </w:r>
          </w:p>
        </w:tc>
      </w:tr>
      <w:tr w:rsidR="00660505" w:rsidRPr="00A8767F" w14:paraId="3A73437E" w14:textId="77777777" w:rsidTr="00E90A5D">
        <w:tc>
          <w:tcPr>
            <w:tcW w:w="704" w:type="dxa"/>
          </w:tcPr>
          <w:p w14:paraId="44F7547E"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2</w:t>
            </w:r>
          </w:p>
        </w:tc>
        <w:tc>
          <w:tcPr>
            <w:tcW w:w="2518" w:type="dxa"/>
          </w:tcPr>
          <w:p w14:paraId="5F71301A" w14:textId="43975554" w:rsidR="00660505" w:rsidRPr="00A8767F" w:rsidRDefault="00660505"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Avalara</w:t>
            </w:r>
            <w:proofErr w:type="spellEnd"/>
          </w:p>
        </w:tc>
        <w:tc>
          <w:tcPr>
            <w:tcW w:w="1806" w:type="dxa"/>
          </w:tcPr>
          <w:p w14:paraId="144F367B" w14:textId="4883953B"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8,4 milyar dolar</w:t>
            </w:r>
          </w:p>
        </w:tc>
        <w:tc>
          <w:tcPr>
            <w:tcW w:w="2197" w:type="dxa"/>
          </w:tcPr>
          <w:p w14:paraId="3DE9C8C7" w14:textId="35B167AE"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ABD</w:t>
            </w:r>
          </w:p>
        </w:tc>
        <w:tc>
          <w:tcPr>
            <w:tcW w:w="2268" w:type="dxa"/>
          </w:tcPr>
          <w:p w14:paraId="4CC847B2" w14:textId="4F01390F" w:rsidR="00660505" w:rsidRPr="00A8767F" w:rsidRDefault="00A22F08" w:rsidP="00E90A5D">
            <w:pPr>
              <w:spacing w:line="300" w:lineRule="auto"/>
              <w:contextualSpacing/>
              <w:jc w:val="both"/>
              <w:rPr>
                <w:rFonts w:ascii="Arial" w:hAnsi="Arial" w:cs="Arial"/>
                <w:sz w:val="20"/>
                <w:szCs w:val="20"/>
              </w:rPr>
            </w:pPr>
            <w:r>
              <w:rPr>
                <w:rFonts w:ascii="Arial" w:hAnsi="Arial" w:cs="Arial"/>
                <w:sz w:val="20"/>
                <w:szCs w:val="20"/>
              </w:rPr>
              <w:t>Regülasyon</w:t>
            </w:r>
            <w:r w:rsidR="00660505" w:rsidRPr="00A8767F">
              <w:rPr>
                <w:rFonts w:ascii="Arial" w:hAnsi="Arial" w:cs="Arial"/>
                <w:sz w:val="20"/>
                <w:szCs w:val="20"/>
              </w:rPr>
              <w:t xml:space="preserve"> Teknoloji</w:t>
            </w:r>
          </w:p>
        </w:tc>
      </w:tr>
      <w:tr w:rsidR="00660505" w:rsidRPr="00A8767F" w14:paraId="55C41170" w14:textId="77777777" w:rsidTr="00E90A5D">
        <w:tc>
          <w:tcPr>
            <w:tcW w:w="704" w:type="dxa"/>
          </w:tcPr>
          <w:p w14:paraId="72F10BB7"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3</w:t>
            </w:r>
          </w:p>
        </w:tc>
        <w:tc>
          <w:tcPr>
            <w:tcW w:w="2518" w:type="dxa"/>
          </w:tcPr>
          <w:p w14:paraId="245B6E9B" w14:textId="7FED88E2" w:rsidR="00660505" w:rsidRPr="00A8767F" w:rsidRDefault="00A8767F"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Sia</w:t>
            </w:r>
            <w:proofErr w:type="spellEnd"/>
            <w:r w:rsidRPr="00A8767F">
              <w:rPr>
                <w:rFonts w:ascii="Arial" w:hAnsi="Arial" w:cs="Arial"/>
                <w:sz w:val="20"/>
                <w:szCs w:val="20"/>
              </w:rPr>
              <w:t xml:space="preserve"> (Milan) </w:t>
            </w:r>
          </w:p>
        </w:tc>
        <w:tc>
          <w:tcPr>
            <w:tcW w:w="1806" w:type="dxa"/>
          </w:tcPr>
          <w:p w14:paraId="62AF055A" w14:textId="6C32C798"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3,9</w:t>
            </w:r>
            <w:r w:rsidR="00660505" w:rsidRPr="00A8767F">
              <w:rPr>
                <w:rFonts w:ascii="Arial" w:hAnsi="Arial" w:cs="Arial"/>
                <w:sz w:val="20"/>
                <w:szCs w:val="20"/>
              </w:rPr>
              <w:t xml:space="preserve"> milyar dolar</w:t>
            </w:r>
          </w:p>
        </w:tc>
        <w:tc>
          <w:tcPr>
            <w:tcW w:w="2197" w:type="dxa"/>
          </w:tcPr>
          <w:p w14:paraId="6F6D2DC0" w14:textId="5038C114"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İtalya</w:t>
            </w:r>
          </w:p>
        </w:tc>
        <w:tc>
          <w:tcPr>
            <w:tcW w:w="2268" w:type="dxa"/>
          </w:tcPr>
          <w:p w14:paraId="4A8119B5" w14:textId="664B41BD"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Ödemeler</w:t>
            </w:r>
          </w:p>
        </w:tc>
      </w:tr>
      <w:tr w:rsidR="00660505" w:rsidRPr="00A8767F" w14:paraId="51E07AF5" w14:textId="77777777" w:rsidTr="00E90A5D">
        <w:tc>
          <w:tcPr>
            <w:tcW w:w="704" w:type="dxa"/>
          </w:tcPr>
          <w:p w14:paraId="5DDDE9FA"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4</w:t>
            </w:r>
          </w:p>
        </w:tc>
        <w:tc>
          <w:tcPr>
            <w:tcW w:w="2518" w:type="dxa"/>
          </w:tcPr>
          <w:p w14:paraId="2565F211" w14:textId="7389B2BD"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Bottomline Technologies</w:t>
            </w:r>
          </w:p>
        </w:tc>
        <w:tc>
          <w:tcPr>
            <w:tcW w:w="1806" w:type="dxa"/>
          </w:tcPr>
          <w:p w14:paraId="53042C46" w14:textId="7FE85AEE"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2,6</w:t>
            </w:r>
            <w:r w:rsidR="00660505" w:rsidRPr="00A8767F">
              <w:rPr>
                <w:rFonts w:ascii="Arial" w:hAnsi="Arial" w:cs="Arial"/>
                <w:sz w:val="20"/>
                <w:szCs w:val="20"/>
              </w:rPr>
              <w:t xml:space="preserve"> milyar dolar</w:t>
            </w:r>
          </w:p>
        </w:tc>
        <w:tc>
          <w:tcPr>
            <w:tcW w:w="2197" w:type="dxa"/>
          </w:tcPr>
          <w:p w14:paraId="622358D0" w14:textId="6EBBAFEA"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ABD</w:t>
            </w:r>
          </w:p>
        </w:tc>
        <w:tc>
          <w:tcPr>
            <w:tcW w:w="2268" w:type="dxa"/>
          </w:tcPr>
          <w:p w14:paraId="0113062C" w14:textId="77777777"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Kurumsal/B2B</w:t>
            </w:r>
          </w:p>
        </w:tc>
      </w:tr>
      <w:tr w:rsidR="00660505" w:rsidRPr="00A8767F" w14:paraId="437C7F51" w14:textId="77777777" w:rsidTr="00E90A5D">
        <w:tc>
          <w:tcPr>
            <w:tcW w:w="704" w:type="dxa"/>
          </w:tcPr>
          <w:p w14:paraId="2BD9F2F5"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5</w:t>
            </w:r>
          </w:p>
        </w:tc>
        <w:tc>
          <w:tcPr>
            <w:tcW w:w="2518" w:type="dxa"/>
          </w:tcPr>
          <w:p w14:paraId="634A59CC" w14:textId="008CE41E" w:rsidR="00660505" w:rsidRPr="00A8767F" w:rsidRDefault="00A8767F"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Tink</w:t>
            </w:r>
            <w:proofErr w:type="spellEnd"/>
          </w:p>
        </w:tc>
        <w:tc>
          <w:tcPr>
            <w:tcW w:w="1806" w:type="dxa"/>
          </w:tcPr>
          <w:p w14:paraId="3663DB2D" w14:textId="0973210A"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2,1</w:t>
            </w:r>
            <w:r w:rsidR="00660505" w:rsidRPr="00A8767F">
              <w:rPr>
                <w:rFonts w:ascii="Arial" w:hAnsi="Arial" w:cs="Arial"/>
                <w:sz w:val="20"/>
                <w:szCs w:val="20"/>
              </w:rPr>
              <w:t xml:space="preserve"> </w:t>
            </w:r>
            <w:r w:rsidRPr="00A8767F">
              <w:rPr>
                <w:rFonts w:ascii="Arial" w:hAnsi="Arial" w:cs="Arial"/>
                <w:sz w:val="20"/>
                <w:szCs w:val="20"/>
              </w:rPr>
              <w:t>m</w:t>
            </w:r>
            <w:r w:rsidR="00660505" w:rsidRPr="00A8767F">
              <w:rPr>
                <w:rFonts w:ascii="Arial" w:hAnsi="Arial" w:cs="Arial"/>
                <w:sz w:val="20"/>
                <w:szCs w:val="20"/>
              </w:rPr>
              <w:t xml:space="preserve">ilyar </w:t>
            </w:r>
            <w:r w:rsidRPr="00A8767F">
              <w:rPr>
                <w:rFonts w:ascii="Arial" w:hAnsi="Arial" w:cs="Arial"/>
                <w:sz w:val="20"/>
                <w:szCs w:val="20"/>
              </w:rPr>
              <w:t>d</w:t>
            </w:r>
            <w:r w:rsidR="00660505" w:rsidRPr="00A8767F">
              <w:rPr>
                <w:rFonts w:ascii="Arial" w:hAnsi="Arial" w:cs="Arial"/>
                <w:sz w:val="20"/>
                <w:szCs w:val="20"/>
              </w:rPr>
              <w:t>olar</w:t>
            </w:r>
          </w:p>
        </w:tc>
        <w:tc>
          <w:tcPr>
            <w:tcW w:w="2197" w:type="dxa"/>
          </w:tcPr>
          <w:p w14:paraId="2FDC0EB0" w14:textId="4C9280F3"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İsveç</w:t>
            </w:r>
          </w:p>
        </w:tc>
        <w:tc>
          <w:tcPr>
            <w:tcW w:w="2268" w:type="dxa"/>
          </w:tcPr>
          <w:p w14:paraId="282C3867" w14:textId="38B3C08E"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Kurumsal/B2B</w:t>
            </w:r>
          </w:p>
        </w:tc>
      </w:tr>
      <w:tr w:rsidR="00660505" w:rsidRPr="00A8767F" w14:paraId="199661B9" w14:textId="77777777" w:rsidTr="00E90A5D">
        <w:tc>
          <w:tcPr>
            <w:tcW w:w="704" w:type="dxa"/>
          </w:tcPr>
          <w:p w14:paraId="1A2D0D3C"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6</w:t>
            </w:r>
          </w:p>
        </w:tc>
        <w:tc>
          <w:tcPr>
            <w:tcW w:w="2518" w:type="dxa"/>
          </w:tcPr>
          <w:p w14:paraId="4D618339" w14:textId="7A883AE9" w:rsidR="00660505" w:rsidRPr="00A8767F" w:rsidRDefault="00A8767F"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Yayoi</w:t>
            </w:r>
            <w:proofErr w:type="spellEnd"/>
          </w:p>
        </w:tc>
        <w:tc>
          <w:tcPr>
            <w:tcW w:w="1806" w:type="dxa"/>
          </w:tcPr>
          <w:p w14:paraId="30F4060A" w14:textId="3E531777"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2,1</w:t>
            </w:r>
            <w:r w:rsidR="00660505" w:rsidRPr="00A8767F">
              <w:rPr>
                <w:rFonts w:ascii="Arial" w:hAnsi="Arial" w:cs="Arial"/>
                <w:sz w:val="20"/>
                <w:szCs w:val="20"/>
              </w:rPr>
              <w:t xml:space="preserve"> </w:t>
            </w:r>
            <w:r w:rsidRPr="00A8767F">
              <w:rPr>
                <w:rFonts w:ascii="Arial" w:hAnsi="Arial" w:cs="Arial"/>
                <w:sz w:val="20"/>
                <w:szCs w:val="20"/>
              </w:rPr>
              <w:t>m</w:t>
            </w:r>
            <w:r w:rsidR="00660505" w:rsidRPr="00A8767F">
              <w:rPr>
                <w:rFonts w:ascii="Arial" w:hAnsi="Arial" w:cs="Arial"/>
                <w:sz w:val="20"/>
                <w:szCs w:val="20"/>
              </w:rPr>
              <w:t xml:space="preserve">ilyar </w:t>
            </w:r>
            <w:r w:rsidRPr="00A8767F">
              <w:rPr>
                <w:rFonts w:ascii="Arial" w:hAnsi="Arial" w:cs="Arial"/>
                <w:sz w:val="20"/>
                <w:szCs w:val="20"/>
              </w:rPr>
              <w:t>d</w:t>
            </w:r>
            <w:r w:rsidR="00660505" w:rsidRPr="00A8767F">
              <w:rPr>
                <w:rFonts w:ascii="Arial" w:hAnsi="Arial" w:cs="Arial"/>
                <w:sz w:val="20"/>
                <w:szCs w:val="20"/>
              </w:rPr>
              <w:t>olar</w:t>
            </w:r>
          </w:p>
        </w:tc>
        <w:tc>
          <w:tcPr>
            <w:tcW w:w="2197" w:type="dxa"/>
          </w:tcPr>
          <w:p w14:paraId="1C98696E" w14:textId="36F25CAF"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Japonya</w:t>
            </w:r>
          </w:p>
        </w:tc>
        <w:tc>
          <w:tcPr>
            <w:tcW w:w="2268" w:type="dxa"/>
          </w:tcPr>
          <w:p w14:paraId="1E11527E" w14:textId="0308C590"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Kurumsal/B2B</w:t>
            </w:r>
          </w:p>
        </w:tc>
      </w:tr>
      <w:tr w:rsidR="00660505" w:rsidRPr="00A8767F" w14:paraId="2119847C" w14:textId="77777777" w:rsidTr="00E90A5D">
        <w:tc>
          <w:tcPr>
            <w:tcW w:w="704" w:type="dxa"/>
          </w:tcPr>
          <w:p w14:paraId="392FC7A8"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7</w:t>
            </w:r>
          </w:p>
        </w:tc>
        <w:tc>
          <w:tcPr>
            <w:tcW w:w="2518" w:type="dxa"/>
          </w:tcPr>
          <w:p w14:paraId="790B3C83" w14:textId="7CAFA0F2"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Interactive Investor</w:t>
            </w:r>
          </w:p>
        </w:tc>
        <w:tc>
          <w:tcPr>
            <w:tcW w:w="1806" w:type="dxa"/>
          </w:tcPr>
          <w:p w14:paraId="3F1D6E8B" w14:textId="380E6782"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1,</w:t>
            </w:r>
            <w:r w:rsidR="00A8767F" w:rsidRPr="00A8767F">
              <w:rPr>
                <w:rFonts w:ascii="Arial" w:hAnsi="Arial" w:cs="Arial"/>
                <w:sz w:val="20"/>
                <w:szCs w:val="20"/>
              </w:rPr>
              <w:t>8</w:t>
            </w:r>
            <w:r w:rsidRPr="00A8767F">
              <w:rPr>
                <w:rFonts w:ascii="Arial" w:hAnsi="Arial" w:cs="Arial"/>
                <w:sz w:val="20"/>
                <w:szCs w:val="20"/>
              </w:rPr>
              <w:t xml:space="preserve"> milyar dolar</w:t>
            </w:r>
          </w:p>
        </w:tc>
        <w:tc>
          <w:tcPr>
            <w:tcW w:w="2197" w:type="dxa"/>
          </w:tcPr>
          <w:p w14:paraId="67269533" w14:textId="21543496"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Birleşik Krallık</w:t>
            </w:r>
          </w:p>
        </w:tc>
        <w:tc>
          <w:tcPr>
            <w:tcW w:w="2268" w:type="dxa"/>
          </w:tcPr>
          <w:p w14:paraId="4E36A30A" w14:textId="2A4C42FB"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Varlık/Yatırım Yönetimi</w:t>
            </w:r>
          </w:p>
        </w:tc>
      </w:tr>
      <w:tr w:rsidR="00660505" w:rsidRPr="00A8767F" w14:paraId="2C2C1572" w14:textId="77777777" w:rsidTr="00E90A5D">
        <w:tc>
          <w:tcPr>
            <w:tcW w:w="704" w:type="dxa"/>
          </w:tcPr>
          <w:p w14:paraId="6AFC5852"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8</w:t>
            </w:r>
          </w:p>
        </w:tc>
        <w:tc>
          <w:tcPr>
            <w:tcW w:w="2518" w:type="dxa"/>
          </w:tcPr>
          <w:p w14:paraId="6DD5225F" w14:textId="3420D3E1" w:rsidR="00660505" w:rsidRPr="00A8767F" w:rsidRDefault="00A8767F"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Billtrust</w:t>
            </w:r>
            <w:proofErr w:type="spellEnd"/>
          </w:p>
        </w:tc>
        <w:tc>
          <w:tcPr>
            <w:tcW w:w="1806" w:type="dxa"/>
          </w:tcPr>
          <w:p w14:paraId="24947599" w14:textId="0F64FD1F"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1,</w:t>
            </w:r>
            <w:r w:rsidR="00A8767F" w:rsidRPr="00A8767F">
              <w:rPr>
                <w:rFonts w:ascii="Arial" w:hAnsi="Arial" w:cs="Arial"/>
                <w:sz w:val="20"/>
                <w:szCs w:val="20"/>
              </w:rPr>
              <w:t>7</w:t>
            </w:r>
            <w:r w:rsidRPr="00A8767F">
              <w:rPr>
                <w:rFonts w:ascii="Arial" w:hAnsi="Arial" w:cs="Arial"/>
                <w:sz w:val="20"/>
                <w:szCs w:val="20"/>
              </w:rPr>
              <w:t xml:space="preserve"> milyar dolar</w:t>
            </w:r>
          </w:p>
        </w:tc>
        <w:tc>
          <w:tcPr>
            <w:tcW w:w="2197" w:type="dxa"/>
          </w:tcPr>
          <w:p w14:paraId="6E703563" w14:textId="4EF9F54A"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ABD</w:t>
            </w:r>
          </w:p>
        </w:tc>
        <w:tc>
          <w:tcPr>
            <w:tcW w:w="2268" w:type="dxa"/>
          </w:tcPr>
          <w:p w14:paraId="61BD09C1" w14:textId="29AF6CB1"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Ödemeler</w:t>
            </w:r>
          </w:p>
        </w:tc>
      </w:tr>
      <w:tr w:rsidR="00660505" w:rsidRPr="00A8767F" w14:paraId="35236FB3" w14:textId="77777777" w:rsidTr="00E90A5D">
        <w:tc>
          <w:tcPr>
            <w:tcW w:w="704" w:type="dxa"/>
          </w:tcPr>
          <w:p w14:paraId="323F7235"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lastRenderedPageBreak/>
              <w:t>9</w:t>
            </w:r>
          </w:p>
        </w:tc>
        <w:tc>
          <w:tcPr>
            <w:tcW w:w="2518" w:type="dxa"/>
          </w:tcPr>
          <w:p w14:paraId="470D3325" w14:textId="20139CD6" w:rsidR="00660505" w:rsidRPr="00A8767F" w:rsidRDefault="00A8767F" w:rsidP="00E90A5D">
            <w:pPr>
              <w:spacing w:line="300" w:lineRule="auto"/>
              <w:contextualSpacing/>
              <w:jc w:val="both"/>
              <w:rPr>
                <w:rFonts w:ascii="Arial" w:hAnsi="Arial" w:cs="Arial"/>
                <w:sz w:val="20"/>
                <w:szCs w:val="20"/>
              </w:rPr>
            </w:pPr>
            <w:proofErr w:type="spellStart"/>
            <w:r w:rsidRPr="00A8767F">
              <w:rPr>
                <w:rFonts w:ascii="Arial" w:hAnsi="Arial" w:cs="Arial"/>
                <w:sz w:val="20"/>
                <w:szCs w:val="20"/>
              </w:rPr>
              <w:t>Computer</w:t>
            </w:r>
            <w:proofErr w:type="spellEnd"/>
            <w:r w:rsidRPr="00A8767F">
              <w:rPr>
                <w:rFonts w:ascii="Arial" w:hAnsi="Arial" w:cs="Arial"/>
                <w:sz w:val="20"/>
                <w:szCs w:val="20"/>
              </w:rPr>
              <w:t xml:space="preserve"> Services</w:t>
            </w:r>
          </w:p>
        </w:tc>
        <w:tc>
          <w:tcPr>
            <w:tcW w:w="1806" w:type="dxa"/>
          </w:tcPr>
          <w:p w14:paraId="606FEEC0" w14:textId="31BFEE1F"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1,</w:t>
            </w:r>
            <w:r w:rsidR="00A8767F" w:rsidRPr="00A8767F">
              <w:rPr>
                <w:rFonts w:ascii="Arial" w:hAnsi="Arial" w:cs="Arial"/>
                <w:sz w:val="20"/>
                <w:szCs w:val="20"/>
              </w:rPr>
              <w:t>6</w:t>
            </w:r>
            <w:r w:rsidRPr="00A8767F">
              <w:rPr>
                <w:rFonts w:ascii="Arial" w:hAnsi="Arial" w:cs="Arial"/>
                <w:sz w:val="20"/>
                <w:szCs w:val="20"/>
              </w:rPr>
              <w:t xml:space="preserve"> milyar dolar</w:t>
            </w:r>
          </w:p>
        </w:tc>
        <w:tc>
          <w:tcPr>
            <w:tcW w:w="2197" w:type="dxa"/>
          </w:tcPr>
          <w:p w14:paraId="41273390" w14:textId="72BECA94"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ABD</w:t>
            </w:r>
          </w:p>
        </w:tc>
        <w:tc>
          <w:tcPr>
            <w:tcW w:w="2268" w:type="dxa"/>
          </w:tcPr>
          <w:p w14:paraId="17F1DFCD" w14:textId="77777777"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Kurumsal/B2B</w:t>
            </w:r>
          </w:p>
        </w:tc>
      </w:tr>
      <w:tr w:rsidR="00660505" w:rsidRPr="00A8767F" w14:paraId="3D7CCF85" w14:textId="77777777" w:rsidTr="00E90A5D">
        <w:tc>
          <w:tcPr>
            <w:tcW w:w="704" w:type="dxa"/>
          </w:tcPr>
          <w:p w14:paraId="2B80F0A8" w14:textId="77777777" w:rsidR="00660505" w:rsidRPr="00A8767F" w:rsidRDefault="00660505" w:rsidP="00E90A5D">
            <w:pPr>
              <w:spacing w:line="300" w:lineRule="auto"/>
              <w:contextualSpacing/>
              <w:jc w:val="both"/>
              <w:rPr>
                <w:rFonts w:ascii="Arial" w:hAnsi="Arial" w:cs="Arial"/>
                <w:b/>
                <w:bCs/>
                <w:sz w:val="20"/>
                <w:szCs w:val="20"/>
              </w:rPr>
            </w:pPr>
            <w:r w:rsidRPr="00A8767F">
              <w:rPr>
                <w:rFonts w:ascii="Arial" w:hAnsi="Arial" w:cs="Arial"/>
                <w:b/>
                <w:bCs/>
                <w:sz w:val="20"/>
                <w:szCs w:val="20"/>
              </w:rPr>
              <w:t>10</w:t>
            </w:r>
          </w:p>
        </w:tc>
        <w:tc>
          <w:tcPr>
            <w:tcW w:w="2518" w:type="dxa"/>
          </w:tcPr>
          <w:p w14:paraId="0C9D3394" w14:textId="18D1B1F3"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FNZ</w:t>
            </w:r>
          </w:p>
        </w:tc>
        <w:tc>
          <w:tcPr>
            <w:tcW w:w="1806" w:type="dxa"/>
          </w:tcPr>
          <w:p w14:paraId="05D06061" w14:textId="490ED344"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1,</w:t>
            </w:r>
            <w:r w:rsidR="00A8767F" w:rsidRPr="00A8767F">
              <w:rPr>
                <w:rFonts w:ascii="Arial" w:hAnsi="Arial" w:cs="Arial"/>
                <w:sz w:val="20"/>
                <w:szCs w:val="20"/>
              </w:rPr>
              <w:t>4</w:t>
            </w:r>
            <w:r w:rsidRPr="00A8767F">
              <w:rPr>
                <w:rFonts w:ascii="Arial" w:hAnsi="Arial" w:cs="Arial"/>
                <w:sz w:val="20"/>
                <w:szCs w:val="20"/>
              </w:rPr>
              <w:t xml:space="preserve"> milyar dolar</w:t>
            </w:r>
          </w:p>
        </w:tc>
        <w:tc>
          <w:tcPr>
            <w:tcW w:w="2197" w:type="dxa"/>
          </w:tcPr>
          <w:p w14:paraId="260E11C7" w14:textId="050F1D15" w:rsidR="00660505" w:rsidRPr="00A8767F" w:rsidRDefault="00A8767F" w:rsidP="00E90A5D">
            <w:pPr>
              <w:spacing w:line="300" w:lineRule="auto"/>
              <w:contextualSpacing/>
              <w:jc w:val="both"/>
              <w:rPr>
                <w:rFonts w:ascii="Arial" w:hAnsi="Arial" w:cs="Arial"/>
                <w:sz w:val="20"/>
                <w:szCs w:val="20"/>
              </w:rPr>
            </w:pPr>
            <w:r w:rsidRPr="00A8767F">
              <w:rPr>
                <w:rFonts w:ascii="Arial" w:hAnsi="Arial" w:cs="Arial"/>
                <w:sz w:val="20"/>
                <w:szCs w:val="20"/>
              </w:rPr>
              <w:t>Birleşik Krallık</w:t>
            </w:r>
          </w:p>
        </w:tc>
        <w:tc>
          <w:tcPr>
            <w:tcW w:w="2268" w:type="dxa"/>
          </w:tcPr>
          <w:p w14:paraId="04CCBD0A" w14:textId="77777777" w:rsidR="00660505" w:rsidRPr="00A8767F" w:rsidRDefault="00660505" w:rsidP="00E90A5D">
            <w:pPr>
              <w:spacing w:line="300" w:lineRule="auto"/>
              <w:contextualSpacing/>
              <w:jc w:val="both"/>
              <w:rPr>
                <w:rFonts w:ascii="Arial" w:hAnsi="Arial" w:cs="Arial"/>
                <w:sz w:val="20"/>
                <w:szCs w:val="20"/>
              </w:rPr>
            </w:pPr>
            <w:r w:rsidRPr="00A8767F">
              <w:rPr>
                <w:rFonts w:ascii="Arial" w:hAnsi="Arial" w:cs="Arial"/>
                <w:sz w:val="20"/>
                <w:szCs w:val="20"/>
              </w:rPr>
              <w:t>Varlık/Yatırım Yönetimi</w:t>
            </w:r>
          </w:p>
        </w:tc>
      </w:tr>
    </w:tbl>
    <w:p w14:paraId="27F999E9" w14:textId="77777777" w:rsidR="00660505" w:rsidRDefault="00660505" w:rsidP="00660505">
      <w:pPr>
        <w:spacing w:after="0" w:line="300" w:lineRule="auto"/>
        <w:contextualSpacing/>
        <w:jc w:val="both"/>
        <w:rPr>
          <w:rFonts w:ascii="Arial" w:hAnsi="Arial" w:cs="Arial"/>
        </w:rPr>
      </w:pPr>
    </w:p>
    <w:p w14:paraId="30659667" w14:textId="77777777" w:rsidR="00EB668D" w:rsidRDefault="00EB668D" w:rsidP="00BA1F99">
      <w:pPr>
        <w:spacing w:after="0" w:line="300" w:lineRule="auto"/>
        <w:jc w:val="both"/>
        <w:rPr>
          <w:rFonts w:ascii="Arial" w:hAnsi="Arial" w:cs="Arial"/>
        </w:rPr>
      </w:pPr>
    </w:p>
    <w:p w14:paraId="28266002" w14:textId="75BED70F" w:rsidR="004A399D" w:rsidRPr="00BA1F99" w:rsidRDefault="00F704C4" w:rsidP="00BA1F99">
      <w:pPr>
        <w:spacing w:after="0" w:line="300" w:lineRule="auto"/>
        <w:jc w:val="both"/>
        <w:rPr>
          <w:rFonts w:ascii="Arial" w:hAnsi="Arial" w:cs="Arial"/>
        </w:rPr>
      </w:pPr>
      <w:r w:rsidRPr="001A11D2">
        <w:rPr>
          <w:rFonts w:ascii="Arial" w:hAnsi="Arial" w:cs="Arial"/>
        </w:rPr>
        <w:t xml:space="preserve">Raporun </w:t>
      </w:r>
      <w:r w:rsidR="004A399D" w:rsidRPr="001A11D2">
        <w:rPr>
          <w:rFonts w:ascii="Arial" w:hAnsi="Arial" w:cs="Arial"/>
        </w:rPr>
        <w:t xml:space="preserve">tamamına </w:t>
      </w:r>
      <w:hyperlink r:id="rId10" w:history="1">
        <w:r w:rsidR="004A399D" w:rsidRPr="001A11D2">
          <w:rPr>
            <w:rStyle w:val="Kpr"/>
            <w:rFonts w:ascii="Arial" w:hAnsi="Arial" w:cs="Arial"/>
          </w:rPr>
          <w:t>buradan</w:t>
        </w:r>
      </w:hyperlink>
      <w:r w:rsidR="004A399D" w:rsidRPr="001A11D2">
        <w:rPr>
          <w:rFonts w:ascii="Arial" w:hAnsi="Arial" w:cs="Arial"/>
        </w:rPr>
        <w:t xml:space="preserve"> ulaşabilirsiniz.</w:t>
      </w:r>
      <w:r w:rsidR="004A399D">
        <w:rPr>
          <w:rFonts w:ascii="Arial" w:hAnsi="Arial" w:cs="Arial"/>
        </w:rPr>
        <w:t xml:space="preserve"> </w:t>
      </w:r>
    </w:p>
    <w:p w14:paraId="1452D3B2" w14:textId="0C299C32" w:rsidR="00511A4F" w:rsidRDefault="00511A4F" w:rsidP="00FB099A">
      <w:pPr>
        <w:rPr>
          <w:rFonts w:ascii="Arial" w:hAnsi="Arial" w:cs="Arial"/>
        </w:rPr>
      </w:pPr>
    </w:p>
    <w:p w14:paraId="588C1322" w14:textId="77777777" w:rsidR="008E1CCE" w:rsidRPr="00AB2A22" w:rsidRDefault="008E1CCE" w:rsidP="008E1CCE">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b/>
          <w:bCs/>
          <w:sz w:val="18"/>
          <w:szCs w:val="18"/>
        </w:rPr>
        <w:t xml:space="preserve">Bilgi için: </w:t>
      </w:r>
      <w:r w:rsidRPr="00AB2A22">
        <w:rPr>
          <w:rStyle w:val="tabchar"/>
          <w:rFonts w:asciiTheme="minorHAnsi" w:hAnsiTheme="minorHAnsi" w:cstheme="minorHAnsi"/>
          <w:sz w:val="18"/>
          <w:szCs w:val="18"/>
        </w:rPr>
        <w:tab/>
      </w:r>
      <w:r w:rsidRPr="00AB2A22">
        <w:rPr>
          <w:rStyle w:val="eop"/>
          <w:rFonts w:asciiTheme="minorHAnsi" w:hAnsiTheme="minorHAnsi" w:cstheme="minorHAnsi"/>
          <w:sz w:val="18"/>
          <w:szCs w:val="18"/>
        </w:rPr>
        <w:t> </w:t>
      </w:r>
    </w:p>
    <w:p w14:paraId="10C6D7B2" w14:textId="77777777" w:rsidR="008E1CCE" w:rsidRPr="00AB2A22" w:rsidRDefault="008E1CCE" w:rsidP="008E1CCE">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color w:val="000000"/>
          <w:sz w:val="18"/>
          <w:szCs w:val="18"/>
        </w:rPr>
        <w:t>Ceren Moral Aru</w:t>
      </w:r>
      <w:r w:rsidRPr="00AB2A22">
        <w:rPr>
          <w:rStyle w:val="eop"/>
          <w:rFonts w:asciiTheme="minorHAnsi" w:hAnsiTheme="minorHAnsi" w:cstheme="minorHAnsi"/>
          <w:color w:val="000000"/>
          <w:sz w:val="18"/>
          <w:szCs w:val="18"/>
        </w:rPr>
        <w:t> </w:t>
      </w:r>
    </w:p>
    <w:p w14:paraId="374D810F" w14:textId="77777777" w:rsidR="008E1CCE" w:rsidRPr="00AB2A22" w:rsidRDefault="008E1CCE" w:rsidP="008E1CCE">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color w:val="000000"/>
          <w:sz w:val="18"/>
          <w:szCs w:val="18"/>
        </w:rPr>
        <w:t>0533 921 43 53</w:t>
      </w:r>
      <w:r w:rsidRPr="00AB2A22">
        <w:rPr>
          <w:rStyle w:val="eop"/>
          <w:rFonts w:asciiTheme="minorHAnsi" w:hAnsiTheme="minorHAnsi" w:cstheme="minorHAnsi"/>
          <w:color w:val="000000"/>
          <w:sz w:val="18"/>
          <w:szCs w:val="18"/>
        </w:rPr>
        <w:t> </w:t>
      </w:r>
    </w:p>
    <w:p w14:paraId="335CFB89" w14:textId="77777777" w:rsidR="008E1CCE" w:rsidRPr="00AB2A22" w:rsidRDefault="008E1CCE" w:rsidP="008E1CCE">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color w:val="000000"/>
          <w:sz w:val="18"/>
          <w:szCs w:val="18"/>
        </w:rPr>
        <w:t>cerenm@marjinal.com.tr</w:t>
      </w:r>
      <w:r w:rsidRPr="00AB2A22">
        <w:rPr>
          <w:rStyle w:val="eop"/>
          <w:rFonts w:asciiTheme="minorHAnsi" w:hAnsiTheme="minorHAnsi" w:cstheme="minorHAnsi"/>
          <w:color w:val="000000"/>
          <w:sz w:val="18"/>
          <w:szCs w:val="18"/>
        </w:rPr>
        <w:t> </w:t>
      </w:r>
    </w:p>
    <w:p w14:paraId="112A7D81" w14:textId="77777777" w:rsidR="008E1CCE" w:rsidRPr="00AB2A22" w:rsidRDefault="008E1CCE" w:rsidP="008E1CCE">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eop"/>
          <w:rFonts w:asciiTheme="minorHAnsi" w:hAnsiTheme="minorHAnsi" w:cstheme="minorHAnsi"/>
          <w:sz w:val="18"/>
          <w:szCs w:val="18"/>
        </w:rPr>
        <w:t> </w:t>
      </w:r>
    </w:p>
    <w:p w14:paraId="261D8353" w14:textId="77777777" w:rsidR="008E1CCE" w:rsidRPr="00AB2A22" w:rsidRDefault="008E1CCE" w:rsidP="008E1CCE">
      <w:pPr>
        <w:pStyle w:val="paragraph"/>
        <w:spacing w:before="0" w:beforeAutospacing="0" w:after="0" w:afterAutospacing="0"/>
        <w:contextualSpacing/>
        <w:jc w:val="both"/>
        <w:textAlignment w:val="baseline"/>
        <w:rPr>
          <w:rFonts w:asciiTheme="minorHAnsi" w:hAnsiTheme="minorHAnsi" w:cstheme="minorHAnsi"/>
          <w:sz w:val="18"/>
          <w:szCs w:val="18"/>
        </w:rPr>
      </w:pPr>
      <w:r w:rsidRPr="00AB2A22">
        <w:rPr>
          <w:rStyle w:val="normaltextrun"/>
          <w:rFonts w:asciiTheme="minorHAnsi" w:hAnsiTheme="minorHAnsi" w:cstheme="minorHAnsi"/>
          <w:b/>
          <w:bCs/>
          <w:sz w:val="18"/>
          <w:szCs w:val="18"/>
          <w:u w:val="single"/>
        </w:rPr>
        <w:t>KPMG Hakkında</w:t>
      </w:r>
      <w:r w:rsidRPr="00AB2A22">
        <w:rPr>
          <w:rStyle w:val="eop"/>
          <w:rFonts w:asciiTheme="minorHAnsi" w:hAnsiTheme="minorHAnsi" w:cstheme="minorHAnsi"/>
          <w:sz w:val="18"/>
          <w:szCs w:val="18"/>
        </w:rPr>
        <w:t> </w:t>
      </w:r>
    </w:p>
    <w:p w14:paraId="5543C93D" w14:textId="77777777" w:rsidR="008E1CCE" w:rsidRDefault="008E1CCE" w:rsidP="008E1CCE">
      <w:pPr>
        <w:pStyle w:val="paragraph"/>
        <w:spacing w:after="0"/>
        <w:contextualSpacing/>
        <w:jc w:val="both"/>
        <w:textAlignment w:val="baseline"/>
      </w:pPr>
      <w:r w:rsidRPr="00A1618D">
        <w:rPr>
          <w:rStyle w:val="normaltextrun"/>
          <w:rFonts w:asciiTheme="minorHAnsi" w:hAnsiTheme="minorHAnsi" w:cstheme="minorHAnsi"/>
          <w:color w:val="000000"/>
          <w:sz w:val="18"/>
          <w:szCs w:val="18"/>
        </w:rPr>
        <w:t xml:space="preserve">KPMG, geçmişi 1867 yılına dayanan, üye firmalar ağı sistemiyle 143 ülkede 265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yaklaşık 1.800 çalışanıyla her sektörden 4 binin üzerinde firmaya sektörler özelinde hizmet veriyor. 2020 yılında küresel ağın </w:t>
      </w:r>
      <w:proofErr w:type="spellStart"/>
      <w:r w:rsidRPr="00A1618D">
        <w:rPr>
          <w:rStyle w:val="normaltextrun"/>
          <w:rFonts w:asciiTheme="minorHAnsi" w:hAnsiTheme="minorHAnsi" w:cstheme="minorHAnsi"/>
          <w:color w:val="000000"/>
          <w:sz w:val="18"/>
          <w:szCs w:val="18"/>
        </w:rPr>
        <w:t>Lighthouse</w:t>
      </w:r>
      <w:proofErr w:type="spellEnd"/>
      <w:r w:rsidRPr="00A1618D">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w:t>
      </w:r>
      <w:r>
        <w:rPr>
          <w:rStyle w:val="normaltextrun"/>
          <w:rFonts w:asciiTheme="minorHAnsi" w:hAnsiTheme="minorHAnsi" w:cstheme="minorHAnsi"/>
          <w:color w:val="000000"/>
          <w:sz w:val="18"/>
          <w:szCs w:val="18"/>
        </w:rPr>
        <w:t xml:space="preserve">için </w:t>
      </w:r>
      <w:hyperlink r:id="rId11" w:history="1">
        <w:r w:rsidRPr="00716F46">
          <w:rPr>
            <w:rStyle w:val="Kpr"/>
            <w:rFonts w:asciiTheme="minorHAnsi" w:hAnsiTheme="minorHAnsi" w:cstheme="minorHAnsi"/>
            <w:sz w:val="18"/>
            <w:szCs w:val="18"/>
          </w:rPr>
          <w:t>www.kpmg.com.tr</w:t>
        </w:r>
      </w:hyperlink>
      <w:r>
        <w:rPr>
          <w:rStyle w:val="normaltextrun"/>
          <w:rFonts w:asciiTheme="minorHAnsi" w:hAnsiTheme="minorHAnsi" w:cstheme="minorHAnsi"/>
          <w:color w:val="000000"/>
          <w:sz w:val="18"/>
          <w:szCs w:val="18"/>
        </w:rPr>
        <w:t xml:space="preserve"> </w:t>
      </w:r>
      <w:r w:rsidRPr="00A1618D">
        <w:rPr>
          <w:rStyle w:val="normaltextrun"/>
          <w:rFonts w:asciiTheme="minorHAnsi" w:hAnsiTheme="minorHAnsi" w:cstheme="minorHAnsi"/>
          <w:color w:val="000000"/>
          <w:sz w:val="18"/>
          <w:szCs w:val="18"/>
        </w:rPr>
        <w:t>adresine başvurabilirsiniz.</w:t>
      </w:r>
      <w:r w:rsidRPr="00540BBF">
        <w:t xml:space="preserve"> </w:t>
      </w:r>
    </w:p>
    <w:sectPr w:rsidR="008E1CCE" w:rsidSect="00D322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C9EC" w14:textId="77777777" w:rsidR="00AB383B" w:rsidRDefault="00AB383B" w:rsidP="00D322B8">
      <w:pPr>
        <w:spacing w:after="0" w:line="240" w:lineRule="auto"/>
      </w:pPr>
      <w:r>
        <w:separator/>
      </w:r>
    </w:p>
  </w:endnote>
  <w:endnote w:type="continuationSeparator" w:id="0">
    <w:p w14:paraId="4B240096" w14:textId="77777777" w:rsidR="00AB383B" w:rsidRDefault="00AB383B" w:rsidP="00D322B8">
      <w:pPr>
        <w:spacing w:after="0" w:line="240" w:lineRule="auto"/>
      </w:pPr>
      <w:r>
        <w:continuationSeparator/>
      </w:r>
    </w:p>
  </w:endnote>
  <w:endnote w:type="continuationNotice" w:id="1">
    <w:p w14:paraId="4A9C5C2D" w14:textId="77777777" w:rsidR="00AB383B" w:rsidRDefault="00AB3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2532" w14:textId="77777777" w:rsidR="00AB58CF" w:rsidRDefault="00AB58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DA9A" w14:textId="77777777" w:rsidR="00AB383B" w:rsidRDefault="00AB383B" w:rsidP="00D322B8">
      <w:pPr>
        <w:spacing w:after="0" w:line="240" w:lineRule="auto"/>
      </w:pPr>
      <w:r>
        <w:separator/>
      </w:r>
    </w:p>
  </w:footnote>
  <w:footnote w:type="continuationSeparator" w:id="0">
    <w:p w14:paraId="41884CB1" w14:textId="77777777" w:rsidR="00AB383B" w:rsidRDefault="00AB383B" w:rsidP="00D322B8">
      <w:pPr>
        <w:spacing w:after="0" w:line="240" w:lineRule="auto"/>
      </w:pPr>
      <w:r>
        <w:continuationSeparator/>
      </w:r>
    </w:p>
  </w:footnote>
  <w:footnote w:type="continuationNotice" w:id="1">
    <w:p w14:paraId="18D6C1B8" w14:textId="77777777" w:rsidR="00AB383B" w:rsidRDefault="00AB3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EB6"/>
    <w:multiLevelType w:val="hybridMultilevel"/>
    <w:tmpl w:val="9B64B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B3B70"/>
    <w:multiLevelType w:val="hybridMultilevel"/>
    <w:tmpl w:val="DF9E6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CD4F12"/>
    <w:multiLevelType w:val="hybridMultilevel"/>
    <w:tmpl w:val="3FBEE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602571">
    <w:abstractNumId w:val="2"/>
  </w:num>
  <w:num w:numId="2" w16cid:durableId="533811179">
    <w:abstractNumId w:val="5"/>
  </w:num>
  <w:num w:numId="3" w16cid:durableId="112022948">
    <w:abstractNumId w:val="3"/>
  </w:num>
  <w:num w:numId="4" w16cid:durableId="1283003193">
    <w:abstractNumId w:val="6"/>
  </w:num>
  <w:num w:numId="5" w16cid:durableId="195389319">
    <w:abstractNumId w:val="1"/>
  </w:num>
  <w:num w:numId="6" w16cid:durableId="879242201">
    <w:abstractNumId w:val="0"/>
  </w:num>
  <w:num w:numId="7" w16cid:durableId="1424035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9A"/>
    <w:rsid w:val="00011454"/>
    <w:rsid w:val="000271D2"/>
    <w:rsid w:val="00064669"/>
    <w:rsid w:val="00065A4B"/>
    <w:rsid w:val="00073870"/>
    <w:rsid w:val="000859AF"/>
    <w:rsid w:val="000B037E"/>
    <w:rsid w:val="000B3781"/>
    <w:rsid w:val="000C46F9"/>
    <w:rsid w:val="000C4E2B"/>
    <w:rsid w:val="000C5B2E"/>
    <w:rsid w:val="000E2F54"/>
    <w:rsid w:val="000E6A30"/>
    <w:rsid w:val="001007D9"/>
    <w:rsid w:val="00113973"/>
    <w:rsid w:val="00113D8D"/>
    <w:rsid w:val="0013228F"/>
    <w:rsid w:val="00137590"/>
    <w:rsid w:val="0017373B"/>
    <w:rsid w:val="00181FEB"/>
    <w:rsid w:val="00191BCB"/>
    <w:rsid w:val="001A11D2"/>
    <w:rsid w:val="001A4BAC"/>
    <w:rsid w:val="001B55F3"/>
    <w:rsid w:val="001C64F9"/>
    <w:rsid w:val="001E148B"/>
    <w:rsid w:val="001E249F"/>
    <w:rsid w:val="001E4F15"/>
    <w:rsid w:val="001E6E5B"/>
    <w:rsid w:val="001F682E"/>
    <w:rsid w:val="0022416D"/>
    <w:rsid w:val="0022721D"/>
    <w:rsid w:val="00281304"/>
    <w:rsid w:val="002A54DC"/>
    <w:rsid w:val="002C1784"/>
    <w:rsid w:val="002C69A1"/>
    <w:rsid w:val="002D584F"/>
    <w:rsid w:val="002E1634"/>
    <w:rsid w:val="002F3948"/>
    <w:rsid w:val="0031765C"/>
    <w:rsid w:val="00320E15"/>
    <w:rsid w:val="0033122E"/>
    <w:rsid w:val="00352AE5"/>
    <w:rsid w:val="00375FBB"/>
    <w:rsid w:val="00376117"/>
    <w:rsid w:val="00376CAF"/>
    <w:rsid w:val="00376E1E"/>
    <w:rsid w:val="00377A44"/>
    <w:rsid w:val="00393938"/>
    <w:rsid w:val="003B622F"/>
    <w:rsid w:val="003B673F"/>
    <w:rsid w:val="003C439A"/>
    <w:rsid w:val="003C6440"/>
    <w:rsid w:val="003D7A57"/>
    <w:rsid w:val="003F5B88"/>
    <w:rsid w:val="004136C3"/>
    <w:rsid w:val="004270D8"/>
    <w:rsid w:val="00443895"/>
    <w:rsid w:val="00451B1C"/>
    <w:rsid w:val="00492F82"/>
    <w:rsid w:val="004A0495"/>
    <w:rsid w:val="004A17A6"/>
    <w:rsid w:val="004A399D"/>
    <w:rsid w:val="004E4B93"/>
    <w:rsid w:val="004F2DB6"/>
    <w:rsid w:val="00511475"/>
    <w:rsid w:val="00511A4F"/>
    <w:rsid w:val="00515CFF"/>
    <w:rsid w:val="00551841"/>
    <w:rsid w:val="00554A60"/>
    <w:rsid w:val="005A0087"/>
    <w:rsid w:val="005B1116"/>
    <w:rsid w:val="005B6FF2"/>
    <w:rsid w:val="005C0E2E"/>
    <w:rsid w:val="005C2E52"/>
    <w:rsid w:val="005C472D"/>
    <w:rsid w:val="005C6118"/>
    <w:rsid w:val="005C7F0D"/>
    <w:rsid w:val="005F0E8D"/>
    <w:rsid w:val="005F5B05"/>
    <w:rsid w:val="005F66E8"/>
    <w:rsid w:val="00606AD7"/>
    <w:rsid w:val="00610BE9"/>
    <w:rsid w:val="00611493"/>
    <w:rsid w:val="006336D0"/>
    <w:rsid w:val="006426E7"/>
    <w:rsid w:val="00660505"/>
    <w:rsid w:val="00664709"/>
    <w:rsid w:val="00670ED5"/>
    <w:rsid w:val="00675F0B"/>
    <w:rsid w:val="006826AD"/>
    <w:rsid w:val="006840AC"/>
    <w:rsid w:val="00685A79"/>
    <w:rsid w:val="006914F7"/>
    <w:rsid w:val="00691774"/>
    <w:rsid w:val="00693178"/>
    <w:rsid w:val="006A0CFA"/>
    <w:rsid w:val="006B5C80"/>
    <w:rsid w:val="006C0CC3"/>
    <w:rsid w:val="006C764C"/>
    <w:rsid w:val="006C7AAF"/>
    <w:rsid w:val="006F7AF2"/>
    <w:rsid w:val="00732B8E"/>
    <w:rsid w:val="00737D9D"/>
    <w:rsid w:val="00745D55"/>
    <w:rsid w:val="007462CD"/>
    <w:rsid w:val="00766E69"/>
    <w:rsid w:val="00774FF2"/>
    <w:rsid w:val="00783AE9"/>
    <w:rsid w:val="00784114"/>
    <w:rsid w:val="007C5C32"/>
    <w:rsid w:val="007D16C4"/>
    <w:rsid w:val="007D3441"/>
    <w:rsid w:val="007D428A"/>
    <w:rsid w:val="00812B22"/>
    <w:rsid w:val="008302B6"/>
    <w:rsid w:val="008A0814"/>
    <w:rsid w:val="008A7BC2"/>
    <w:rsid w:val="008B332E"/>
    <w:rsid w:val="008D4B37"/>
    <w:rsid w:val="008E1CCE"/>
    <w:rsid w:val="008F5F78"/>
    <w:rsid w:val="009073F9"/>
    <w:rsid w:val="00912EF3"/>
    <w:rsid w:val="00914A5F"/>
    <w:rsid w:val="009156C2"/>
    <w:rsid w:val="00917AD1"/>
    <w:rsid w:val="009307A7"/>
    <w:rsid w:val="0093489B"/>
    <w:rsid w:val="00940D8A"/>
    <w:rsid w:val="00946E34"/>
    <w:rsid w:val="0095123B"/>
    <w:rsid w:val="00952D46"/>
    <w:rsid w:val="00955B7B"/>
    <w:rsid w:val="00960BB3"/>
    <w:rsid w:val="0097526A"/>
    <w:rsid w:val="00990FFA"/>
    <w:rsid w:val="009D1304"/>
    <w:rsid w:val="009E3D9A"/>
    <w:rsid w:val="00A22F08"/>
    <w:rsid w:val="00A5230E"/>
    <w:rsid w:val="00A64CAB"/>
    <w:rsid w:val="00A76CA9"/>
    <w:rsid w:val="00A8767F"/>
    <w:rsid w:val="00A97A31"/>
    <w:rsid w:val="00AA5D89"/>
    <w:rsid w:val="00AB383B"/>
    <w:rsid w:val="00AB58CF"/>
    <w:rsid w:val="00AB5A5D"/>
    <w:rsid w:val="00AC4401"/>
    <w:rsid w:val="00AD1559"/>
    <w:rsid w:val="00AD337D"/>
    <w:rsid w:val="00AE5173"/>
    <w:rsid w:val="00AF5D95"/>
    <w:rsid w:val="00B41214"/>
    <w:rsid w:val="00B47104"/>
    <w:rsid w:val="00B5306D"/>
    <w:rsid w:val="00B639B1"/>
    <w:rsid w:val="00B90A10"/>
    <w:rsid w:val="00B97D91"/>
    <w:rsid w:val="00BA1F99"/>
    <w:rsid w:val="00BA2B2C"/>
    <w:rsid w:val="00BB0308"/>
    <w:rsid w:val="00BC72CA"/>
    <w:rsid w:val="00BD5E0A"/>
    <w:rsid w:val="00BD7DC2"/>
    <w:rsid w:val="00BE1CA0"/>
    <w:rsid w:val="00BF5F40"/>
    <w:rsid w:val="00BF63CD"/>
    <w:rsid w:val="00C36793"/>
    <w:rsid w:val="00C46251"/>
    <w:rsid w:val="00C55430"/>
    <w:rsid w:val="00C66C8D"/>
    <w:rsid w:val="00C77633"/>
    <w:rsid w:val="00C80D55"/>
    <w:rsid w:val="00C836CC"/>
    <w:rsid w:val="00C87E24"/>
    <w:rsid w:val="00C92162"/>
    <w:rsid w:val="00C93B6F"/>
    <w:rsid w:val="00CB65E3"/>
    <w:rsid w:val="00D03918"/>
    <w:rsid w:val="00D14152"/>
    <w:rsid w:val="00D16F7C"/>
    <w:rsid w:val="00D322B8"/>
    <w:rsid w:val="00D45DB2"/>
    <w:rsid w:val="00D47759"/>
    <w:rsid w:val="00D778F5"/>
    <w:rsid w:val="00DC6FDB"/>
    <w:rsid w:val="00DD1909"/>
    <w:rsid w:val="00DD6E3B"/>
    <w:rsid w:val="00DF1D3C"/>
    <w:rsid w:val="00DF3A7E"/>
    <w:rsid w:val="00E07F3B"/>
    <w:rsid w:val="00E474F8"/>
    <w:rsid w:val="00E533B4"/>
    <w:rsid w:val="00E57B5B"/>
    <w:rsid w:val="00E83E4D"/>
    <w:rsid w:val="00E95096"/>
    <w:rsid w:val="00EA793F"/>
    <w:rsid w:val="00EB668D"/>
    <w:rsid w:val="00ED793F"/>
    <w:rsid w:val="00EE14DE"/>
    <w:rsid w:val="00F00CB2"/>
    <w:rsid w:val="00F14548"/>
    <w:rsid w:val="00F375D1"/>
    <w:rsid w:val="00F704C4"/>
    <w:rsid w:val="00FB099A"/>
    <w:rsid w:val="00FD6129"/>
    <w:rsid w:val="00FE4671"/>
    <w:rsid w:val="00FE6710"/>
    <w:rsid w:val="00FF6C55"/>
    <w:rsid w:val="00FF7D9C"/>
    <w:rsid w:val="04A32E60"/>
    <w:rsid w:val="0CCC2DFF"/>
    <w:rsid w:val="23EBF53C"/>
    <w:rsid w:val="262B3357"/>
    <w:rsid w:val="43AAACE7"/>
    <w:rsid w:val="5C042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customStyle="1" w:styleId="UnresolvedMention1">
    <w:name w:val="Unresolved Mention1"/>
    <w:basedOn w:val="VarsaylanParagrafYazTipi"/>
    <w:uiPriority w:val="99"/>
    <w:semiHidden/>
    <w:unhideWhenUsed/>
    <w:rsid w:val="00BA1F99"/>
    <w:rPr>
      <w:color w:val="605E5C"/>
      <w:shd w:val="clear" w:color="auto" w:fill="E1DFDD"/>
    </w:rPr>
  </w:style>
  <w:style w:type="paragraph" w:customStyle="1" w:styleId="paragraph">
    <w:name w:val="paragraph"/>
    <w:basedOn w:val="Normal"/>
    <w:rsid w:val="001B5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B55F3"/>
  </w:style>
  <w:style w:type="character" w:customStyle="1" w:styleId="tabchar">
    <w:name w:val="tabchar"/>
    <w:basedOn w:val="VarsaylanParagrafYazTipi"/>
    <w:rsid w:val="001B55F3"/>
  </w:style>
  <w:style w:type="character" w:customStyle="1" w:styleId="eop">
    <w:name w:val="eop"/>
    <w:basedOn w:val="VarsaylanParagrafYazTipi"/>
    <w:rsid w:val="001B55F3"/>
  </w:style>
  <w:style w:type="character" w:customStyle="1" w:styleId="spellingerror">
    <w:name w:val="spellingerror"/>
    <w:basedOn w:val="VarsaylanParagrafYazTipi"/>
    <w:rsid w:val="001B55F3"/>
  </w:style>
  <w:style w:type="character" w:styleId="zmlenmeyenBahsetme">
    <w:name w:val="Unresolved Mention"/>
    <w:basedOn w:val="VarsaylanParagrafYazTipi"/>
    <w:uiPriority w:val="99"/>
    <w:semiHidden/>
    <w:unhideWhenUsed/>
    <w:rsid w:val="001B55F3"/>
    <w:rPr>
      <w:color w:val="605E5C"/>
      <w:shd w:val="clear" w:color="auto" w:fill="E1DFDD"/>
    </w:rPr>
  </w:style>
  <w:style w:type="paragraph" w:styleId="NormalWeb">
    <w:name w:val="Normal (Web)"/>
    <w:basedOn w:val="Normal"/>
    <w:uiPriority w:val="99"/>
    <w:semiHidden/>
    <w:unhideWhenUsed/>
    <w:rsid w:val="00ED79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B1116"/>
    <w:rPr>
      <w:color w:val="954F72" w:themeColor="followedHyperlink"/>
      <w:u w:val="single"/>
    </w:rPr>
  </w:style>
  <w:style w:type="table" w:styleId="TabloKlavuzu">
    <w:name w:val="Table Grid"/>
    <w:basedOn w:val="NormalTablo"/>
    <w:uiPriority w:val="39"/>
    <w:rsid w:val="004A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293905085">
      <w:bodyDiv w:val="1"/>
      <w:marLeft w:val="0"/>
      <w:marRight w:val="0"/>
      <w:marTop w:val="0"/>
      <w:marBottom w:val="0"/>
      <w:divBdr>
        <w:top w:val="none" w:sz="0" w:space="0" w:color="auto"/>
        <w:left w:val="none" w:sz="0" w:space="0" w:color="auto"/>
        <w:bottom w:val="none" w:sz="0" w:space="0" w:color="auto"/>
        <w:right w:val="none" w:sz="0" w:space="0" w:color="auto"/>
      </w:divBdr>
      <w:divsChild>
        <w:div w:id="2082099716">
          <w:marLeft w:val="0"/>
          <w:marRight w:val="0"/>
          <w:marTop w:val="0"/>
          <w:marBottom w:val="0"/>
          <w:divBdr>
            <w:top w:val="none" w:sz="0" w:space="0" w:color="auto"/>
            <w:left w:val="none" w:sz="0" w:space="0" w:color="auto"/>
            <w:bottom w:val="none" w:sz="0" w:space="0" w:color="auto"/>
            <w:right w:val="none" w:sz="0" w:space="0" w:color="auto"/>
          </w:divBdr>
        </w:div>
        <w:div w:id="238291473">
          <w:marLeft w:val="0"/>
          <w:marRight w:val="0"/>
          <w:marTop w:val="0"/>
          <w:marBottom w:val="0"/>
          <w:divBdr>
            <w:top w:val="none" w:sz="0" w:space="0" w:color="auto"/>
            <w:left w:val="none" w:sz="0" w:space="0" w:color="auto"/>
            <w:bottom w:val="none" w:sz="0" w:space="0" w:color="auto"/>
            <w:right w:val="none" w:sz="0" w:space="0" w:color="auto"/>
          </w:divBdr>
        </w:div>
        <w:div w:id="1036854505">
          <w:marLeft w:val="0"/>
          <w:marRight w:val="0"/>
          <w:marTop w:val="0"/>
          <w:marBottom w:val="0"/>
          <w:divBdr>
            <w:top w:val="none" w:sz="0" w:space="0" w:color="auto"/>
            <w:left w:val="none" w:sz="0" w:space="0" w:color="auto"/>
            <w:bottom w:val="none" w:sz="0" w:space="0" w:color="auto"/>
            <w:right w:val="none" w:sz="0" w:space="0" w:color="auto"/>
          </w:divBdr>
        </w:div>
        <w:div w:id="162203053">
          <w:marLeft w:val="0"/>
          <w:marRight w:val="0"/>
          <w:marTop w:val="0"/>
          <w:marBottom w:val="0"/>
          <w:divBdr>
            <w:top w:val="none" w:sz="0" w:space="0" w:color="auto"/>
            <w:left w:val="none" w:sz="0" w:space="0" w:color="auto"/>
            <w:bottom w:val="none" w:sz="0" w:space="0" w:color="auto"/>
            <w:right w:val="none" w:sz="0" w:space="0" w:color="auto"/>
          </w:divBdr>
        </w:div>
        <w:div w:id="927734067">
          <w:marLeft w:val="0"/>
          <w:marRight w:val="0"/>
          <w:marTop w:val="0"/>
          <w:marBottom w:val="0"/>
          <w:divBdr>
            <w:top w:val="none" w:sz="0" w:space="0" w:color="auto"/>
            <w:left w:val="none" w:sz="0" w:space="0" w:color="auto"/>
            <w:bottom w:val="none" w:sz="0" w:space="0" w:color="auto"/>
            <w:right w:val="none" w:sz="0" w:space="0" w:color="auto"/>
          </w:divBdr>
        </w:div>
        <w:div w:id="1390347504">
          <w:marLeft w:val="0"/>
          <w:marRight w:val="0"/>
          <w:marTop w:val="0"/>
          <w:marBottom w:val="0"/>
          <w:divBdr>
            <w:top w:val="none" w:sz="0" w:space="0" w:color="auto"/>
            <w:left w:val="none" w:sz="0" w:space="0" w:color="auto"/>
            <w:bottom w:val="none" w:sz="0" w:space="0" w:color="auto"/>
            <w:right w:val="none" w:sz="0" w:space="0" w:color="auto"/>
          </w:divBdr>
        </w:div>
        <w:div w:id="100731223">
          <w:marLeft w:val="0"/>
          <w:marRight w:val="0"/>
          <w:marTop w:val="0"/>
          <w:marBottom w:val="0"/>
          <w:divBdr>
            <w:top w:val="none" w:sz="0" w:space="0" w:color="auto"/>
            <w:left w:val="none" w:sz="0" w:space="0" w:color="auto"/>
            <w:bottom w:val="none" w:sz="0" w:space="0" w:color="auto"/>
            <w:right w:val="none" w:sz="0" w:space="0" w:color="auto"/>
          </w:divBdr>
        </w:div>
      </w:divsChild>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 w:id="20935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pmg.com.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kpmg.com/content/dam/kpmg/xx/pdf/2023/02/pulse-of-fintech-h2-22-web-fi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A5539-B5DB-4264-8B7E-5662E82D2C61}">
  <ds:schemaRefs>
    <ds:schemaRef ds:uri="http://schemas.microsoft.com/sharepoint/v3/contenttype/forms"/>
  </ds:schemaRefs>
</ds:datastoreItem>
</file>

<file path=customXml/itemProps2.xml><?xml version="1.0" encoding="utf-8"?>
<ds:datastoreItem xmlns:ds="http://schemas.openxmlformats.org/officeDocument/2006/customXml" ds:itemID="{09B7EEE9-E2CC-4F9D-B4C2-870F3A1B06B1}">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950A1212-8E56-4663-ABF7-366B38D4A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5847</Characters>
  <Application>Microsoft Office Word</Application>
  <DocSecurity>0</DocSecurity>
  <Lines>48</Lines>
  <Paragraphs>13</Paragraphs>
  <ScaleCrop>false</ScaleCrop>
  <Company>KPMG</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4</cp:revision>
  <dcterms:created xsi:type="dcterms:W3CDTF">2023-03-03T08:32:00Z</dcterms:created>
  <dcterms:modified xsi:type="dcterms:W3CDTF">2023-03-07T13:56:00Z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