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FB83" w14:textId="77777777" w:rsidR="00A52F67" w:rsidRPr="00A52F67" w:rsidRDefault="00A52F67" w:rsidP="00EE1151">
      <w:pPr>
        <w:spacing w:line="360" w:lineRule="auto"/>
        <w:contextualSpacing/>
        <w:jc w:val="both"/>
        <w:rPr>
          <w:rFonts w:ascii="Verdana" w:hAnsi="Verdana"/>
          <w:sz w:val="20"/>
          <w:szCs w:val="20"/>
        </w:rPr>
      </w:pPr>
    </w:p>
    <w:p w14:paraId="6494D00A" w14:textId="77777777" w:rsidR="00A52F67" w:rsidRPr="00A52F67" w:rsidRDefault="00A52F67" w:rsidP="00F25758">
      <w:pPr>
        <w:spacing w:line="360" w:lineRule="auto"/>
        <w:contextualSpacing/>
        <w:jc w:val="both"/>
        <w:outlineLvl w:val="0"/>
        <w:rPr>
          <w:rFonts w:ascii="Verdana" w:hAnsi="Verdana"/>
          <w:b/>
          <w:bCs/>
          <w:sz w:val="32"/>
          <w:szCs w:val="32"/>
          <w:u w:val="single"/>
        </w:rPr>
      </w:pPr>
      <w:r w:rsidRPr="00A52F67">
        <w:rPr>
          <w:rFonts w:ascii="Verdana" w:hAnsi="Verdana"/>
          <w:b/>
          <w:bCs/>
          <w:sz w:val="32"/>
          <w:szCs w:val="32"/>
          <w:u w:val="single"/>
        </w:rPr>
        <w:t>BASIN BÜLTENİ</w:t>
      </w:r>
    </w:p>
    <w:p w14:paraId="3BFE0EB6" w14:textId="77777777" w:rsidR="00A52F67" w:rsidRPr="00A52F67" w:rsidRDefault="00A52F67" w:rsidP="00EE1151">
      <w:pPr>
        <w:spacing w:line="360" w:lineRule="auto"/>
        <w:contextualSpacing/>
        <w:jc w:val="both"/>
        <w:rPr>
          <w:rFonts w:ascii="Verdana" w:hAnsi="Verdana"/>
          <w:sz w:val="20"/>
          <w:szCs w:val="20"/>
        </w:rPr>
      </w:pPr>
    </w:p>
    <w:p w14:paraId="3E3A3144" w14:textId="77777777" w:rsidR="00055951" w:rsidRDefault="006B066D" w:rsidP="00F25758">
      <w:pPr>
        <w:spacing w:line="360" w:lineRule="auto"/>
        <w:contextualSpacing/>
        <w:jc w:val="center"/>
        <w:outlineLvl w:val="0"/>
        <w:rPr>
          <w:rFonts w:ascii="Verdana" w:hAnsi="Verdana"/>
          <w:b/>
          <w:bCs/>
          <w:sz w:val="28"/>
          <w:szCs w:val="28"/>
        </w:rPr>
      </w:pPr>
      <w:r>
        <w:rPr>
          <w:rFonts w:ascii="Verdana" w:hAnsi="Verdana"/>
          <w:b/>
          <w:bCs/>
          <w:sz w:val="28"/>
          <w:szCs w:val="28"/>
        </w:rPr>
        <w:t>Şubat ayında</w:t>
      </w:r>
      <w:r w:rsidR="00E15319">
        <w:rPr>
          <w:rFonts w:ascii="Verdana" w:hAnsi="Verdana"/>
          <w:b/>
          <w:bCs/>
          <w:sz w:val="28"/>
          <w:szCs w:val="28"/>
        </w:rPr>
        <w:t xml:space="preserve"> en çok bitmemiş projelerden </w:t>
      </w:r>
    </w:p>
    <w:p w14:paraId="1C87385B" w14:textId="5980DCF0" w:rsidR="00A52F67" w:rsidRPr="00A76ED6" w:rsidRDefault="00E15319" w:rsidP="00EB736C">
      <w:pPr>
        <w:spacing w:line="360" w:lineRule="auto"/>
        <w:contextualSpacing/>
        <w:jc w:val="center"/>
        <w:rPr>
          <w:rFonts w:ascii="Verdana" w:hAnsi="Verdana"/>
          <w:b/>
          <w:bCs/>
          <w:sz w:val="28"/>
          <w:szCs w:val="28"/>
        </w:rPr>
      </w:pPr>
      <w:r>
        <w:rPr>
          <w:rFonts w:ascii="Verdana" w:hAnsi="Verdana"/>
          <w:b/>
          <w:bCs/>
          <w:sz w:val="28"/>
          <w:szCs w:val="28"/>
        </w:rPr>
        <w:t>konut alındı!</w:t>
      </w:r>
      <w:r w:rsidDel="00E15319">
        <w:rPr>
          <w:rFonts w:ascii="Verdana" w:hAnsi="Verdana"/>
          <w:b/>
          <w:bCs/>
          <w:sz w:val="28"/>
          <w:szCs w:val="28"/>
        </w:rPr>
        <w:t xml:space="preserve"> </w:t>
      </w:r>
    </w:p>
    <w:p w14:paraId="626C07BD" w14:textId="77777777" w:rsidR="00DA5592" w:rsidRPr="00DA5592" w:rsidRDefault="00DA5592" w:rsidP="00E15319">
      <w:pPr>
        <w:spacing w:line="360" w:lineRule="auto"/>
        <w:contextualSpacing/>
        <w:jc w:val="center"/>
        <w:rPr>
          <w:rFonts w:ascii="Verdana" w:hAnsi="Verdana"/>
          <w:sz w:val="14"/>
          <w:szCs w:val="14"/>
        </w:rPr>
      </w:pPr>
    </w:p>
    <w:p w14:paraId="6571B7DF" w14:textId="5B5172A5" w:rsidR="00A52F67" w:rsidRPr="00E77729" w:rsidRDefault="00A52F67" w:rsidP="00F34511">
      <w:pPr>
        <w:spacing w:line="360" w:lineRule="auto"/>
        <w:contextualSpacing/>
        <w:jc w:val="center"/>
        <w:rPr>
          <w:rFonts w:ascii="Verdana" w:hAnsi="Verdana"/>
          <w:b/>
          <w:bCs/>
          <w:sz w:val="24"/>
          <w:szCs w:val="24"/>
        </w:rPr>
      </w:pPr>
      <w:r w:rsidRPr="00E77729">
        <w:rPr>
          <w:rFonts w:ascii="Verdana" w:hAnsi="Verdana"/>
          <w:b/>
          <w:bCs/>
          <w:sz w:val="24"/>
          <w:szCs w:val="24"/>
        </w:rPr>
        <w:t xml:space="preserve">REIDIN Emlak Endeksi </w:t>
      </w:r>
      <w:r w:rsidR="00D31A12">
        <w:rPr>
          <w:rFonts w:ascii="Verdana" w:hAnsi="Verdana"/>
          <w:b/>
          <w:bCs/>
          <w:sz w:val="24"/>
          <w:szCs w:val="24"/>
        </w:rPr>
        <w:t>şubat</w:t>
      </w:r>
      <w:r w:rsidR="00D31A12" w:rsidRPr="00E77729">
        <w:rPr>
          <w:rFonts w:ascii="Verdana" w:hAnsi="Verdana"/>
          <w:b/>
          <w:bCs/>
          <w:sz w:val="24"/>
          <w:szCs w:val="24"/>
        </w:rPr>
        <w:t xml:space="preserve"> </w:t>
      </w:r>
      <w:r w:rsidRPr="00E77729">
        <w:rPr>
          <w:rFonts w:ascii="Verdana" w:hAnsi="Verdana"/>
          <w:b/>
          <w:bCs/>
          <w:sz w:val="24"/>
          <w:szCs w:val="24"/>
        </w:rPr>
        <w:t>ayı sonuçları</w:t>
      </w:r>
      <w:r w:rsidR="00E77729" w:rsidRPr="00E77729">
        <w:rPr>
          <w:rFonts w:ascii="Verdana" w:hAnsi="Verdana"/>
          <w:b/>
          <w:bCs/>
          <w:sz w:val="24"/>
          <w:szCs w:val="24"/>
        </w:rPr>
        <w:t xml:space="preserve">na göre </w:t>
      </w:r>
      <w:r w:rsidR="00E04B09">
        <w:rPr>
          <w:rFonts w:ascii="Verdana" w:hAnsi="Verdana"/>
          <w:b/>
          <w:bCs/>
          <w:sz w:val="24"/>
          <w:szCs w:val="24"/>
        </w:rPr>
        <w:t xml:space="preserve">konut satış fiyatlarının en çok arttığı il </w:t>
      </w:r>
      <w:r w:rsidR="00F34511">
        <w:rPr>
          <w:rFonts w:ascii="Verdana" w:hAnsi="Verdana"/>
          <w:b/>
          <w:bCs/>
          <w:sz w:val="24"/>
          <w:szCs w:val="24"/>
        </w:rPr>
        <w:t>Yozgat</w:t>
      </w:r>
      <w:r w:rsidR="00E04B09">
        <w:rPr>
          <w:rFonts w:ascii="Verdana" w:hAnsi="Verdana"/>
          <w:b/>
          <w:bCs/>
          <w:sz w:val="24"/>
          <w:szCs w:val="24"/>
        </w:rPr>
        <w:t xml:space="preserve">, kira fiyatlarının en çok arttığı il ise </w:t>
      </w:r>
      <w:r w:rsidR="00F34511">
        <w:rPr>
          <w:rFonts w:ascii="Verdana" w:hAnsi="Verdana"/>
          <w:b/>
          <w:bCs/>
          <w:sz w:val="24"/>
          <w:szCs w:val="24"/>
        </w:rPr>
        <w:t xml:space="preserve">Edirne </w:t>
      </w:r>
      <w:r w:rsidR="00E04B09">
        <w:rPr>
          <w:rFonts w:ascii="Verdana" w:hAnsi="Verdana"/>
          <w:b/>
          <w:bCs/>
          <w:sz w:val="24"/>
          <w:szCs w:val="24"/>
        </w:rPr>
        <w:t xml:space="preserve">oldu. </w:t>
      </w:r>
      <w:r w:rsidR="00440B23">
        <w:rPr>
          <w:rFonts w:ascii="Verdana" w:hAnsi="Verdana"/>
          <w:b/>
          <w:bCs/>
          <w:sz w:val="24"/>
          <w:szCs w:val="24"/>
        </w:rPr>
        <w:t xml:space="preserve">81 ilin tamamını kapsayan rapora göre </w:t>
      </w:r>
      <w:r w:rsidR="00F34511">
        <w:rPr>
          <w:rFonts w:ascii="Verdana" w:hAnsi="Verdana"/>
          <w:b/>
          <w:bCs/>
          <w:sz w:val="24"/>
          <w:szCs w:val="24"/>
        </w:rPr>
        <w:t>ş</w:t>
      </w:r>
      <w:r w:rsidR="00F34511" w:rsidRPr="00F34511">
        <w:rPr>
          <w:rFonts w:ascii="Verdana" w:hAnsi="Verdana"/>
          <w:b/>
          <w:bCs/>
          <w:sz w:val="24"/>
          <w:szCs w:val="24"/>
        </w:rPr>
        <w:t>ubat ayında</w:t>
      </w:r>
      <w:r w:rsidR="00F34511">
        <w:rPr>
          <w:rFonts w:ascii="Verdana" w:hAnsi="Verdana"/>
          <w:b/>
          <w:bCs/>
          <w:sz w:val="24"/>
          <w:szCs w:val="24"/>
        </w:rPr>
        <w:t xml:space="preserve"> bir önceki aya göre %0,</w:t>
      </w:r>
      <w:r w:rsidR="00F34511" w:rsidRPr="00F34511">
        <w:rPr>
          <w:rFonts w:ascii="Verdana" w:hAnsi="Verdana"/>
          <w:b/>
          <w:bCs/>
          <w:sz w:val="24"/>
          <w:szCs w:val="24"/>
        </w:rPr>
        <w:t>85 oranında ve geçen yılın aynı</w:t>
      </w:r>
      <w:r w:rsidR="00F34511">
        <w:rPr>
          <w:rFonts w:ascii="Verdana" w:hAnsi="Verdana"/>
          <w:b/>
          <w:bCs/>
          <w:sz w:val="24"/>
          <w:szCs w:val="24"/>
        </w:rPr>
        <w:t xml:space="preserve"> dönemine göre ise %11,</w:t>
      </w:r>
      <w:r w:rsidR="00F34511" w:rsidRPr="00F34511">
        <w:rPr>
          <w:rFonts w:ascii="Verdana" w:hAnsi="Verdana"/>
          <w:b/>
          <w:bCs/>
          <w:sz w:val="24"/>
          <w:szCs w:val="24"/>
        </w:rPr>
        <w:t>49 oranında artış gerçekleş</w:t>
      </w:r>
      <w:r w:rsidR="00F34511">
        <w:rPr>
          <w:rFonts w:ascii="Verdana" w:hAnsi="Verdana"/>
          <w:b/>
          <w:bCs/>
          <w:sz w:val="24"/>
          <w:szCs w:val="24"/>
        </w:rPr>
        <w:t>ti</w:t>
      </w:r>
      <w:r w:rsidR="00F34511" w:rsidRPr="00F34511">
        <w:rPr>
          <w:rFonts w:ascii="Verdana" w:hAnsi="Verdana"/>
          <w:b/>
          <w:bCs/>
          <w:sz w:val="24"/>
          <w:szCs w:val="24"/>
        </w:rPr>
        <w:t>.</w:t>
      </w:r>
      <w:r w:rsidR="00E04B09">
        <w:rPr>
          <w:rFonts w:ascii="Verdana" w:hAnsi="Verdana"/>
          <w:b/>
          <w:bCs/>
          <w:sz w:val="24"/>
          <w:szCs w:val="24"/>
        </w:rPr>
        <w:t xml:space="preserve"> </w:t>
      </w:r>
      <w:r w:rsidR="00E17136" w:rsidRPr="00BA50D6">
        <w:rPr>
          <w:rFonts w:ascii="Verdana" w:hAnsi="Verdana"/>
          <w:b/>
          <w:bCs/>
          <w:sz w:val="24"/>
          <w:szCs w:val="24"/>
        </w:rPr>
        <w:t>Şubat ayında</w:t>
      </w:r>
      <w:r w:rsidR="00E17136">
        <w:rPr>
          <w:rFonts w:ascii="Verdana" w:hAnsi="Verdana"/>
          <w:b/>
          <w:bCs/>
          <w:sz w:val="24"/>
          <w:szCs w:val="24"/>
        </w:rPr>
        <w:t>ki</w:t>
      </w:r>
      <w:r w:rsidR="00E17136" w:rsidRPr="00BA50D6">
        <w:rPr>
          <w:rFonts w:ascii="Verdana" w:hAnsi="Verdana"/>
          <w:b/>
          <w:bCs/>
          <w:sz w:val="24"/>
          <w:szCs w:val="24"/>
        </w:rPr>
        <w:t xml:space="preserve"> satış</w:t>
      </w:r>
      <w:r w:rsidR="00E17136">
        <w:rPr>
          <w:rFonts w:ascii="Verdana" w:hAnsi="Verdana"/>
          <w:b/>
          <w:bCs/>
          <w:sz w:val="24"/>
          <w:szCs w:val="24"/>
        </w:rPr>
        <w:t>ların</w:t>
      </w:r>
      <w:r w:rsidR="00E17136" w:rsidRPr="00BA50D6">
        <w:rPr>
          <w:rFonts w:ascii="Verdana" w:hAnsi="Verdana"/>
          <w:b/>
          <w:bCs/>
          <w:sz w:val="24"/>
          <w:szCs w:val="24"/>
        </w:rPr>
        <w:t xml:space="preserve"> %82’si bitmemiş konut stoklarından oluştu. </w:t>
      </w:r>
      <w:r w:rsidR="00E04B09" w:rsidRPr="00E04B09">
        <w:rPr>
          <w:rFonts w:ascii="Verdana" w:hAnsi="Verdana"/>
          <w:b/>
          <w:bCs/>
          <w:sz w:val="24"/>
          <w:szCs w:val="24"/>
        </w:rPr>
        <w:t xml:space="preserve">En yüksek yıllık kira getirisi </w:t>
      </w:r>
      <w:r w:rsidR="00E04B09">
        <w:rPr>
          <w:rFonts w:ascii="Verdana" w:hAnsi="Verdana"/>
          <w:b/>
          <w:bCs/>
          <w:sz w:val="24"/>
          <w:szCs w:val="24"/>
        </w:rPr>
        <w:t>sunan iller ise</w:t>
      </w:r>
      <w:r w:rsidR="00F34511">
        <w:rPr>
          <w:rFonts w:ascii="Verdana" w:hAnsi="Verdana"/>
          <w:b/>
          <w:bCs/>
          <w:sz w:val="24"/>
          <w:szCs w:val="24"/>
        </w:rPr>
        <w:t xml:space="preserve"> değişmedi:</w:t>
      </w:r>
      <w:r w:rsidR="00E04B09">
        <w:rPr>
          <w:rFonts w:ascii="Verdana" w:hAnsi="Verdana"/>
          <w:b/>
          <w:bCs/>
          <w:sz w:val="24"/>
          <w:szCs w:val="24"/>
        </w:rPr>
        <w:t xml:space="preserve"> </w:t>
      </w:r>
      <w:r w:rsidR="00E04B09" w:rsidRPr="00E04B09">
        <w:rPr>
          <w:rFonts w:ascii="Verdana" w:hAnsi="Verdana"/>
          <w:b/>
          <w:bCs/>
          <w:sz w:val="24"/>
          <w:szCs w:val="24"/>
        </w:rPr>
        <w:t>Aydın, Van ve Şanlıurfa</w:t>
      </w:r>
      <w:r w:rsidR="00E04B09">
        <w:rPr>
          <w:rFonts w:ascii="Verdana" w:hAnsi="Verdana"/>
          <w:b/>
          <w:bCs/>
          <w:sz w:val="24"/>
          <w:szCs w:val="24"/>
        </w:rPr>
        <w:t>.</w:t>
      </w:r>
      <w:r w:rsidR="00E17136">
        <w:rPr>
          <w:rFonts w:ascii="Verdana" w:hAnsi="Verdana"/>
          <w:b/>
          <w:bCs/>
          <w:sz w:val="24"/>
          <w:szCs w:val="24"/>
        </w:rPr>
        <w:t xml:space="preserve"> </w:t>
      </w:r>
    </w:p>
    <w:p w14:paraId="56A7DA86" w14:textId="77777777" w:rsidR="00A52F67" w:rsidRPr="00A52F67" w:rsidRDefault="00A52F67" w:rsidP="00EE1151">
      <w:pPr>
        <w:spacing w:line="360" w:lineRule="auto"/>
        <w:contextualSpacing/>
        <w:jc w:val="both"/>
        <w:rPr>
          <w:rFonts w:ascii="Verdana" w:hAnsi="Verdana"/>
          <w:sz w:val="20"/>
          <w:szCs w:val="20"/>
        </w:rPr>
      </w:pPr>
    </w:p>
    <w:p w14:paraId="4D875E63" w14:textId="27362E9C" w:rsidR="000C18F0" w:rsidRDefault="000C18F0" w:rsidP="000C18F0">
      <w:pPr>
        <w:spacing w:line="360" w:lineRule="auto"/>
        <w:contextualSpacing/>
        <w:jc w:val="both"/>
        <w:rPr>
          <w:rFonts w:ascii="Verdana" w:hAnsi="Verdana"/>
          <w:sz w:val="20"/>
          <w:szCs w:val="20"/>
        </w:rPr>
      </w:pPr>
      <w:r w:rsidRPr="00E77729">
        <w:rPr>
          <w:rFonts w:ascii="Verdana" w:hAnsi="Verdana"/>
          <w:sz w:val="20"/>
          <w:szCs w:val="20"/>
        </w:rPr>
        <w:t xml:space="preserve">REIDIN-GYODER Yeni Konut Fiyat Endeksi ve REIDIN Emlak Endeksi </w:t>
      </w:r>
      <w:r>
        <w:rPr>
          <w:rFonts w:ascii="Verdana" w:hAnsi="Verdana"/>
          <w:sz w:val="20"/>
          <w:szCs w:val="20"/>
        </w:rPr>
        <w:t>şubat</w:t>
      </w:r>
      <w:r w:rsidRPr="00E77729">
        <w:rPr>
          <w:rFonts w:ascii="Verdana" w:hAnsi="Verdana"/>
          <w:sz w:val="20"/>
          <w:szCs w:val="20"/>
        </w:rPr>
        <w:t xml:space="preserve"> ayı sonuçları açıklandı. </w:t>
      </w:r>
      <w:r w:rsidRPr="00E2766A">
        <w:rPr>
          <w:rFonts w:ascii="Verdana" w:hAnsi="Verdana"/>
          <w:sz w:val="20"/>
          <w:szCs w:val="20"/>
        </w:rPr>
        <w:t>REIDIN-GYODER Yeni Konut Fiyat Endeksi’ne göre</w:t>
      </w:r>
      <w:r>
        <w:rPr>
          <w:rFonts w:ascii="Verdana" w:hAnsi="Verdana"/>
          <w:sz w:val="20"/>
          <w:szCs w:val="20"/>
        </w:rPr>
        <w:t xml:space="preserve"> ise</w:t>
      </w:r>
      <w:r w:rsidRPr="00E2766A">
        <w:rPr>
          <w:rFonts w:ascii="Verdana" w:hAnsi="Verdana"/>
          <w:sz w:val="20"/>
          <w:szCs w:val="20"/>
        </w:rPr>
        <w:t>; stok erime hızının adet bazında %</w:t>
      </w:r>
      <w:r>
        <w:rPr>
          <w:rFonts w:ascii="Verdana" w:hAnsi="Verdana"/>
          <w:sz w:val="20"/>
          <w:szCs w:val="20"/>
        </w:rPr>
        <w:t>4</w:t>
      </w:r>
      <w:r w:rsidRPr="00E2766A">
        <w:rPr>
          <w:rFonts w:ascii="Verdana" w:hAnsi="Verdana"/>
          <w:sz w:val="20"/>
          <w:szCs w:val="20"/>
        </w:rPr>
        <w:t>,</w:t>
      </w:r>
      <w:r>
        <w:rPr>
          <w:rFonts w:ascii="Verdana" w:hAnsi="Verdana"/>
          <w:sz w:val="20"/>
          <w:szCs w:val="20"/>
        </w:rPr>
        <w:t>5</w:t>
      </w:r>
      <w:r w:rsidRPr="00E2766A">
        <w:rPr>
          <w:rFonts w:ascii="Verdana" w:hAnsi="Verdana"/>
          <w:sz w:val="20"/>
          <w:szCs w:val="20"/>
        </w:rPr>
        <w:t>’e, metrekare bazında ise %</w:t>
      </w:r>
      <w:r>
        <w:rPr>
          <w:rFonts w:ascii="Verdana" w:hAnsi="Verdana"/>
          <w:sz w:val="20"/>
          <w:szCs w:val="20"/>
        </w:rPr>
        <w:t>4</w:t>
      </w:r>
      <w:r w:rsidRPr="00E2766A">
        <w:rPr>
          <w:rFonts w:ascii="Verdana" w:hAnsi="Verdana"/>
          <w:sz w:val="20"/>
          <w:szCs w:val="20"/>
        </w:rPr>
        <w:t xml:space="preserve">’e düştüğü </w:t>
      </w:r>
      <w:r>
        <w:rPr>
          <w:rFonts w:ascii="Verdana" w:hAnsi="Verdana"/>
          <w:sz w:val="20"/>
          <w:szCs w:val="20"/>
        </w:rPr>
        <w:t>şubat</w:t>
      </w:r>
      <w:r w:rsidRPr="00E2766A">
        <w:rPr>
          <w:rFonts w:ascii="Verdana" w:hAnsi="Verdana"/>
          <w:sz w:val="20"/>
          <w:szCs w:val="20"/>
        </w:rPr>
        <w:t xml:space="preserve"> ayında, bir önceki aya göre %0,2</w:t>
      </w:r>
      <w:r>
        <w:rPr>
          <w:rFonts w:ascii="Verdana" w:hAnsi="Verdana"/>
          <w:sz w:val="20"/>
          <w:szCs w:val="20"/>
        </w:rPr>
        <w:t>8</w:t>
      </w:r>
      <w:r w:rsidRPr="00E2766A">
        <w:rPr>
          <w:rFonts w:ascii="Verdana" w:hAnsi="Verdana"/>
          <w:sz w:val="20"/>
          <w:szCs w:val="20"/>
        </w:rPr>
        <w:t xml:space="preserve">, geçen yılın aynı dönemine göre ise </w:t>
      </w:r>
      <w:r w:rsidRPr="00E2766A">
        <w:rPr>
          <w:rFonts w:ascii="Verdana" w:hAnsi="Verdana"/>
          <w:b/>
          <w:bCs/>
          <w:sz w:val="20"/>
          <w:szCs w:val="20"/>
        </w:rPr>
        <w:t>%3,</w:t>
      </w:r>
      <w:r>
        <w:rPr>
          <w:rFonts w:ascii="Verdana" w:hAnsi="Verdana"/>
          <w:b/>
          <w:bCs/>
          <w:sz w:val="20"/>
          <w:szCs w:val="20"/>
        </w:rPr>
        <w:t>52</w:t>
      </w:r>
      <w:r w:rsidRPr="00E2766A">
        <w:rPr>
          <w:rFonts w:ascii="Verdana" w:hAnsi="Verdana"/>
          <w:sz w:val="20"/>
          <w:szCs w:val="20"/>
        </w:rPr>
        <w:t xml:space="preserve"> oranında fiyat </w:t>
      </w:r>
      <w:r w:rsidRPr="00E2766A">
        <w:rPr>
          <w:rFonts w:ascii="Verdana" w:hAnsi="Verdana"/>
          <w:b/>
          <w:bCs/>
          <w:sz w:val="20"/>
          <w:szCs w:val="20"/>
        </w:rPr>
        <w:t>artışı</w:t>
      </w:r>
      <w:r w:rsidRPr="00E2766A">
        <w:rPr>
          <w:rFonts w:ascii="Verdana" w:hAnsi="Verdana"/>
          <w:sz w:val="20"/>
          <w:szCs w:val="20"/>
        </w:rPr>
        <w:t xml:space="preserve"> gerçekleşti. </w:t>
      </w:r>
      <w:r w:rsidRPr="00EE1151">
        <w:rPr>
          <w:rFonts w:ascii="Verdana" w:hAnsi="Verdana"/>
          <w:sz w:val="20"/>
          <w:szCs w:val="20"/>
        </w:rPr>
        <w:t xml:space="preserve">Endeksin başlangıç dönemi olan 2010 yılı </w:t>
      </w:r>
      <w:r>
        <w:rPr>
          <w:rFonts w:ascii="Verdana" w:hAnsi="Verdana"/>
          <w:sz w:val="20"/>
          <w:szCs w:val="20"/>
        </w:rPr>
        <w:t>o</w:t>
      </w:r>
      <w:r w:rsidRPr="00EE1151">
        <w:rPr>
          <w:rFonts w:ascii="Verdana" w:hAnsi="Verdana"/>
          <w:sz w:val="20"/>
          <w:szCs w:val="20"/>
        </w:rPr>
        <w:t xml:space="preserve">cak ayına göre ise </w:t>
      </w:r>
      <w:r w:rsidRPr="00EE1151">
        <w:rPr>
          <w:rFonts w:ascii="Verdana" w:hAnsi="Verdana"/>
          <w:b/>
          <w:bCs/>
          <w:sz w:val="20"/>
          <w:szCs w:val="20"/>
        </w:rPr>
        <w:t>%7</w:t>
      </w:r>
      <w:r>
        <w:rPr>
          <w:rFonts w:ascii="Verdana" w:hAnsi="Verdana"/>
          <w:b/>
          <w:bCs/>
          <w:sz w:val="20"/>
          <w:szCs w:val="20"/>
        </w:rPr>
        <w:t>9</w:t>
      </w:r>
      <w:r w:rsidRPr="00EE1151">
        <w:rPr>
          <w:rFonts w:ascii="Verdana" w:hAnsi="Verdana"/>
          <w:b/>
          <w:bCs/>
          <w:sz w:val="20"/>
          <w:szCs w:val="20"/>
        </w:rPr>
        <w:t>,</w:t>
      </w:r>
      <w:r>
        <w:rPr>
          <w:rFonts w:ascii="Verdana" w:hAnsi="Verdana"/>
          <w:b/>
          <w:bCs/>
          <w:sz w:val="20"/>
          <w:szCs w:val="20"/>
        </w:rPr>
        <w:t>4</w:t>
      </w:r>
      <w:r w:rsidRPr="00EE1151">
        <w:rPr>
          <w:rFonts w:ascii="Verdana" w:hAnsi="Verdana"/>
          <w:b/>
          <w:bCs/>
          <w:sz w:val="20"/>
          <w:szCs w:val="20"/>
        </w:rPr>
        <w:t>0</w:t>
      </w:r>
      <w:r w:rsidRPr="00EE1151">
        <w:rPr>
          <w:rFonts w:ascii="Verdana" w:hAnsi="Verdana"/>
          <w:sz w:val="20"/>
          <w:szCs w:val="20"/>
        </w:rPr>
        <w:t xml:space="preserve"> oranında artış gerçekleş</w:t>
      </w:r>
      <w:r>
        <w:rPr>
          <w:rFonts w:ascii="Verdana" w:hAnsi="Verdana"/>
          <w:sz w:val="20"/>
          <w:szCs w:val="20"/>
        </w:rPr>
        <w:t>ti</w:t>
      </w:r>
      <w:r w:rsidRPr="00EE1151">
        <w:rPr>
          <w:rFonts w:ascii="Verdana" w:hAnsi="Verdana"/>
          <w:sz w:val="20"/>
          <w:szCs w:val="20"/>
        </w:rPr>
        <w:t>.</w:t>
      </w:r>
      <w:r>
        <w:rPr>
          <w:rFonts w:ascii="Verdana" w:hAnsi="Verdana"/>
          <w:sz w:val="20"/>
          <w:szCs w:val="20"/>
        </w:rPr>
        <w:t xml:space="preserve"> </w:t>
      </w:r>
      <w:r w:rsidRPr="00E2766A">
        <w:rPr>
          <w:rFonts w:ascii="Verdana" w:hAnsi="Verdana"/>
          <w:sz w:val="20"/>
          <w:szCs w:val="20"/>
        </w:rPr>
        <w:t xml:space="preserve">Yeni konut satışlarının </w:t>
      </w:r>
      <w:r w:rsidRPr="00E2766A">
        <w:rPr>
          <w:rFonts w:ascii="Verdana" w:hAnsi="Verdana"/>
          <w:b/>
          <w:bCs/>
          <w:sz w:val="20"/>
          <w:szCs w:val="20"/>
        </w:rPr>
        <w:t>%</w:t>
      </w:r>
      <w:r>
        <w:rPr>
          <w:rFonts w:ascii="Verdana" w:hAnsi="Verdana"/>
          <w:b/>
          <w:bCs/>
          <w:sz w:val="20"/>
          <w:szCs w:val="20"/>
        </w:rPr>
        <w:t>82’sini</w:t>
      </w:r>
      <w:r w:rsidRPr="00E2766A">
        <w:rPr>
          <w:rFonts w:ascii="Verdana" w:hAnsi="Verdana"/>
          <w:b/>
          <w:bCs/>
          <w:sz w:val="20"/>
          <w:szCs w:val="20"/>
        </w:rPr>
        <w:t xml:space="preserve"> bitmemiş konut stokları</w:t>
      </w:r>
      <w:r w:rsidRPr="00E2766A">
        <w:rPr>
          <w:rFonts w:ascii="Verdana" w:hAnsi="Verdana"/>
          <w:sz w:val="20"/>
          <w:szCs w:val="20"/>
        </w:rPr>
        <w:t xml:space="preserve"> oluştururken, </w:t>
      </w:r>
      <w:r>
        <w:rPr>
          <w:rFonts w:ascii="Verdana" w:hAnsi="Verdana"/>
          <w:sz w:val="20"/>
          <w:szCs w:val="20"/>
        </w:rPr>
        <w:t>şubat</w:t>
      </w:r>
      <w:r w:rsidRPr="00E2766A">
        <w:rPr>
          <w:rFonts w:ascii="Verdana" w:hAnsi="Verdana"/>
          <w:sz w:val="20"/>
          <w:szCs w:val="20"/>
        </w:rPr>
        <w:t xml:space="preserve"> ayında markalı konut projeleri kapsamında gerçekleştirilen satışların %</w:t>
      </w:r>
      <w:r>
        <w:rPr>
          <w:rFonts w:ascii="Verdana" w:hAnsi="Verdana"/>
          <w:sz w:val="20"/>
          <w:szCs w:val="20"/>
        </w:rPr>
        <w:t>6’lık</w:t>
      </w:r>
      <w:r w:rsidRPr="00E2766A">
        <w:rPr>
          <w:rFonts w:ascii="Verdana" w:hAnsi="Verdana"/>
          <w:sz w:val="20"/>
          <w:szCs w:val="20"/>
        </w:rPr>
        <w:t xml:space="preserve"> (son 6 aylık ortalama %4) kısmı </w:t>
      </w:r>
      <w:r w:rsidRPr="00DA5592">
        <w:rPr>
          <w:rFonts w:ascii="Verdana" w:hAnsi="Verdana"/>
          <w:b/>
          <w:bCs/>
          <w:sz w:val="20"/>
          <w:szCs w:val="20"/>
        </w:rPr>
        <w:t>yabancı yatırımcılara</w:t>
      </w:r>
      <w:r w:rsidRPr="00E2766A">
        <w:rPr>
          <w:rFonts w:ascii="Verdana" w:hAnsi="Verdana"/>
          <w:sz w:val="20"/>
          <w:szCs w:val="20"/>
        </w:rPr>
        <w:t xml:space="preserve"> yapıldı ve en çok </w:t>
      </w:r>
      <w:r>
        <w:rPr>
          <w:rFonts w:ascii="Verdana" w:hAnsi="Verdana"/>
          <w:b/>
          <w:bCs/>
          <w:sz w:val="20"/>
          <w:szCs w:val="20"/>
        </w:rPr>
        <w:t>1</w:t>
      </w:r>
      <w:r w:rsidRPr="00DA5592">
        <w:rPr>
          <w:rFonts w:ascii="Verdana" w:hAnsi="Verdana"/>
          <w:b/>
          <w:bCs/>
          <w:sz w:val="20"/>
          <w:szCs w:val="20"/>
        </w:rPr>
        <w:t>+1 konutlar</w:t>
      </w:r>
      <w:r w:rsidRPr="00E2766A">
        <w:rPr>
          <w:rFonts w:ascii="Verdana" w:hAnsi="Verdana"/>
          <w:sz w:val="20"/>
          <w:szCs w:val="20"/>
        </w:rPr>
        <w:t xml:space="preserve"> tercih edildi.</w:t>
      </w:r>
      <w:r>
        <w:rPr>
          <w:rFonts w:ascii="Verdana" w:hAnsi="Verdana"/>
          <w:sz w:val="20"/>
          <w:szCs w:val="20"/>
        </w:rPr>
        <w:t xml:space="preserve"> </w:t>
      </w:r>
    </w:p>
    <w:p w14:paraId="37A8609A" w14:textId="77777777" w:rsidR="00EB736C" w:rsidRDefault="00EB736C" w:rsidP="00EB736C">
      <w:pPr>
        <w:spacing w:line="360" w:lineRule="auto"/>
        <w:contextualSpacing/>
        <w:jc w:val="both"/>
        <w:rPr>
          <w:rFonts w:ascii="Verdana" w:hAnsi="Verdana"/>
          <w:sz w:val="20"/>
          <w:szCs w:val="20"/>
        </w:rPr>
      </w:pPr>
    </w:p>
    <w:p w14:paraId="744A512D" w14:textId="4879A976" w:rsidR="00E17136" w:rsidRPr="00BA50D6" w:rsidRDefault="00EB736C" w:rsidP="00BA50D6">
      <w:pPr>
        <w:spacing w:line="360" w:lineRule="auto"/>
        <w:contextualSpacing/>
        <w:jc w:val="both"/>
        <w:rPr>
          <w:rFonts w:ascii="Verdana" w:hAnsi="Verdana"/>
          <w:sz w:val="20"/>
          <w:szCs w:val="20"/>
        </w:rPr>
      </w:pPr>
      <w:r w:rsidRPr="00FB6BA7">
        <w:rPr>
          <w:rFonts w:ascii="Verdana" w:hAnsi="Verdana"/>
          <w:b/>
          <w:bCs/>
          <w:sz w:val="20"/>
          <w:szCs w:val="20"/>
        </w:rPr>
        <w:t>REIDIN CEO’su Kerim Alain Bertrand</w:t>
      </w:r>
      <w:r w:rsidR="00BE040D">
        <w:rPr>
          <w:rFonts w:ascii="Verdana" w:hAnsi="Verdana"/>
          <w:b/>
          <w:bCs/>
          <w:sz w:val="20"/>
          <w:szCs w:val="20"/>
        </w:rPr>
        <w:t xml:space="preserve"> </w:t>
      </w:r>
      <w:r w:rsidR="00BE040D" w:rsidRPr="00776367">
        <w:rPr>
          <w:rFonts w:ascii="Verdana" w:hAnsi="Verdana"/>
          <w:sz w:val="20"/>
          <w:szCs w:val="20"/>
        </w:rPr>
        <w:t>endeks hakkında şunları söyledi: “</w:t>
      </w:r>
      <w:r w:rsidR="00E17136" w:rsidRPr="00BA50D6">
        <w:rPr>
          <w:rFonts w:ascii="Verdana" w:hAnsi="Verdana"/>
          <w:sz w:val="20"/>
          <w:szCs w:val="20"/>
        </w:rPr>
        <w:t>Türkiye genelinde 81 şehrin tamamını kapsayacak nitelikteki Türkiye Satılık K</w:t>
      </w:r>
      <w:r w:rsidR="00E17136" w:rsidRPr="00E17136">
        <w:rPr>
          <w:rFonts w:ascii="Verdana" w:hAnsi="Verdana"/>
          <w:sz w:val="20"/>
          <w:szCs w:val="20"/>
        </w:rPr>
        <w:t xml:space="preserve">onut Fiyat Endeksi’nde (TR-81) </w:t>
      </w:r>
      <w:r w:rsidR="00E17136">
        <w:rPr>
          <w:rFonts w:ascii="Verdana" w:hAnsi="Verdana"/>
          <w:sz w:val="20"/>
          <w:szCs w:val="20"/>
        </w:rPr>
        <w:t>ş</w:t>
      </w:r>
      <w:r w:rsidR="00E17136" w:rsidRPr="00BA50D6">
        <w:rPr>
          <w:rFonts w:ascii="Verdana" w:hAnsi="Verdana"/>
          <w:sz w:val="20"/>
          <w:szCs w:val="20"/>
        </w:rPr>
        <w:t>uba</w:t>
      </w:r>
      <w:r w:rsidR="00E17136" w:rsidRPr="00E17136">
        <w:rPr>
          <w:rFonts w:ascii="Verdana" w:hAnsi="Verdana"/>
          <w:sz w:val="20"/>
          <w:szCs w:val="20"/>
        </w:rPr>
        <w:t>t ayında bir önceki aya göre %0</w:t>
      </w:r>
      <w:r w:rsidR="00E17136">
        <w:rPr>
          <w:rFonts w:ascii="Verdana" w:hAnsi="Verdana"/>
          <w:sz w:val="20"/>
          <w:szCs w:val="20"/>
        </w:rPr>
        <w:t>,</w:t>
      </w:r>
      <w:r w:rsidR="00E17136" w:rsidRPr="00E17136">
        <w:rPr>
          <w:rFonts w:ascii="Verdana" w:hAnsi="Verdana"/>
          <w:sz w:val="20"/>
          <w:szCs w:val="20"/>
        </w:rPr>
        <w:t>85 (yıllık %11</w:t>
      </w:r>
      <w:r w:rsidR="00E17136">
        <w:rPr>
          <w:rFonts w:ascii="Verdana" w:hAnsi="Verdana"/>
          <w:sz w:val="20"/>
          <w:szCs w:val="20"/>
        </w:rPr>
        <w:t>,</w:t>
      </w:r>
      <w:r w:rsidR="00E17136" w:rsidRPr="00BA50D6">
        <w:rPr>
          <w:rFonts w:ascii="Verdana" w:hAnsi="Verdana"/>
          <w:sz w:val="20"/>
          <w:szCs w:val="20"/>
        </w:rPr>
        <w:t xml:space="preserve">49) oranında;  Türkiye Kiralık Konut Fiyat Endeksi’nde (TR-81) ise </w:t>
      </w:r>
      <w:r w:rsidR="00E17136" w:rsidRPr="00E17136">
        <w:rPr>
          <w:rFonts w:ascii="Verdana" w:hAnsi="Verdana"/>
          <w:sz w:val="20"/>
          <w:szCs w:val="20"/>
        </w:rPr>
        <w:t>aynı dönemde aylık %0</w:t>
      </w:r>
      <w:r w:rsidR="00E17136">
        <w:rPr>
          <w:rFonts w:ascii="Verdana" w:hAnsi="Verdana"/>
          <w:sz w:val="20"/>
          <w:szCs w:val="20"/>
        </w:rPr>
        <w:t>,</w:t>
      </w:r>
      <w:r w:rsidR="00E17136" w:rsidRPr="00E17136">
        <w:rPr>
          <w:rFonts w:ascii="Verdana" w:hAnsi="Verdana"/>
          <w:sz w:val="20"/>
          <w:szCs w:val="20"/>
        </w:rPr>
        <w:t>24 (yıllık %7</w:t>
      </w:r>
      <w:r w:rsidR="00E17136">
        <w:rPr>
          <w:rFonts w:ascii="Verdana" w:hAnsi="Verdana"/>
          <w:sz w:val="20"/>
          <w:szCs w:val="20"/>
        </w:rPr>
        <w:t>,</w:t>
      </w:r>
      <w:r w:rsidR="00E17136" w:rsidRPr="00BA50D6">
        <w:rPr>
          <w:rFonts w:ascii="Verdana" w:hAnsi="Verdana"/>
          <w:sz w:val="20"/>
          <w:szCs w:val="20"/>
        </w:rPr>
        <w:t>57) oranında art</w:t>
      </w:r>
      <w:r w:rsidR="00E17136" w:rsidRPr="00E17136">
        <w:rPr>
          <w:rFonts w:ascii="Verdana" w:hAnsi="Verdana"/>
          <w:sz w:val="20"/>
          <w:szCs w:val="20"/>
        </w:rPr>
        <w:t xml:space="preserve">ış gerçekleşti. Diğer taraftan </w:t>
      </w:r>
      <w:r w:rsidR="00E17136">
        <w:rPr>
          <w:rFonts w:ascii="Verdana" w:hAnsi="Verdana"/>
          <w:sz w:val="20"/>
          <w:szCs w:val="20"/>
        </w:rPr>
        <w:t>ş</w:t>
      </w:r>
      <w:r w:rsidR="00E17136" w:rsidRPr="00BA50D6">
        <w:rPr>
          <w:rFonts w:ascii="Verdana" w:hAnsi="Verdana"/>
          <w:sz w:val="20"/>
          <w:szCs w:val="20"/>
        </w:rPr>
        <w:t>ubat ayı TÜFE değeri ise %0,73 (yıllık %10,26) şeklinde açıklandı. Rakamları okuduğumuzda son aylarda ortaya çıkan enflasyon ölçeğindeki artış trendi aslında piyasanın normalleşme sürecini ifade ediyor. Bunun da sağlıklı bir piyasa gelişim sürecini ortaya koyduğunu söyleyebiliriz.”</w:t>
      </w:r>
    </w:p>
    <w:p w14:paraId="4B131459" w14:textId="77777777" w:rsidR="00D06E62" w:rsidRDefault="00D06E62" w:rsidP="00EB736C">
      <w:pPr>
        <w:spacing w:line="360" w:lineRule="auto"/>
        <w:contextualSpacing/>
        <w:jc w:val="both"/>
        <w:rPr>
          <w:rFonts w:ascii="Verdana" w:hAnsi="Verdana"/>
          <w:sz w:val="20"/>
          <w:szCs w:val="20"/>
        </w:rPr>
      </w:pPr>
    </w:p>
    <w:p w14:paraId="315AEB07" w14:textId="77777777" w:rsidR="0099713B" w:rsidRDefault="0099713B" w:rsidP="00F25758">
      <w:pPr>
        <w:spacing w:line="360" w:lineRule="auto"/>
        <w:contextualSpacing/>
        <w:jc w:val="both"/>
        <w:outlineLvl w:val="0"/>
        <w:rPr>
          <w:rFonts w:ascii="Verdana" w:hAnsi="Verdana"/>
          <w:b/>
          <w:bCs/>
          <w:sz w:val="20"/>
          <w:szCs w:val="20"/>
        </w:rPr>
      </w:pPr>
    </w:p>
    <w:p w14:paraId="6E257B60" w14:textId="7E66F5F2" w:rsidR="00EB736C" w:rsidRPr="00EB736C" w:rsidRDefault="00D31A12" w:rsidP="00F25758">
      <w:pPr>
        <w:spacing w:line="360" w:lineRule="auto"/>
        <w:contextualSpacing/>
        <w:jc w:val="both"/>
        <w:outlineLvl w:val="0"/>
        <w:rPr>
          <w:rFonts w:ascii="Verdana" w:hAnsi="Verdana"/>
          <w:b/>
          <w:bCs/>
          <w:sz w:val="20"/>
          <w:szCs w:val="20"/>
        </w:rPr>
      </w:pPr>
      <w:r>
        <w:rPr>
          <w:rFonts w:ascii="Verdana" w:hAnsi="Verdana"/>
          <w:b/>
          <w:bCs/>
          <w:sz w:val="20"/>
          <w:szCs w:val="20"/>
        </w:rPr>
        <w:lastRenderedPageBreak/>
        <w:t xml:space="preserve">Asya Yakası’ndaki projeler 12 </w:t>
      </w:r>
      <w:r w:rsidR="00F25644">
        <w:rPr>
          <w:rFonts w:ascii="Verdana" w:hAnsi="Verdana"/>
          <w:b/>
          <w:bCs/>
          <w:sz w:val="20"/>
          <w:szCs w:val="20"/>
        </w:rPr>
        <w:t xml:space="preserve">puan </w:t>
      </w:r>
      <w:r>
        <w:rPr>
          <w:rFonts w:ascii="Verdana" w:hAnsi="Verdana"/>
          <w:b/>
          <w:bCs/>
          <w:sz w:val="20"/>
          <w:szCs w:val="20"/>
        </w:rPr>
        <w:t>daha fazla artış gösterdi</w:t>
      </w:r>
    </w:p>
    <w:p w14:paraId="2EFB0B09" w14:textId="1A23D5DE" w:rsidR="00A52F67" w:rsidRDefault="008F46CF" w:rsidP="008F46CF">
      <w:pPr>
        <w:spacing w:line="360" w:lineRule="auto"/>
        <w:contextualSpacing/>
        <w:jc w:val="both"/>
        <w:rPr>
          <w:rFonts w:ascii="Verdana" w:hAnsi="Verdana"/>
          <w:sz w:val="20"/>
          <w:szCs w:val="20"/>
        </w:rPr>
      </w:pPr>
      <w:r>
        <w:rPr>
          <w:rFonts w:ascii="Verdana" w:hAnsi="Verdana"/>
          <w:sz w:val="20"/>
          <w:szCs w:val="20"/>
        </w:rPr>
        <w:t>Yeni Konut Fiyat Endeksi, ş</w:t>
      </w:r>
      <w:r w:rsidRPr="008F46CF">
        <w:rPr>
          <w:rFonts w:ascii="Verdana" w:hAnsi="Verdana"/>
          <w:sz w:val="20"/>
          <w:szCs w:val="20"/>
        </w:rPr>
        <w:t>ubat ayında bir önceki aya göre, İstanbul</w:t>
      </w:r>
      <w:r>
        <w:rPr>
          <w:rFonts w:ascii="Verdana" w:hAnsi="Verdana"/>
          <w:sz w:val="20"/>
          <w:szCs w:val="20"/>
        </w:rPr>
        <w:t xml:space="preserve"> </w:t>
      </w:r>
      <w:r w:rsidRPr="008F46CF">
        <w:rPr>
          <w:rFonts w:ascii="Verdana" w:hAnsi="Verdana"/>
          <w:sz w:val="20"/>
          <w:szCs w:val="20"/>
        </w:rPr>
        <w:t>Asya Yakası’nda yer ala</w:t>
      </w:r>
      <w:r>
        <w:rPr>
          <w:rFonts w:ascii="Verdana" w:hAnsi="Verdana"/>
          <w:sz w:val="20"/>
          <w:szCs w:val="20"/>
        </w:rPr>
        <w:t>n markalı konut projelerinde %0,</w:t>
      </w:r>
      <w:r w:rsidRPr="008F46CF">
        <w:rPr>
          <w:rFonts w:ascii="Verdana" w:hAnsi="Verdana"/>
          <w:sz w:val="20"/>
          <w:szCs w:val="20"/>
        </w:rPr>
        <w:t>37 oranında;</w:t>
      </w:r>
      <w:r>
        <w:rPr>
          <w:rFonts w:ascii="Verdana" w:hAnsi="Verdana"/>
          <w:sz w:val="20"/>
          <w:szCs w:val="20"/>
        </w:rPr>
        <w:t xml:space="preserve"> </w:t>
      </w:r>
      <w:r w:rsidRPr="008F46CF">
        <w:rPr>
          <w:rFonts w:ascii="Verdana" w:hAnsi="Verdana"/>
          <w:sz w:val="20"/>
          <w:szCs w:val="20"/>
        </w:rPr>
        <w:t xml:space="preserve">İstanbul Avrupa Yakası’nda yer alan markalı konut </w:t>
      </w:r>
      <w:r>
        <w:rPr>
          <w:rFonts w:ascii="Verdana" w:hAnsi="Verdana"/>
          <w:sz w:val="20"/>
          <w:szCs w:val="20"/>
        </w:rPr>
        <w:t>projelerinde %0,</w:t>
      </w:r>
      <w:r w:rsidRPr="008F46CF">
        <w:rPr>
          <w:rFonts w:ascii="Verdana" w:hAnsi="Verdana"/>
          <w:sz w:val="20"/>
          <w:szCs w:val="20"/>
        </w:rPr>
        <w:t>11</w:t>
      </w:r>
      <w:r>
        <w:rPr>
          <w:rFonts w:ascii="Verdana" w:hAnsi="Verdana"/>
          <w:sz w:val="20"/>
          <w:szCs w:val="20"/>
        </w:rPr>
        <w:t xml:space="preserve"> </w:t>
      </w:r>
      <w:r w:rsidRPr="008F46CF">
        <w:rPr>
          <w:rFonts w:ascii="Verdana" w:hAnsi="Verdana"/>
          <w:sz w:val="20"/>
          <w:szCs w:val="20"/>
        </w:rPr>
        <w:t xml:space="preserve">oranında </w:t>
      </w:r>
      <w:r>
        <w:rPr>
          <w:rFonts w:ascii="Verdana" w:hAnsi="Verdana"/>
          <w:sz w:val="20"/>
          <w:szCs w:val="20"/>
        </w:rPr>
        <w:t>arttı</w:t>
      </w:r>
      <w:r w:rsidRPr="008F46CF">
        <w:rPr>
          <w:rFonts w:ascii="Verdana" w:hAnsi="Verdana"/>
          <w:sz w:val="20"/>
          <w:szCs w:val="20"/>
        </w:rPr>
        <w:t>. Endeksin başlangıç dönemine göre ise İstanbul</w:t>
      </w:r>
      <w:r>
        <w:rPr>
          <w:rFonts w:ascii="Verdana" w:hAnsi="Verdana"/>
          <w:sz w:val="20"/>
          <w:szCs w:val="20"/>
        </w:rPr>
        <w:t xml:space="preserve"> </w:t>
      </w:r>
      <w:r w:rsidRPr="008F46CF">
        <w:rPr>
          <w:rFonts w:ascii="Verdana" w:hAnsi="Verdana"/>
          <w:sz w:val="20"/>
          <w:szCs w:val="20"/>
        </w:rPr>
        <w:t>Asya Yakası’ndaki proje</w:t>
      </w:r>
      <w:r>
        <w:rPr>
          <w:rFonts w:ascii="Verdana" w:hAnsi="Verdana"/>
          <w:sz w:val="20"/>
          <w:szCs w:val="20"/>
        </w:rPr>
        <w:t>ler Avrupa Yakası’na kıyasla 12,</w:t>
      </w:r>
      <w:r w:rsidRPr="008F46CF">
        <w:rPr>
          <w:rFonts w:ascii="Verdana" w:hAnsi="Verdana"/>
          <w:sz w:val="20"/>
          <w:szCs w:val="20"/>
        </w:rPr>
        <w:t xml:space="preserve">00 puan </w:t>
      </w:r>
      <w:r>
        <w:rPr>
          <w:rFonts w:ascii="Verdana" w:hAnsi="Verdana"/>
          <w:sz w:val="20"/>
          <w:szCs w:val="20"/>
        </w:rPr>
        <w:t xml:space="preserve">daha </w:t>
      </w:r>
      <w:r w:rsidRPr="008F46CF">
        <w:rPr>
          <w:rFonts w:ascii="Verdana" w:hAnsi="Verdana"/>
          <w:sz w:val="20"/>
          <w:szCs w:val="20"/>
        </w:rPr>
        <w:t>fazla</w:t>
      </w:r>
      <w:r>
        <w:rPr>
          <w:rFonts w:ascii="Verdana" w:hAnsi="Verdana"/>
          <w:sz w:val="20"/>
          <w:szCs w:val="20"/>
        </w:rPr>
        <w:t xml:space="preserve"> </w:t>
      </w:r>
      <w:r w:rsidRPr="008F46CF">
        <w:rPr>
          <w:rFonts w:ascii="Verdana" w:hAnsi="Verdana"/>
          <w:sz w:val="20"/>
          <w:szCs w:val="20"/>
        </w:rPr>
        <w:t>artış göster</w:t>
      </w:r>
      <w:r>
        <w:rPr>
          <w:rFonts w:ascii="Verdana" w:hAnsi="Verdana"/>
          <w:sz w:val="20"/>
          <w:szCs w:val="20"/>
        </w:rPr>
        <w:t>di</w:t>
      </w:r>
      <w:r w:rsidRPr="008F46CF">
        <w:rPr>
          <w:rFonts w:ascii="Verdana" w:hAnsi="Verdana"/>
          <w:sz w:val="20"/>
          <w:szCs w:val="20"/>
        </w:rPr>
        <w:t>.</w:t>
      </w:r>
    </w:p>
    <w:p w14:paraId="75F12CD2" w14:textId="77777777" w:rsidR="00EB736C" w:rsidRPr="00E77729" w:rsidRDefault="00EB736C" w:rsidP="00EE1151">
      <w:pPr>
        <w:spacing w:line="360" w:lineRule="auto"/>
        <w:contextualSpacing/>
        <w:jc w:val="both"/>
        <w:rPr>
          <w:rFonts w:ascii="Verdana" w:hAnsi="Verdana"/>
          <w:color w:val="808080" w:themeColor="background1" w:themeShade="80"/>
          <w:sz w:val="20"/>
          <w:szCs w:val="20"/>
        </w:rPr>
      </w:pPr>
    </w:p>
    <w:p w14:paraId="4051589E" w14:textId="424E5B72" w:rsidR="00A52F67" w:rsidRPr="00745527" w:rsidRDefault="002F7624" w:rsidP="00F25758">
      <w:pPr>
        <w:spacing w:line="360" w:lineRule="auto"/>
        <w:contextualSpacing/>
        <w:jc w:val="both"/>
        <w:outlineLvl w:val="0"/>
        <w:rPr>
          <w:rFonts w:ascii="Verdana" w:hAnsi="Verdana"/>
          <w:b/>
          <w:bCs/>
          <w:sz w:val="20"/>
          <w:szCs w:val="20"/>
        </w:rPr>
      </w:pPr>
      <w:r>
        <w:rPr>
          <w:rFonts w:ascii="Verdana" w:hAnsi="Verdana"/>
          <w:b/>
          <w:bCs/>
          <w:sz w:val="20"/>
          <w:szCs w:val="20"/>
        </w:rPr>
        <w:t>Peşinat</w:t>
      </w:r>
      <w:r w:rsidR="00A52F67" w:rsidRPr="00745527">
        <w:rPr>
          <w:rFonts w:ascii="Verdana" w:hAnsi="Verdana"/>
          <w:b/>
          <w:bCs/>
          <w:sz w:val="20"/>
          <w:szCs w:val="20"/>
        </w:rPr>
        <w:t xml:space="preserve"> kullanım oranı </w:t>
      </w:r>
      <w:r>
        <w:rPr>
          <w:rFonts w:ascii="Verdana" w:hAnsi="Verdana"/>
          <w:b/>
          <w:bCs/>
          <w:sz w:val="20"/>
          <w:szCs w:val="20"/>
        </w:rPr>
        <w:t>artmaya devam ediyor</w:t>
      </w:r>
      <w:r w:rsidR="00A52F67" w:rsidRPr="00745527">
        <w:rPr>
          <w:rFonts w:ascii="Verdana" w:hAnsi="Verdana"/>
          <w:b/>
          <w:bCs/>
          <w:sz w:val="20"/>
          <w:szCs w:val="20"/>
        </w:rPr>
        <w:t>: %3</w:t>
      </w:r>
      <w:r>
        <w:rPr>
          <w:rFonts w:ascii="Verdana" w:hAnsi="Verdana"/>
          <w:b/>
          <w:bCs/>
          <w:sz w:val="20"/>
          <w:szCs w:val="20"/>
        </w:rPr>
        <w:t>9</w:t>
      </w:r>
    </w:p>
    <w:p w14:paraId="0BC187A2" w14:textId="058BA1F0" w:rsidR="00745527" w:rsidRDefault="00745527" w:rsidP="00745527">
      <w:pPr>
        <w:spacing w:line="360" w:lineRule="auto"/>
        <w:contextualSpacing/>
        <w:jc w:val="both"/>
        <w:rPr>
          <w:rFonts w:ascii="Verdana" w:hAnsi="Verdana"/>
          <w:color w:val="808080" w:themeColor="background1" w:themeShade="80"/>
          <w:sz w:val="20"/>
          <w:szCs w:val="20"/>
        </w:rPr>
      </w:pPr>
      <w:r w:rsidRPr="00745527">
        <w:rPr>
          <w:rFonts w:ascii="Verdana" w:hAnsi="Verdana"/>
          <w:sz w:val="20"/>
          <w:szCs w:val="20"/>
        </w:rPr>
        <w:t xml:space="preserve">Markalı projelerden konut satın alan müşterilerin peşinat, senet ve banka kredisi kullanım oranları incelendiğinde, </w:t>
      </w:r>
      <w:r w:rsidR="008F46CF">
        <w:rPr>
          <w:rFonts w:ascii="Verdana" w:hAnsi="Verdana"/>
          <w:sz w:val="20"/>
          <w:szCs w:val="20"/>
        </w:rPr>
        <w:t>şubat</w:t>
      </w:r>
      <w:r w:rsidR="008F46CF" w:rsidRPr="00745527">
        <w:rPr>
          <w:rFonts w:ascii="Verdana" w:hAnsi="Verdana"/>
          <w:sz w:val="20"/>
          <w:szCs w:val="20"/>
        </w:rPr>
        <w:t xml:space="preserve"> </w:t>
      </w:r>
      <w:r w:rsidRPr="00745527">
        <w:rPr>
          <w:rFonts w:ascii="Verdana" w:hAnsi="Verdana"/>
          <w:sz w:val="20"/>
          <w:szCs w:val="20"/>
        </w:rPr>
        <w:t>ayında peşinat kullanım oranı %3</w:t>
      </w:r>
      <w:r w:rsidR="008F46CF">
        <w:rPr>
          <w:rFonts w:ascii="Verdana" w:hAnsi="Verdana"/>
          <w:sz w:val="20"/>
          <w:szCs w:val="20"/>
        </w:rPr>
        <w:t>9</w:t>
      </w:r>
      <w:r w:rsidRPr="00745527">
        <w:rPr>
          <w:rFonts w:ascii="Verdana" w:hAnsi="Verdana"/>
          <w:sz w:val="20"/>
          <w:szCs w:val="20"/>
        </w:rPr>
        <w:t>, banka kredisi kullanım oranı %3</w:t>
      </w:r>
      <w:r w:rsidR="008F46CF">
        <w:rPr>
          <w:rFonts w:ascii="Verdana" w:hAnsi="Verdana"/>
          <w:sz w:val="20"/>
          <w:szCs w:val="20"/>
        </w:rPr>
        <w:t>1</w:t>
      </w:r>
      <w:r w:rsidRPr="00745527">
        <w:rPr>
          <w:rFonts w:ascii="Verdana" w:hAnsi="Verdana"/>
          <w:sz w:val="20"/>
          <w:szCs w:val="20"/>
        </w:rPr>
        <w:t xml:space="preserve"> ve senet kullanım oranı %3</w:t>
      </w:r>
      <w:r w:rsidR="008F46CF">
        <w:rPr>
          <w:rFonts w:ascii="Verdana" w:hAnsi="Verdana"/>
          <w:sz w:val="20"/>
          <w:szCs w:val="20"/>
        </w:rPr>
        <w:t>0</w:t>
      </w:r>
      <w:r w:rsidRPr="00745527">
        <w:rPr>
          <w:rFonts w:ascii="Verdana" w:hAnsi="Verdana"/>
          <w:sz w:val="20"/>
          <w:szCs w:val="20"/>
        </w:rPr>
        <w:t xml:space="preserve"> olarak gerçekleş</w:t>
      </w:r>
      <w:r w:rsidR="008F46CF">
        <w:rPr>
          <w:rFonts w:ascii="Verdana" w:hAnsi="Verdana"/>
          <w:sz w:val="20"/>
          <w:szCs w:val="20"/>
        </w:rPr>
        <w:t>ti</w:t>
      </w:r>
      <w:r w:rsidRPr="00745527">
        <w:rPr>
          <w:rFonts w:ascii="Verdana" w:hAnsi="Verdana"/>
          <w:sz w:val="20"/>
          <w:szCs w:val="20"/>
        </w:rPr>
        <w:t>.</w:t>
      </w:r>
      <w:r>
        <w:rPr>
          <w:rFonts w:ascii="Verdana" w:hAnsi="Verdana"/>
          <w:sz w:val="20"/>
          <w:szCs w:val="20"/>
        </w:rPr>
        <w:t xml:space="preserve"> </w:t>
      </w:r>
      <w:r w:rsidR="008F46CF">
        <w:rPr>
          <w:rFonts w:ascii="Verdana" w:hAnsi="Verdana"/>
          <w:sz w:val="20"/>
          <w:szCs w:val="20"/>
        </w:rPr>
        <w:t>Şubat</w:t>
      </w:r>
      <w:r w:rsidR="008F46CF" w:rsidRPr="00745527">
        <w:rPr>
          <w:rFonts w:ascii="Verdana" w:hAnsi="Verdana"/>
          <w:sz w:val="20"/>
          <w:szCs w:val="20"/>
        </w:rPr>
        <w:t xml:space="preserve"> </w:t>
      </w:r>
      <w:r w:rsidRPr="00745527">
        <w:rPr>
          <w:rFonts w:ascii="Verdana" w:hAnsi="Verdana"/>
          <w:sz w:val="20"/>
          <w:szCs w:val="20"/>
        </w:rPr>
        <w:t xml:space="preserve">ayında peşinat kullanım oranı </w:t>
      </w:r>
      <w:r w:rsidR="008F46CF">
        <w:rPr>
          <w:rFonts w:ascii="Verdana" w:hAnsi="Verdana"/>
          <w:sz w:val="20"/>
          <w:szCs w:val="20"/>
        </w:rPr>
        <w:t>ocak</w:t>
      </w:r>
      <w:r w:rsidR="008F46CF" w:rsidRPr="00745527">
        <w:rPr>
          <w:rFonts w:ascii="Verdana" w:hAnsi="Verdana"/>
          <w:sz w:val="20"/>
          <w:szCs w:val="20"/>
        </w:rPr>
        <w:t xml:space="preserve"> </w:t>
      </w:r>
      <w:r w:rsidRPr="00745527">
        <w:rPr>
          <w:rFonts w:ascii="Verdana" w:hAnsi="Verdana"/>
          <w:sz w:val="20"/>
          <w:szCs w:val="20"/>
        </w:rPr>
        <w:t xml:space="preserve">ayına göre </w:t>
      </w:r>
      <w:r w:rsidR="002F7624">
        <w:rPr>
          <w:rFonts w:ascii="Verdana" w:hAnsi="Verdana"/>
          <w:sz w:val="20"/>
          <w:szCs w:val="20"/>
        </w:rPr>
        <w:t>5</w:t>
      </w:r>
      <w:r w:rsidRPr="00745527">
        <w:rPr>
          <w:rFonts w:ascii="Verdana" w:hAnsi="Verdana"/>
          <w:sz w:val="20"/>
          <w:szCs w:val="20"/>
        </w:rPr>
        <w:t xml:space="preserve"> puan artarken, banka kredisi kullanım oranı </w:t>
      </w:r>
      <w:r w:rsidR="002F7624">
        <w:rPr>
          <w:rFonts w:ascii="Verdana" w:hAnsi="Verdana"/>
          <w:sz w:val="20"/>
          <w:szCs w:val="20"/>
        </w:rPr>
        <w:t>1</w:t>
      </w:r>
      <w:r w:rsidRPr="00745527">
        <w:rPr>
          <w:rFonts w:ascii="Verdana" w:hAnsi="Verdana"/>
          <w:sz w:val="20"/>
          <w:szCs w:val="20"/>
        </w:rPr>
        <w:t xml:space="preserve"> puan </w:t>
      </w:r>
      <w:r w:rsidR="002F7624">
        <w:rPr>
          <w:rFonts w:ascii="Verdana" w:hAnsi="Verdana"/>
          <w:sz w:val="20"/>
          <w:szCs w:val="20"/>
        </w:rPr>
        <w:t>arttı</w:t>
      </w:r>
      <w:r w:rsidR="002F7624" w:rsidRPr="00745527">
        <w:rPr>
          <w:rFonts w:ascii="Verdana" w:hAnsi="Verdana"/>
          <w:sz w:val="20"/>
          <w:szCs w:val="20"/>
        </w:rPr>
        <w:t xml:space="preserve"> </w:t>
      </w:r>
      <w:r w:rsidRPr="00745527">
        <w:rPr>
          <w:rFonts w:ascii="Verdana" w:hAnsi="Verdana"/>
          <w:sz w:val="20"/>
          <w:szCs w:val="20"/>
        </w:rPr>
        <w:t xml:space="preserve">ve senet kullanım oranı ise </w:t>
      </w:r>
      <w:r w:rsidR="002F7624">
        <w:rPr>
          <w:rFonts w:ascii="Verdana" w:hAnsi="Verdana"/>
          <w:sz w:val="20"/>
          <w:szCs w:val="20"/>
        </w:rPr>
        <w:t xml:space="preserve">6 </w:t>
      </w:r>
      <w:r w:rsidRPr="00745527">
        <w:rPr>
          <w:rFonts w:ascii="Verdana" w:hAnsi="Verdana"/>
          <w:sz w:val="20"/>
          <w:szCs w:val="20"/>
        </w:rPr>
        <w:t xml:space="preserve">puan </w:t>
      </w:r>
      <w:r w:rsidR="002F7624">
        <w:rPr>
          <w:rFonts w:ascii="Verdana" w:hAnsi="Verdana"/>
          <w:sz w:val="20"/>
          <w:szCs w:val="20"/>
        </w:rPr>
        <w:t>düştü</w:t>
      </w:r>
      <w:r w:rsidRPr="00745527">
        <w:rPr>
          <w:rFonts w:ascii="Verdana" w:hAnsi="Verdana"/>
          <w:sz w:val="20"/>
          <w:szCs w:val="20"/>
        </w:rPr>
        <w:t>.</w:t>
      </w:r>
      <w:r w:rsidRPr="00E77729">
        <w:rPr>
          <w:rFonts w:ascii="Verdana" w:hAnsi="Verdana"/>
          <w:color w:val="808080" w:themeColor="background1" w:themeShade="80"/>
          <w:sz w:val="20"/>
          <w:szCs w:val="20"/>
        </w:rPr>
        <w:t xml:space="preserve">  </w:t>
      </w:r>
    </w:p>
    <w:p w14:paraId="1A7D0A5A" w14:textId="77777777" w:rsidR="00A52F67" w:rsidRPr="00E77729" w:rsidRDefault="00A52F67" w:rsidP="00EE1151">
      <w:pPr>
        <w:spacing w:line="360" w:lineRule="auto"/>
        <w:contextualSpacing/>
        <w:jc w:val="both"/>
        <w:rPr>
          <w:rFonts w:ascii="Verdana" w:hAnsi="Verdana"/>
          <w:color w:val="808080" w:themeColor="background1" w:themeShade="80"/>
          <w:sz w:val="20"/>
          <w:szCs w:val="20"/>
        </w:rPr>
      </w:pPr>
    </w:p>
    <w:p w14:paraId="6E4517A3" w14:textId="45746C15" w:rsidR="002F7624" w:rsidRPr="001B2AAE" w:rsidRDefault="001B2AAE" w:rsidP="00F25758">
      <w:pPr>
        <w:spacing w:line="360" w:lineRule="auto"/>
        <w:contextualSpacing/>
        <w:jc w:val="both"/>
        <w:outlineLvl w:val="0"/>
        <w:rPr>
          <w:rFonts w:ascii="Verdana" w:hAnsi="Verdana"/>
          <w:b/>
          <w:bCs/>
          <w:sz w:val="20"/>
          <w:szCs w:val="20"/>
        </w:rPr>
      </w:pPr>
      <w:r w:rsidRPr="001B2AAE">
        <w:rPr>
          <w:rFonts w:ascii="Verdana" w:hAnsi="Verdana"/>
          <w:b/>
          <w:bCs/>
          <w:sz w:val="20"/>
          <w:szCs w:val="20"/>
        </w:rPr>
        <w:t xml:space="preserve">Bitmemiş konutların satış oranı 8 puan </w:t>
      </w:r>
      <w:r w:rsidR="008F7F09">
        <w:rPr>
          <w:rFonts w:ascii="Verdana" w:hAnsi="Verdana"/>
          <w:b/>
          <w:bCs/>
          <w:sz w:val="20"/>
          <w:szCs w:val="20"/>
        </w:rPr>
        <w:t>arttı</w:t>
      </w:r>
    </w:p>
    <w:p w14:paraId="69067680" w14:textId="4F0EEB39" w:rsidR="00A52F67" w:rsidRPr="001B2AAE" w:rsidRDefault="002F7624" w:rsidP="001B2AAE">
      <w:pPr>
        <w:spacing w:line="360" w:lineRule="auto"/>
        <w:contextualSpacing/>
        <w:jc w:val="both"/>
        <w:rPr>
          <w:rFonts w:ascii="Verdana" w:hAnsi="Verdana"/>
          <w:sz w:val="20"/>
          <w:szCs w:val="20"/>
        </w:rPr>
      </w:pPr>
      <w:r>
        <w:rPr>
          <w:rFonts w:ascii="Verdana" w:hAnsi="Verdana"/>
          <w:sz w:val="20"/>
          <w:szCs w:val="20"/>
        </w:rPr>
        <w:t>Şubat</w:t>
      </w:r>
      <w:r w:rsidRPr="00052CED">
        <w:rPr>
          <w:rFonts w:ascii="Verdana" w:hAnsi="Verdana"/>
          <w:sz w:val="20"/>
          <w:szCs w:val="20"/>
        </w:rPr>
        <w:t xml:space="preserve"> </w:t>
      </w:r>
      <w:r w:rsidR="00052CED" w:rsidRPr="00052CED">
        <w:rPr>
          <w:rFonts w:ascii="Verdana" w:hAnsi="Verdana"/>
          <w:sz w:val="20"/>
          <w:szCs w:val="20"/>
        </w:rPr>
        <w:t>ayında satışı gerçekleştirilen konutların %</w:t>
      </w:r>
      <w:r>
        <w:rPr>
          <w:rFonts w:ascii="Verdana" w:hAnsi="Verdana"/>
          <w:sz w:val="20"/>
          <w:szCs w:val="20"/>
        </w:rPr>
        <w:t>18</w:t>
      </w:r>
      <w:r w:rsidR="00052CED" w:rsidRPr="00052CED">
        <w:rPr>
          <w:rFonts w:ascii="Verdana" w:hAnsi="Verdana"/>
          <w:sz w:val="20"/>
          <w:szCs w:val="20"/>
        </w:rPr>
        <w:t>’</w:t>
      </w:r>
      <w:r>
        <w:rPr>
          <w:rFonts w:ascii="Verdana" w:hAnsi="Verdana"/>
          <w:sz w:val="20"/>
          <w:szCs w:val="20"/>
        </w:rPr>
        <w:t>i</w:t>
      </w:r>
      <w:r w:rsidR="00052CED" w:rsidRPr="00052CED">
        <w:rPr>
          <w:rFonts w:ascii="Verdana" w:hAnsi="Verdana"/>
          <w:sz w:val="20"/>
          <w:szCs w:val="20"/>
        </w:rPr>
        <w:t xml:space="preserve"> bitmiş, %</w:t>
      </w:r>
      <w:r>
        <w:rPr>
          <w:rFonts w:ascii="Verdana" w:hAnsi="Verdana"/>
          <w:sz w:val="20"/>
          <w:szCs w:val="20"/>
        </w:rPr>
        <w:t>82’si</w:t>
      </w:r>
      <w:r w:rsidRPr="00052CED">
        <w:rPr>
          <w:rFonts w:ascii="Verdana" w:hAnsi="Verdana"/>
          <w:sz w:val="20"/>
          <w:szCs w:val="20"/>
        </w:rPr>
        <w:t xml:space="preserve"> </w:t>
      </w:r>
      <w:r w:rsidR="00052CED" w:rsidRPr="00052CED">
        <w:rPr>
          <w:rFonts w:ascii="Verdana" w:hAnsi="Verdana"/>
          <w:sz w:val="20"/>
          <w:szCs w:val="20"/>
        </w:rPr>
        <w:t>ise bitmemiş konut stoklarından oluş</w:t>
      </w:r>
      <w:r w:rsidR="00052CED">
        <w:rPr>
          <w:rFonts w:ascii="Verdana" w:hAnsi="Verdana"/>
          <w:sz w:val="20"/>
          <w:szCs w:val="20"/>
        </w:rPr>
        <w:t>tu</w:t>
      </w:r>
      <w:r w:rsidR="00052CED" w:rsidRPr="00052CED">
        <w:rPr>
          <w:rFonts w:ascii="Verdana" w:hAnsi="Verdana"/>
          <w:sz w:val="20"/>
          <w:szCs w:val="20"/>
        </w:rPr>
        <w:t>.</w:t>
      </w:r>
      <w:r w:rsidR="00052CED">
        <w:rPr>
          <w:rFonts w:ascii="Verdana" w:hAnsi="Verdana"/>
          <w:sz w:val="20"/>
          <w:szCs w:val="20"/>
        </w:rPr>
        <w:t xml:space="preserve"> </w:t>
      </w:r>
      <w:r w:rsidR="001B2AAE" w:rsidRPr="001B2AAE">
        <w:rPr>
          <w:rFonts w:ascii="Verdana" w:hAnsi="Verdana"/>
          <w:sz w:val="20"/>
          <w:szCs w:val="20"/>
        </w:rPr>
        <w:t xml:space="preserve">Bitmemiş konutların satış oranında 8 puanlık bir </w:t>
      </w:r>
      <w:r>
        <w:rPr>
          <w:rFonts w:ascii="Verdana" w:hAnsi="Verdana"/>
          <w:sz w:val="20"/>
          <w:szCs w:val="20"/>
        </w:rPr>
        <w:t>artış</w:t>
      </w:r>
      <w:r w:rsidRPr="001B2AAE">
        <w:rPr>
          <w:rFonts w:ascii="Verdana" w:hAnsi="Verdana"/>
          <w:sz w:val="20"/>
          <w:szCs w:val="20"/>
        </w:rPr>
        <w:t xml:space="preserve"> </w:t>
      </w:r>
      <w:r w:rsidR="001B2AAE" w:rsidRPr="001B2AAE">
        <w:rPr>
          <w:rFonts w:ascii="Verdana" w:hAnsi="Verdana"/>
          <w:sz w:val="20"/>
          <w:szCs w:val="20"/>
        </w:rPr>
        <w:t xml:space="preserve">yaşandı. </w:t>
      </w:r>
      <w:r w:rsidR="00052CED">
        <w:rPr>
          <w:rFonts w:ascii="Verdana" w:hAnsi="Verdana"/>
          <w:sz w:val="20"/>
          <w:szCs w:val="20"/>
        </w:rPr>
        <w:t>Ayrıca</w:t>
      </w:r>
      <w:r w:rsidR="00052CED" w:rsidRPr="00052CED">
        <w:rPr>
          <w:rFonts w:ascii="Verdana" w:hAnsi="Verdana"/>
          <w:sz w:val="20"/>
          <w:szCs w:val="20"/>
        </w:rPr>
        <w:t xml:space="preserve"> </w:t>
      </w:r>
      <w:r>
        <w:rPr>
          <w:rFonts w:ascii="Verdana" w:hAnsi="Verdana"/>
          <w:sz w:val="20"/>
          <w:szCs w:val="20"/>
        </w:rPr>
        <w:t>şubat</w:t>
      </w:r>
      <w:r w:rsidRPr="00052CED">
        <w:rPr>
          <w:rFonts w:ascii="Verdana" w:hAnsi="Verdana"/>
          <w:sz w:val="20"/>
          <w:szCs w:val="20"/>
        </w:rPr>
        <w:t xml:space="preserve"> </w:t>
      </w:r>
      <w:r w:rsidR="00052CED" w:rsidRPr="00052CED">
        <w:rPr>
          <w:rFonts w:ascii="Verdana" w:hAnsi="Verdana"/>
          <w:sz w:val="20"/>
          <w:szCs w:val="20"/>
        </w:rPr>
        <w:t>ayı</w:t>
      </w:r>
      <w:r w:rsidR="00052CED">
        <w:rPr>
          <w:rFonts w:ascii="Verdana" w:hAnsi="Verdana"/>
          <w:sz w:val="20"/>
          <w:szCs w:val="20"/>
        </w:rPr>
        <w:t xml:space="preserve">nda </w:t>
      </w:r>
      <w:r w:rsidR="00052CED" w:rsidRPr="00052CED">
        <w:rPr>
          <w:rFonts w:ascii="Verdana" w:hAnsi="Verdana"/>
          <w:sz w:val="20"/>
          <w:szCs w:val="20"/>
        </w:rPr>
        <w:t>adet bazlı %</w:t>
      </w:r>
      <w:r>
        <w:rPr>
          <w:rFonts w:ascii="Verdana" w:hAnsi="Verdana"/>
          <w:sz w:val="20"/>
          <w:szCs w:val="20"/>
        </w:rPr>
        <w:t>4</w:t>
      </w:r>
      <w:r w:rsidR="00052CED">
        <w:rPr>
          <w:rFonts w:ascii="Verdana" w:hAnsi="Verdana"/>
          <w:sz w:val="20"/>
          <w:szCs w:val="20"/>
        </w:rPr>
        <w:t>,</w:t>
      </w:r>
      <w:r>
        <w:rPr>
          <w:rFonts w:ascii="Verdana" w:hAnsi="Verdana"/>
          <w:sz w:val="20"/>
          <w:szCs w:val="20"/>
        </w:rPr>
        <w:t>5</w:t>
      </w:r>
      <w:r w:rsidR="00052CED" w:rsidRPr="00052CED">
        <w:rPr>
          <w:rFonts w:ascii="Verdana" w:hAnsi="Verdana"/>
          <w:sz w:val="20"/>
          <w:szCs w:val="20"/>
        </w:rPr>
        <w:t xml:space="preserve"> oranında, metrekare bazlı ise %</w:t>
      </w:r>
      <w:r>
        <w:rPr>
          <w:rFonts w:ascii="Verdana" w:hAnsi="Verdana"/>
          <w:sz w:val="20"/>
          <w:szCs w:val="20"/>
        </w:rPr>
        <w:t>4</w:t>
      </w:r>
      <w:r w:rsidR="00052CED">
        <w:rPr>
          <w:rFonts w:ascii="Verdana" w:hAnsi="Verdana"/>
          <w:sz w:val="20"/>
          <w:szCs w:val="20"/>
        </w:rPr>
        <w:t>,</w:t>
      </w:r>
      <w:r>
        <w:rPr>
          <w:rFonts w:ascii="Verdana" w:hAnsi="Verdana"/>
          <w:sz w:val="20"/>
          <w:szCs w:val="20"/>
        </w:rPr>
        <w:t>0</w:t>
      </w:r>
      <w:r w:rsidR="00052CED" w:rsidRPr="00052CED">
        <w:rPr>
          <w:rFonts w:ascii="Verdana" w:hAnsi="Verdana"/>
          <w:sz w:val="20"/>
          <w:szCs w:val="20"/>
        </w:rPr>
        <w:t xml:space="preserve"> oranında stok erime </w:t>
      </w:r>
      <w:r w:rsidR="00052CED">
        <w:rPr>
          <w:rFonts w:ascii="Verdana" w:hAnsi="Verdana"/>
          <w:sz w:val="20"/>
          <w:szCs w:val="20"/>
        </w:rPr>
        <w:t xml:space="preserve">hızı </w:t>
      </w:r>
      <w:r w:rsidR="00052CED" w:rsidRPr="00052CED">
        <w:rPr>
          <w:rFonts w:ascii="Verdana" w:hAnsi="Verdana"/>
          <w:sz w:val="20"/>
          <w:szCs w:val="20"/>
        </w:rPr>
        <w:t>gözlemlen</w:t>
      </w:r>
      <w:r w:rsidR="001B2AAE">
        <w:rPr>
          <w:rFonts w:ascii="Verdana" w:hAnsi="Verdana"/>
          <w:sz w:val="20"/>
          <w:szCs w:val="20"/>
        </w:rPr>
        <w:t>di</w:t>
      </w:r>
      <w:r w:rsidR="00052CED" w:rsidRPr="00052CED">
        <w:rPr>
          <w:rFonts w:ascii="Verdana" w:hAnsi="Verdana"/>
          <w:sz w:val="20"/>
          <w:szCs w:val="20"/>
        </w:rPr>
        <w:t>.</w:t>
      </w:r>
    </w:p>
    <w:p w14:paraId="37FCF3D4" w14:textId="77777777" w:rsidR="00A52F67" w:rsidRPr="00E77729" w:rsidRDefault="00A52F67" w:rsidP="00EE1151">
      <w:pPr>
        <w:spacing w:line="360" w:lineRule="auto"/>
        <w:contextualSpacing/>
        <w:jc w:val="both"/>
        <w:rPr>
          <w:rFonts w:ascii="Verdana" w:hAnsi="Verdana"/>
          <w:color w:val="808080" w:themeColor="background1" w:themeShade="80"/>
          <w:sz w:val="20"/>
          <w:szCs w:val="20"/>
        </w:rPr>
      </w:pPr>
    </w:p>
    <w:p w14:paraId="7E22D1FF" w14:textId="2D45148B" w:rsidR="00A52F67" w:rsidRPr="007C6EF3" w:rsidRDefault="002F7624" w:rsidP="00F25758">
      <w:pPr>
        <w:spacing w:line="360" w:lineRule="auto"/>
        <w:contextualSpacing/>
        <w:jc w:val="both"/>
        <w:outlineLvl w:val="0"/>
        <w:rPr>
          <w:rFonts w:ascii="Verdana" w:hAnsi="Verdana"/>
          <w:b/>
          <w:bCs/>
          <w:sz w:val="20"/>
          <w:szCs w:val="20"/>
        </w:rPr>
      </w:pPr>
      <w:r>
        <w:rPr>
          <w:rFonts w:ascii="Verdana" w:hAnsi="Verdana"/>
          <w:b/>
          <w:bCs/>
          <w:sz w:val="20"/>
          <w:szCs w:val="20"/>
        </w:rPr>
        <w:t xml:space="preserve">En yüksek artış 4+1 </w:t>
      </w:r>
      <w:r w:rsidR="00B31F9C">
        <w:rPr>
          <w:rFonts w:ascii="Verdana" w:hAnsi="Verdana"/>
          <w:b/>
          <w:bCs/>
          <w:sz w:val="20"/>
          <w:szCs w:val="20"/>
        </w:rPr>
        <w:t xml:space="preserve">ve 126-150 metrekare arası </w:t>
      </w:r>
      <w:r>
        <w:rPr>
          <w:rFonts w:ascii="Verdana" w:hAnsi="Verdana"/>
          <w:b/>
          <w:bCs/>
          <w:sz w:val="20"/>
          <w:szCs w:val="20"/>
        </w:rPr>
        <w:t>konutlarda kaydedildi</w:t>
      </w:r>
    </w:p>
    <w:p w14:paraId="18DF1681" w14:textId="190113B0" w:rsidR="00A52F67" w:rsidRPr="007C6EF3" w:rsidRDefault="00A52F67" w:rsidP="007C6EF3">
      <w:pPr>
        <w:spacing w:line="360" w:lineRule="auto"/>
        <w:contextualSpacing/>
        <w:jc w:val="both"/>
        <w:rPr>
          <w:rFonts w:ascii="Verdana" w:hAnsi="Verdana"/>
          <w:sz w:val="20"/>
          <w:szCs w:val="20"/>
        </w:rPr>
      </w:pPr>
      <w:r w:rsidRPr="001B2AAE">
        <w:rPr>
          <w:rFonts w:ascii="Verdana" w:hAnsi="Verdana"/>
          <w:sz w:val="20"/>
          <w:szCs w:val="20"/>
        </w:rPr>
        <w:t>1+1 konut</w:t>
      </w:r>
      <w:r w:rsidR="001B2AAE" w:rsidRPr="001B2AAE">
        <w:rPr>
          <w:rFonts w:ascii="Verdana" w:hAnsi="Verdana"/>
          <w:sz w:val="20"/>
          <w:szCs w:val="20"/>
        </w:rPr>
        <w:t xml:space="preserve">ların </w:t>
      </w:r>
      <w:r w:rsidRPr="001B2AAE">
        <w:rPr>
          <w:rFonts w:ascii="Verdana" w:hAnsi="Verdana"/>
          <w:sz w:val="20"/>
          <w:szCs w:val="20"/>
        </w:rPr>
        <w:t xml:space="preserve">satışının </w:t>
      </w:r>
      <w:r w:rsidR="001B2AAE" w:rsidRPr="001B2AAE">
        <w:rPr>
          <w:rFonts w:ascii="Verdana" w:hAnsi="Verdana"/>
          <w:sz w:val="20"/>
          <w:szCs w:val="20"/>
        </w:rPr>
        <w:t xml:space="preserve">bir önceki aya göre, </w:t>
      </w:r>
      <w:r w:rsidRPr="001B2AAE">
        <w:rPr>
          <w:rFonts w:ascii="Verdana" w:hAnsi="Verdana"/>
          <w:sz w:val="20"/>
          <w:szCs w:val="20"/>
        </w:rPr>
        <w:t>%0</w:t>
      </w:r>
      <w:r w:rsidR="001B2AAE">
        <w:rPr>
          <w:rFonts w:ascii="Verdana" w:hAnsi="Verdana"/>
          <w:sz w:val="20"/>
          <w:szCs w:val="20"/>
        </w:rPr>
        <w:t>,</w:t>
      </w:r>
      <w:r w:rsidR="002F7624">
        <w:rPr>
          <w:rFonts w:ascii="Verdana" w:hAnsi="Verdana"/>
          <w:sz w:val="20"/>
          <w:szCs w:val="20"/>
        </w:rPr>
        <w:t>11</w:t>
      </w:r>
      <w:r w:rsidR="002F7624" w:rsidRPr="001B2AAE">
        <w:rPr>
          <w:rFonts w:ascii="Verdana" w:hAnsi="Verdana"/>
          <w:sz w:val="20"/>
          <w:szCs w:val="20"/>
        </w:rPr>
        <w:t xml:space="preserve"> </w:t>
      </w:r>
      <w:r w:rsidRPr="001B2AAE">
        <w:rPr>
          <w:rFonts w:ascii="Verdana" w:hAnsi="Verdana"/>
          <w:sz w:val="20"/>
          <w:szCs w:val="20"/>
        </w:rPr>
        <w:t xml:space="preserve">oranında </w:t>
      </w:r>
      <w:r w:rsidR="002F7624">
        <w:rPr>
          <w:rFonts w:ascii="Verdana" w:hAnsi="Verdana"/>
          <w:sz w:val="20"/>
          <w:szCs w:val="20"/>
        </w:rPr>
        <w:t>azaldığı</w:t>
      </w:r>
      <w:r w:rsidR="002F7624" w:rsidRPr="001B2AAE">
        <w:rPr>
          <w:rFonts w:ascii="Verdana" w:hAnsi="Verdana"/>
          <w:sz w:val="20"/>
          <w:szCs w:val="20"/>
        </w:rPr>
        <w:t xml:space="preserve"> </w:t>
      </w:r>
      <w:r w:rsidR="002F7624">
        <w:rPr>
          <w:rFonts w:ascii="Verdana" w:hAnsi="Verdana"/>
          <w:sz w:val="20"/>
          <w:szCs w:val="20"/>
        </w:rPr>
        <w:t>şubat</w:t>
      </w:r>
      <w:r w:rsidR="002F7624" w:rsidRPr="001B2AAE">
        <w:rPr>
          <w:rFonts w:ascii="Verdana" w:hAnsi="Verdana"/>
          <w:sz w:val="20"/>
          <w:szCs w:val="20"/>
        </w:rPr>
        <w:t xml:space="preserve"> </w:t>
      </w:r>
      <w:r w:rsidRPr="001B2AAE">
        <w:rPr>
          <w:rFonts w:ascii="Verdana" w:hAnsi="Verdana"/>
          <w:sz w:val="20"/>
          <w:szCs w:val="20"/>
        </w:rPr>
        <w:t>ayında, 2+1 konut tipinde %0</w:t>
      </w:r>
      <w:r w:rsidR="002F7624">
        <w:rPr>
          <w:rFonts w:ascii="Verdana" w:hAnsi="Verdana"/>
          <w:sz w:val="20"/>
          <w:szCs w:val="20"/>
        </w:rPr>
        <w:t>,16</w:t>
      </w:r>
      <w:r w:rsidRPr="001B2AAE">
        <w:rPr>
          <w:rFonts w:ascii="Verdana" w:hAnsi="Verdana"/>
          <w:sz w:val="20"/>
          <w:szCs w:val="20"/>
        </w:rPr>
        <w:t>, 3+1 konut tipinde %0</w:t>
      </w:r>
      <w:r w:rsidR="007C6EF3">
        <w:rPr>
          <w:rFonts w:ascii="Verdana" w:hAnsi="Verdana"/>
          <w:sz w:val="20"/>
          <w:szCs w:val="20"/>
        </w:rPr>
        <w:t>,</w:t>
      </w:r>
      <w:r w:rsidR="002F7624">
        <w:rPr>
          <w:rFonts w:ascii="Verdana" w:hAnsi="Verdana"/>
          <w:sz w:val="20"/>
          <w:szCs w:val="20"/>
        </w:rPr>
        <w:t>44</w:t>
      </w:r>
      <w:r w:rsidR="002F7624" w:rsidRPr="001B2AAE">
        <w:rPr>
          <w:rFonts w:ascii="Verdana" w:hAnsi="Verdana"/>
          <w:sz w:val="20"/>
          <w:szCs w:val="20"/>
        </w:rPr>
        <w:t xml:space="preserve"> </w:t>
      </w:r>
      <w:r w:rsidRPr="001B2AAE">
        <w:rPr>
          <w:rFonts w:ascii="Verdana" w:hAnsi="Verdana"/>
          <w:sz w:val="20"/>
          <w:szCs w:val="20"/>
        </w:rPr>
        <w:t>oranında, 4+1 konut tipinde ise %0</w:t>
      </w:r>
      <w:r w:rsidR="001B2AAE">
        <w:rPr>
          <w:rFonts w:ascii="Verdana" w:hAnsi="Verdana"/>
          <w:sz w:val="20"/>
          <w:szCs w:val="20"/>
        </w:rPr>
        <w:t>,</w:t>
      </w:r>
      <w:r w:rsidR="002F7624">
        <w:rPr>
          <w:rFonts w:ascii="Verdana" w:hAnsi="Verdana"/>
          <w:sz w:val="20"/>
          <w:szCs w:val="20"/>
        </w:rPr>
        <w:t>64</w:t>
      </w:r>
      <w:r w:rsidR="002F7624" w:rsidRPr="001B2AAE">
        <w:rPr>
          <w:rFonts w:ascii="Verdana" w:hAnsi="Verdana"/>
          <w:sz w:val="20"/>
          <w:szCs w:val="20"/>
        </w:rPr>
        <w:t xml:space="preserve"> </w:t>
      </w:r>
      <w:r w:rsidRPr="001B2AAE">
        <w:rPr>
          <w:rFonts w:ascii="Verdana" w:hAnsi="Verdana"/>
          <w:sz w:val="20"/>
          <w:szCs w:val="20"/>
        </w:rPr>
        <w:t xml:space="preserve">oranında artış </w:t>
      </w:r>
      <w:r w:rsidR="001B2AAE" w:rsidRPr="001B2AAE">
        <w:rPr>
          <w:rFonts w:ascii="Verdana" w:hAnsi="Verdana"/>
          <w:sz w:val="20"/>
          <w:szCs w:val="20"/>
        </w:rPr>
        <w:t>kaydedildi</w:t>
      </w:r>
      <w:r w:rsidRPr="00E77729">
        <w:rPr>
          <w:rFonts w:ascii="Verdana" w:hAnsi="Verdana"/>
          <w:color w:val="808080" w:themeColor="background1" w:themeShade="80"/>
          <w:sz w:val="20"/>
          <w:szCs w:val="20"/>
        </w:rPr>
        <w:t xml:space="preserve">. </w:t>
      </w:r>
      <w:r w:rsidRPr="007C6EF3">
        <w:rPr>
          <w:rFonts w:ascii="Verdana" w:hAnsi="Verdana"/>
          <w:sz w:val="20"/>
          <w:szCs w:val="20"/>
        </w:rPr>
        <w:t>51-75 metrekare büyüklüğ</w:t>
      </w:r>
      <w:r w:rsidR="007C6EF3" w:rsidRPr="007C6EF3">
        <w:rPr>
          <w:rFonts w:ascii="Verdana" w:hAnsi="Verdana"/>
          <w:sz w:val="20"/>
          <w:szCs w:val="20"/>
        </w:rPr>
        <w:t xml:space="preserve">ündeki </w:t>
      </w:r>
      <w:r w:rsidRPr="007C6EF3">
        <w:rPr>
          <w:rFonts w:ascii="Verdana" w:hAnsi="Verdana"/>
          <w:sz w:val="20"/>
          <w:szCs w:val="20"/>
        </w:rPr>
        <w:t xml:space="preserve">konutlarda </w:t>
      </w:r>
      <w:r w:rsidR="007C6EF3" w:rsidRPr="007C6EF3">
        <w:rPr>
          <w:rFonts w:ascii="Verdana" w:hAnsi="Verdana"/>
          <w:sz w:val="20"/>
          <w:szCs w:val="20"/>
        </w:rPr>
        <w:t xml:space="preserve">bir önceki aya göre </w:t>
      </w:r>
      <w:r w:rsidRPr="007C6EF3">
        <w:rPr>
          <w:rFonts w:ascii="Verdana" w:hAnsi="Verdana"/>
          <w:sz w:val="20"/>
          <w:szCs w:val="20"/>
        </w:rPr>
        <w:t>%0</w:t>
      </w:r>
      <w:r w:rsidR="007C6EF3" w:rsidRPr="007C6EF3">
        <w:rPr>
          <w:rFonts w:ascii="Verdana" w:hAnsi="Verdana"/>
          <w:sz w:val="20"/>
          <w:szCs w:val="20"/>
        </w:rPr>
        <w:t>,</w:t>
      </w:r>
      <w:r w:rsidR="00B31F9C">
        <w:rPr>
          <w:rFonts w:ascii="Verdana" w:hAnsi="Verdana"/>
          <w:sz w:val="20"/>
          <w:szCs w:val="20"/>
        </w:rPr>
        <w:t>12</w:t>
      </w:r>
      <w:r w:rsidR="00B31F9C" w:rsidRPr="007C6EF3">
        <w:rPr>
          <w:rFonts w:ascii="Verdana" w:hAnsi="Verdana"/>
          <w:sz w:val="20"/>
          <w:szCs w:val="20"/>
        </w:rPr>
        <w:t xml:space="preserve"> </w:t>
      </w:r>
      <w:r w:rsidRPr="007C6EF3">
        <w:rPr>
          <w:rFonts w:ascii="Verdana" w:hAnsi="Verdana"/>
          <w:sz w:val="20"/>
          <w:szCs w:val="20"/>
        </w:rPr>
        <w:t xml:space="preserve">oranında </w:t>
      </w:r>
      <w:r w:rsidR="00B31F9C">
        <w:rPr>
          <w:rFonts w:ascii="Verdana" w:hAnsi="Verdana"/>
          <w:sz w:val="20"/>
          <w:szCs w:val="20"/>
        </w:rPr>
        <w:t>azalma</w:t>
      </w:r>
      <w:r w:rsidR="00B31F9C" w:rsidRPr="007C6EF3">
        <w:rPr>
          <w:rFonts w:ascii="Verdana" w:hAnsi="Verdana"/>
          <w:sz w:val="20"/>
          <w:szCs w:val="20"/>
        </w:rPr>
        <w:t xml:space="preserve"> </w:t>
      </w:r>
      <w:r w:rsidRPr="007C6EF3">
        <w:rPr>
          <w:rFonts w:ascii="Verdana" w:hAnsi="Verdana"/>
          <w:sz w:val="20"/>
          <w:szCs w:val="20"/>
        </w:rPr>
        <w:t xml:space="preserve">yaşanan </w:t>
      </w:r>
      <w:r w:rsidR="00B31F9C">
        <w:rPr>
          <w:rFonts w:ascii="Verdana" w:hAnsi="Verdana"/>
          <w:sz w:val="20"/>
          <w:szCs w:val="20"/>
        </w:rPr>
        <w:t>şubat</w:t>
      </w:r>
      <w:r w:rsidR="00B31F9C" w:rsidRPr="007C6EF3">
        <w:rPr>
          <w:rFonts w:ascii="Verdana" w:hAnsi="Verdana"/>
          <w:sz w:val="20"/>
          <w:szCs w:val="20"/>
        </w:rPr>
        <w:t xml:space="preserve"> </w:t>
      </w:r>
      <w:r w:rsidRPr="007C6EF3">
        <w:rPr>
          <w:rFonts w:ascii="Verdana" w:hAnsi="Verdana"/>
          <w:sz w:val="20"/>
          <w:szCs w:val="20"/>
        </w:rPr>
        <w:t>ayında, 76-100 metrekare büyüklüğ</w:t>
      </w:r>
      <w:r w:rsidR="007C6EF3" w:rsidRPr="007C6EF3">
        <w:rPr>
          <w:rFonts w:ascii="Verdana" w:hAnsi="Verdana"/>
          <w:sz w:val="20"/>
          <w:szCs w:val="20"/>
        </w:rPr>
        <w:t xml:space="preserve">ündeki </w:t>
      </w:r>
      <w:r w:rsidRPr="007C6EF3">
        <w:rPr>
          <w:rFonts w:ascii="Verdana" w:hAnsi="Verdana"/>
          <w:sz w:val="20"/>
          <w:szCs w:val="20"/>
        </w:rPr>
        <w:t>konutlarda %0</w:t>
      </w:r>
      <w:r w:rsidR="007C6EF3" w:rsidRPr="007C6EF3">
        <w:rPr>
          <w:rFonts w:ascii="Verdana" w:hAnsi="Verdana"/>
          <w:sz w:val="20"/>
          <w:szCs w:val="20"/>
        </w:rPr>
        <w:t>,</w:t>
      </w:r>
      <w:r w:rsidR="00B31F9C">
        <w:rPr>
          <w:rFonts w:ascii="Verdana" w:hAnsi="Verdana"/>
          <w:sz w:val="20"/>
          <w:szCs w:val="20"/>
        </w:rPr>
        <w:t>11</w:t>
      </w:r>
      <w:r w:rsidR="00B31F9C" w:rsidRPr="007C6EF3">
        <w:rPr>
          <w:rFonts w:ascii="Verdana" w:hAnsi="Verdana"/>
          <w:sz w:val="20"/>
          <w:szCs w:val="20"/>
        </w:rPr>
        <w:t xml:space="preserve"> </w:t>
      </w:r>
      <w:r w:rsidRPr="007C6EF3">
        <w:rPr>
          <w:rFonts w:ascii="Verdana" w:hAnsi="Verdana"/>
          <w:sz w:val="20"/>
          <w:szCs w:val="20"/>
        </w:rPr>
        <w:t>oranında, 101-125 metrekare büyüklüğ</w:t>
      </w:r>
      <w:r w:rsidR="007C6EF3" w:rsidRPr="007C6EF3">
        <w:rPr>
          <w:rFonts w:ascii="Verdana" w:hAnsi="Verdana"/>
          <w:sz w:val="20"/>
          <w:szCs w:val="20"/>
        </w:rPr>
        <w:t xml:space="preserve">ündeki </w:t>
      </w:r>
      <w:r w:rsidRPr="007C6EF3">
        <w:rPr>
          <w:rFonts w:ascii="Verdana" w:hAnsi="Verdana"/>
          <w:sz w:val="20"/>
          <w:szCs w:val="20"/>
        </w:rPr>
        <w:t>konutlarda %0</w:t>
      </w:r>
      <w:r w:rsidR="007C6EF3" w:rsidRPr="007C6EF3">
        <w:rPr>
          <w:rFonts w:ascii="Verdana" w:hAnsi="Verdana"/>
          <w:sz w:val="20"/>
          <w:szCs w:val="20"/>
        </w:rPr>
        <w:t>,</w:t>
      </w:r>
      <w:r w:rsidR="00B31F9C">
        <w:rPr>
          <w:rFonts w:ascii="Verdana" w:hAnsi="Verdana"/>
          <w:sz w:val="20"/>
          <w:szCs w:val="20"/>
        </w:rPr>
        <w:t>49</w:t>
      </w:r>
      <w:r w:rsidRPr="007C6EF3">
        <w:rPr>
          <w:rFonts w:ascii="Verdana" w:hAnsi="Verdana"/>
          <w:sz w:val="20"/>
          <w:szCs w:val="20"/>
        </w:rPr>
        <w:t>, 126-150 metrekare büyüklüğe sahip konutlarda %0</w:t>
      </w:r>
      <w:r w:rsidR="007C6EF3" w:rsidRPr="007C6EF3">
        <w:rPr>
          <w:rFonts w:ascii="Verdana" w:hAnsi="Verdana"/>
          <w:sz w:val="20"/>
          <w:szCs w:val="20"/>
        </w:rPr>
        <w:t>,</w:t>
      </w:r>
      <w:r w:rsidR="00B31F9C">
        <w:rPr>
          <w:rFonts w:ascii="Verdana" w:hAnsi="Verdana"/>
          <w:sz w:val="20"/>
          <w:szCs w:val="20"/>
        </w:rPr>
        <w:t>72</w:t>
      </w:r>
      <w:r w:rsidRPr="007C6EF3">
        <w:rPr>
          <w:rFonts w:ascii="Verdana" w:hAnsi="Verdana"/>
          <w:sz w:val="20"/>
          <w:szCs w:val="20"/>
        </w:rPr>
        <w:t>, 151 metrekare ve daha büyük alana sahip konutlarda ise %0</w:t>
      </w:r>
      <w:r w:rsidR="007C6EF3" w:rsidRPr="007C6EF3">
        <w:rPr>
          <w:rFonts w:ascii="Verdana" w:hAnsi="Verdana"/>
          <w:sz w:val="20"/>
          <w:szCs w:val="20"/>
        </w:rPr>
        <w:t>,</w:t>
      </w:r>
      <w:r w:rsidR="00B31F9C">
        <w:rPr>
          <w:rFonts w:ascii="Verdana" w:hAnsi="Verdana"/>
          <w:sz w:val="20"/>
          <w:szCs w:val="20"/>
        </w:rPr>
        <w:t>52</w:t>
      </w:r>
      <w:r w:rsidR="00B31F9C" w:rsidRPr="007C6EF3">
        <w:rPr>
          <w:rFonts w:ascii="Verdana" w:hAnsi="Verdana"/>
          <w:sz w:val="20"/>
          <w:szCs w:val="20"/>
        </w:rPr>
        <w:t xml:space="preserve"> </w:t>
      </w:r>
      <w:r w:rsidRPr="007C6EF3">
        <w:rPr>
          <w:rFonts w:ascii="Verdana" w:hAnsi="Verdana"/>
          <w:sz w:val="20"/>
          <w:szCs w:val="20"/>
        </w:rPr>
        <w:t xml:space="preserve">oranında artış görüldü. </w:t>
      </w:r>
    </w:p>
    <w:p w14:paraId="482377D5" w14:textId="13B9058A" w:rsidR="00B31F9C" w:rsidRDefault="00B31F9C" w:rsidP="00B31F9C">
      <w:pPr>
        <w:spacing w:line="360" w:lineRule="auto"/>
        <w:contextualSpacing/>
        <w:jc w:val="both"/>
        <w:rPr>
          <w:rFonts w:ascii="Verdana" w:hAnsi="Verdana"/>
          <w:color w:val="808080" w:themeColor="background1" w:themeShade="80"/>
          <w:sz w:val="20"/>
          <w:szCs w:val="20"/>
        </w:rPr>
      </w:pPr>
    </w:p>
    <w:p w14:paraId="5DF3AB03" w14:textId="0EC7462C" w:rsidR="00A52F67" w:rsidRPr="008A5B51" w:rsidRDefault="00A52F67" w:rsidP="00F25758">
      <w:pPr>
        <w:spacing w:line="360" w:lineRule="auto"/>
        <w:contextualSpacing/>
        <w:jc w:val="both"/>
        <w:outlineLvl w:val="0"/>
        <w:rPr>
          <w:rFonts w:ascii="Verdana" w:hAnsi="Verdana"/>
          <w:b/>
          <w:bCs/>
          <w:sz w:val="20"/>
          <w:szCs w:val="20"/>
        </w:rPr>
      </w:pPr>
      <w:r w:rsidRPr="008A5B51">
        <w:rPr>
          <w:rFonts w:ascii="Verdana" w:hAnsi="Verdana"/>
          <w:b/>
          <w:bCs/>
          <w:sz w:val="20"/>
          <w:szCs w:val="20"/>
        </w:rPr>
        <w:t>Yabancı</w:t>
      </w:r>
      <w:r w:rsidR="009D5365">
        <w:rPr>
          <w:rFonts w:ascii="Verdana" w:hAnsi="Verdana"/>
          <w:b/>
          <w:bCs/>
          <w:sz w:val="20"/>
          <w:szCs w:val="20"/>
        </w:rPr>
        <w:t xml:space="preserve"> alıcılar 1+1 konutları tercih etti</w:t>
      </w:r>
    </w:p>
    <w:p w14:paraId="67F48C98" w14:textId="4F478C43" w:rsidR="008A5B51" w:rsidRPr="008A5B51" w:rsidRDefault="009D5365" w:rsidP="008A5B51">
      <w:pPr>
        <w:spacing w:line="360" w:lineRule="auto"/>
        <w:contextualSpacing/>
        <w:jc w:val="both"/>
        <w:rPr>
          <w:rFonts w:ascii="Verdana" w:hAnsi="Verdana"/>
          <w:sz w:val="20"/>
          <w:szCs w:val="20"/>
        </w:rPr>
      </w:pPr>
      <w:r>
        <w:rPr>
          <w:rFonts w:ascii="Verdana" w:hAnsi="Verdana"/>
          <w:sz w:val="20"/>
          <w:szCs w:val="20"/>
        </w:rPr>
        <w:t>Şubat</w:t>
      </w:r>
      <w:r w:rsidRPr="008A5B51">
        <w:rPr>
          <w:rFonts w:ascii="Verdana" w:hAnsi="Verdana"/>
          <w:sz w:val="20"/>
          <w:szCs w:val="20"/>
        </w:rPr>
        <w:t xml:space="preserve"> </w:t>
      </w:r>
      <w:r w:rsidR="008A5B51" w:rsidRPr="008A5B51">
        <w:rPr>
          <w:rFonts w:ascii="Verdana" w:hAnsi="Verdana"/>
          <w:sz w:val="20"/>
          <w:szCs w:val="20"/>
        </w:rPr>
        <w:t>ayında markalı konut projelerinde gerçekleştirilen satışların %</w:t>
      </w:r>
      <w:r>
        <w:rPr>
          <w:rFonts w:ascii="Verdana" w:hAnsi="Verdana"/>
          <w:sz w:val="20"/>
          <w:szCs w:val="20"/>
        </w:rPr>
        <w:t>6’sı</w:t>
      </w:r>
      <w:r w:rsidRPr="008A5B51">
        <w:rPr>
          <w:rFonts w:ascii="Verdana" w:hAnsi="Verdana"/>
          <w:sz w:val="20"/>
          <w:szCs w:val="20"/>
        </w:rPr>
        <w:t xml:space="preserve"> </w:t>
      </w:r>
      <w:r w:rsidR="008A5B51" w:rsidRPr="008A5B51">
        <w:rPr>
          <w:rFonts w:ascii="Verdana" w:hAnsi="Verdana"/>
          <w:sz w:val="20"/>
          <w:szCs w:val="20"/>
        </w:rPr>
        <w:t xml:space="preserve">yabancı yatırımcılara yapılırken, tercih noktasında ağırlıklı olarak </w:t>
      </w:r>
      <w:r>
        <w:rPr>
          <w:rFonts w:ascii="Verdana" w:hAnsi="Verdana"/>
          <w:sz w:val="20"/>
          <w:szCs w:val="20"/>
        </w:rPr>
        <w:t>1</w:t>
      </w:r>
      <w:r w:rsidR="008A5B51" w:rsidRPr="008A5B51">
        <w:rPr>
          <w:rFonts w:ascii="Verdana" w:hAnsi="Verdana"/>
          <w:sz w:val="20"/>
          <w:szCs w:val="20"/>
        </w:rPr>
        <w:t>+1 özellikteki konutların öne çıktığı gözlemlendi. Son altı aylık ortalamanın %4 olduğu yabancı yatırımcılara satışlar eylülde %3, ekimde %5, kasımda %4, aralıkta %3</w:t>
      </w:r>
      <w:r>
        <w:rPr>
          <w:rFonts w:ascii="Verdana" w:hAnsi="Verdana"/>
          <w:sz w:val="20"/>
          <w:szCs w:val="20"/>
        </w:rPr>
        <w:t>, ocakta ise %4</w:t>
      </w:r>
      <w:r w:rsidR="008A5B51" w:rsidRPr="008A5B51">
        <w:rPr>
          <w:rFonts w:ascii="Verdana" w:hAnsi="Verdana"/>
          <w:sz w:val="20"/>
          <w:szCs w:val="20"/>
        </w:rPr>
        <w:t xml:space="preserve"> oranında gerçekleşmişti.</w:t>
      </w:r>
    </w:p>
    <w:p w14:paraId="2BC2A2C0" w14:textId="77777777" w:rsidR="00A52F67" w:rsidRPr="00E77729" w:rsidRDefault="00A52F67" w:rsidP="00EE1151">
      <w:pPr>
        <w:spacing w:line="360" w:lineRule="auto"/>
        <w:contextualSpacing/>
        <w:jc w:val="both"/>
        <w:rPr>
          <w:rFonts w:ascii="Verdana" w:hAnsi="Verdana"/>
          <w:color w:val="808080" w:themeColor="background1" w:themeShade="80"/>
          <w:sz w:val="20"/>
          <w:szCs w:val="20"/>
        </w:rPr>
      </w:pPr>
    </w:p>
    <w:p w14:paraId="07F738F3" w14:textId="77777777" w:rsidR="0099713B" w:rsidRDefault="0099713B" w:rsidP="00F25758">
      <w:pPr>
        <w:spacing w:line="360" w:lineRule="auto"/>
        <w:contextualSpacing/>
        <w:jc w:val="both"/>
        <w:outlineLvl w:val="0"/>
        <w:rPr>
          <w:rFonts w:ascii="Verdana" w:hAnsi="Verdana"/>
          <w:b/>
          <w:bCs/>
          <w:sz w:val="20"/>
          <w:szCs w:val="20"/>
        </w:rPr>
      </w:pPr>
    </w:p>
    <w:p w14:paraId="64EA5911" w14:textId="5C752583" w:rsidR="00AB7385" w:rsidRPr="00AB7385" w:rsidRDefault="00A52F67" w:rsidP="00F25758">
      <w:pPr>
        <w:spacing w:line="360" w:lineRule="auto"/>
        <w:contextualSpacing/>
        <w:jc w:val="both"/>
        <w:outlineLvl w:val="0"/>
        <w:rPr>
          <w:rFonts w:ascii="Verdana" w:hAnsi="Verdana"/>
          <w:b/>
          <w:bCs/>
          <w:sz w:val="20"/>
          <w:szCs w:val="20"/>
        </w:rPr>
      </w:pPr>
      <w:bookmarkStart w:id="0" w:name="_GoBack"/>
      <w:bookmarkEnd w:id="0"/>
      <w:r w:rsidRPr="00AB7385">
        <w:rPr>
          <w:rFonts w:ascii="Verdana" w:hAnsi="Verdana"/>
          <w:b/>
          <w:bCs/>
          <w:sz w:val="20"/>
          <w:szCs w:val="20"/>
        </w:rPr>
        <w:lastRenderedPageBreak/>
        <w:t>Konut fiyat</w:t>
      </w:r>
      <w:r w:rsidR="00AB7385" w:rsidRPr="00AB7385">
        <w:rPr>
          <w:rFonts w:ascii="Verdana" w:hAnsi="Verdana"/>
          <w:b/>
          <w:bCs/>
          <w:sz w:val="20"/>
          <w:szCs w:val="20"/>
        </w:rPr>
        <w:t xml:space="preserve"> artışında </w:t>
      </w:r>
      <w:r w:rsidR="008F7F09">
        <w:rPr>
          <w:rFonts w:ascii="Verdana" w:hAnsi="Verdana"/>
          <w:b/>
          <w:bCs/>
          <w:sz w:val="20"/>
          <w:szCs w:val="20"/>
        </w:rPr>
        <w:t>şubat</w:t>
      </w:r>
      <w:r w:rsidR="008F7F09" w:rsidRPr="00AB7385">
        <w:rPr>
          <w:rFonts w:ascii="Verdana" w:hAnsi="Verdana"/>
          <w:b/>
          <w:bCs/>
          <w:sz w:val="20"/>
          <w:szCs w:val="20"/>
        </w:rPr>
        <w:t xml:space="preserve"> </w:t>
      </w:r>
      <w:r w:rsidR="00AB7385" w:rsidRPr="00AB7385">
        <w:rPr>
          <w:rFonts w:ascii="Verdana" w:hAnsi="Verdana"/>
          <w:b/>
          <w:bCs/>
          <w:sz w:val="20"/>
          <w:szCs w:val="20"/>
        </w:rPr>
        <w:t xml:space="preserve">ayının lideri </w:t>
      </w:r>
      <w:r w:rsidR="008F7F09">
        <w:rPr>
          <w:rFonts w:ascii="Verdana" w:hAnsi="Verdana"/>
          <w:b/>
          <w:bCs/>
          <w:sz w:val="20"/>
          <w:szCs w:val="20"/>
        </w:rPr>
        <w:t>Yozgat</w:t>
      </w:r>
    </w:p>
    <w:p w14:paraId="0D67DFA8" w14:textId="0CBFCED5" w:rsidR="00A52F67" w:rsidRDefault="00CB2486" w:rsidP="00AB7385">
      <w:pPr>
        <w:spacing w:line="360" w:lineRule="auto"/>
        <w:contextualSpacing/>
        <w:jc w:val="both"/>
        <w:rPr>
          <w:rFonts w:ascii="Verdana" w:hAnsi="Verdana"/>
          <w:color w:val="808080" w:themeColor="background1" w:themeShade="80"/>
          <w:sz w:val="20"/>
          <w:szCs w:val="20"/>
        </w:rPr>
      </w:pPr>
      <w:r>
        <w:rPr>
          <w:rFonts w:ascii="Verdana" w:hAnsi="Verdana"/>
          <w:sz w:val="20"/>
          <w:szCs w:val="20"/>
        </w:rPr>
        <w:t>Şubat</w:t>
      </w:r>
      <w:r w:rsidRPr="00EE1151">
        <w:rPr>
          <w:rFonts w:ascii="Verdana" w:hAnsi="Verdana"/>
          <w:sz w:val="20"/>
          <w:szCs w:val="20"/>
        </w:rPr>
        <w:t xml:space="preserve"> </w:t>
      </w:r>
      <w:r w:rsidR="00AB7385" w:rsidRPr="00EE1151">
        <w:rPr>
          <w:rFonts w:ascii="Verdana" w:hAnsi="Verdana"/>
          <w:sz w:val="20"/>
          <w:szCs w:val="20"/>
        </w:rPr>
        <w:t xml:space="preserve">ayında metrekare başına konut satış fiyatlarının %2 oranında arttığı </w:t>
      </w:r>
      <w:r w:rsidR="008F7F09">
        <w:rPr>
          <w:rFonts w:ascii="Verdana" w:hAnsi="Verdana"/>
          <w:b/>
          <w:bCs/>
          <w:sz w:val="20"/>
          <w:szCs w:val="20"/>
        </w:rPr>
        <w:t>Yozgat</w:t>
      </w:r>
      <w:r w:rsidR="00AB7385" w:rsidRPr="00EE1151">
        <w:rPr>
          <w:rFonts w:ascii="Verdana" w:hAnsi="Verdana"/>
          <w:sz w:val="20"/>
          <w:szCs w:val="20"/>
        </w:rPr>
        <w:t>, fiyatların en çok yükseldiği şehir oldu</w:t>
      </w:r>
      <w:r w:rsidR="00AB7385">
        <w:rPr>
          <w:rFonts w:ascii="Verdana" w:hAnsi="Verdana"/>
          <w:sz w:val="20"/>
          <w:szCs w:val="20"/>
        </w:rPr>
        <w:t xml:space="preserve">. </w:t>
      </w:r>
      <w:r w:rsidR="00AB7385" w:rsidRPr="00AB7385">
        <w:rPr>
          <w:rFonts w:ascii="Verdana" w:hAnsi="Verdana"/>
          <w:sz w:val="20"/>
          <w:szCs w:val="20"/>
        </w:rPr>
        <w:t>Aynı dönem metrekare başına konut satış fiyatları</w:t>
      </w:r>
      <w:r w:rsidR="00AB7385">
        <w:rPr>
          <w:rFonts w:ascii="Verdana" w:hAnsi="Verdana"/>
          <w:sz w:val="20"/>
          <w:szCs w:val="20"/>
        </w:rPr>
        <w:t>n</w:t>
      </w:r>
      <w:r w:rsidR="008F7F09">
        <w:rPr>
          <w:rFonts w:ascii="Verdana" w:hAnsi="Verdana"/>
          <w:sz w:val="20"/>
          <w:szCs w:val="20"/>
        </w:rPr>
        <w:t xml:space="preserve">ın %1,73 oranında azaldığı </w:t>
      </w:r>
      <w:r w:rsidR="008F7F09" w:rsidRPr="00EE7822">
        <w:rPr>
          <w:rFonts w:ascii="Verdana" w:hAnsi="Verdana"/>
          <w:b/>
          <w:bCs/>
          <w:sz w:val="20"/>
          <w:szCs w:val="20"/>
        </w:rPr>
        <w:t>Bitlis</w:t>
      </w:r>
      <w:r w:rsidR="008F7F09">
        <w:rPr>
          <w:rFonts w:ascii="Verdana" w:hAnsi="Verdana"/>
          <w:sz w:val="20"/>
          <w:szCs w:val="20"/>
        </w:rPr>
        <w:t xml:space="preserve"> </w:t>
      </w:r>
      <w:r w:rsidR="00AB7385">
        <w:rPr>
          <w:rFonts w:ascii="Verdana" w:hAnsi="Verdana"/>
          <w:sz w:val="20"/>
          <w:szCs w:val="20"/>
        </w:rPr>
        <w:t>ise</w:t>
      </w:r>
      <w:r w:rsidR="00A52F67" w:rsidRPr="00AB7385">
        <w:rPr>
          <w:rFonts w:ascii="Verdana" w:hAnsi="Verdana"/>
          <w:sz w:val="20"/>
          <w:szCs w:val="20"/>
        </w:rPr>
        <w:t xml:space="preserve"> satış fiyatlarının en çok azaldığı şehir </w:t>
      </w:r>
      <w:r w:rsidR="00AB7385" w:rsidRPr="00AB7385">
        <w:rPr>
          <w:rFonts w:ascii="Verdana" w:hAnsi="Verdana"/>
          <w:sz w:val="20"/>
          <w:szCs w:val="20"/>
        </w:rPr>
        <w:t>oldu.</w:t>
      </w:r>
    </w:p>
    <w:p w14:paraId="702FFEA9" w14:textId="77777777" w:rsidR="008F7F09" w:rsidRPr="00AB7385" w:rsidRDefault="008F7F09" w:rsidP="008F7F09">
      <w:pPr>
        <w:spacing w:line="360" w:lineRule="auto"/>
        <w:contextualSpacing/>
        <w:jc w:val="both"/>
        <w:rPr>
          <w:rFonts w:ascii="Verdana" w:hAnsi="Verdana"/>
          <w:sz w:val="20"/>
          <w:szCs w:val="20"/>
        </w:rPr>
      </w:pPr>
    </w:p>
    <w:p w14:paraId="31D49B8D" w14:textId="356E7574" w:rsidR="00A76ED8" w:rsidRPr="00A76ED8" w:rsidRDefault="00A52F67" w:rsidP="00F25758">
      <w:pPr>
        <w:spacing w:line="360" w:lineRule="auto"/>
        <w:contextualSpacing/>
        <w:jc w:val="both"/>
        <w:outlineLvl w:val="0"/>
        <w:rPr>
          <w:rFonts w:ascii="Verdana" w:hAnsi="Verdana"/>
          <w:b/>
          <w:bCs/>
          <w:sz w:val="20"/>
          <w:szCs w:val="20"/>
        </w:rPr>
      </w:pPr>
      <w:r w:rsidRPr="00A76ED8">
        <w:rPr>
          <w:rFonts w:ascii="Verdana" w:hAnsi="Verdana"/>
          <w:b/>
          <w:bCs/>
          <w:sz w:val="20"/>
          <w:szCs w:val="20"/>
        </w:rPr>
        <w:t>Kirada en yüksek artış %2</w:t>
      </w:r>
      <w:r w:rsidR="00CB2486">
        <w:rPr>
          <w:rFonts w:ascii="Verdana" w:hAnsi="Verdana"/>
          <w:b/>
          <w:bCs/>
          <w:sz w:val="20"/>
          <w:szCs w:val="20"/>
        </w:rPr>
        <w:t>,11</w:t>
      </w:r>
      <w:r w:rsidRPr="00A76ED8">
        <w:rPr>
          <w:rFonts w:ascii="Verdana" w:hAnsi="Verdana"/>
          <w:b/>
          <w:bCs/>
          <w:sz w:val="20"/>
          <w:szCs w:val="20"/>
        </w:rPr>
        <w:t xml:space="preserve"> ile </w:t>
      </w:r>
      <w:r w:rsidR="00CB2486">
        <w:rPr>
          <w:rFonts w:ascii="Verdana" w:hAnsi="Verdana"/>
          <w:b/>
          <w:bCs/>
          <w:sz w:val="20"/>
          <w:szCs w:val="20"/>
        </w:rPr>
        <w:t>Edirne’de</w:t>
      </w:r>
    </w:p>
    <w:p w14:paraId="446035D5" w14:textId="4632BE69" w:rsidR="00A76ED8" w:rsidRDefault="00A76ED8" w:rsidP="00A76ED8">
      <w:pPr>
        <w:spacing w:line="360" w:lineRule="auto"/>
        <w:contextualSpacing/>
        <w:jc w:val="both"/>
        <w:rPr>
          <w:rFonts w:ascii="Verdana" w:hAnsi="Verdana"/>
          <w:sz w:val="20"/>
          <w:szCs w:val="20"/>
        </w:rPr>
      </w:pPr>
      <w:r w:rsidRPr="00A76ED8">
        <w:rPr>
          <w:rFonts w:ascii="Verdana" w:hAnsi="Verdana"/>
          <w:sz w:val="20"/>
          <w:szCs w:val="20"/>
        </w:rPr>
        <w:t>Türkiye genelinde 81 şehrin tamamını kapsayacak nitelikteki Türkiye Kiralık Konut Fiyat Endeksi’nde</w:t>
      </w:r>
      <w:r>
        <w:rPr>
          <w:rFonts w:ascii="Verdana" w:hAnsi="Verdana"/>
          <w:sz w:val="20"/>
          <w:szCs w:val="20"/>
        </w:rPr>
        <w:t>,</w:t>
      </w:r>
      <w:r w:rsidRPr="00A76ED8">
        <w:rPr>
          <w:rFonts w:ascii="Verdana" w:hAnsi="Verdana"/>
          <w:sz w:val="20"/>
          <w:szCs w:val="20"/>
        </w:rPr>
        <w:t xml:space="preserve"> </w:t>
      </w:r>
      <w:r w:rsidR="006F042D">
        <w:rPr>
          <w:rFonts w:ascii="Verdana" w:hAnsi="Verdana"/>
          <w:sz w:val="20"/>
          <w:szCs w:val="20"/>
        </w:rPr>
        <w:t>şubat</w:t>
      </w:r>
      <w:r w:rsidR="006F042D" w:rsidRPr="00A76ED8">
        <w:rPr>
          <w:rFonts w:ascii="Verdana" w:hAnsi="Verdana"/>
          <w:sz w:val="20"/>
          <w:szCs w:val="20"/>
        </w:rPr>
        <w:t xml:space="preserve"> </w:t>
      </w:r>
      <w:r w:rsidRPr="00A76ED8">
        <w:rPr>
          <w:rFonts w:ascii="Verdana" w:hAnsi="Verdana"/>
          <w:sz w:val="20"/>
          <w:szCs w:val="20"/>
        </w:rPr>
        <w:t>ayında bir önceki aya göre %0</w:t>
      </w:r>
      <w:r>
        <w:rPr>
          <w:rFonts w:ascii="Verdana" w:hAnsi="Verdana"/>
          <w:sz w:val="20"/>
          <w:szCs w:val="20"/>
        </w:rPr>
        <w:t>,</w:t>
      </w:r>
      <w:r w:rsidR="00F25758">
        <w:rPr>
          <w:rFonts w:ascii="Verdana" w:hAnsi="Verdana"/>
          <w:sz w:val="20"/>
          <w:szCs w:val="20"/>
        </w:rPr>
        <w:t>24</w:t>
      </w:r>
      <w:r w:rsidR="006F042D" w:rsidRPr="00A76ED8">
        <w:rPr>
          <w:rFonts w:ascii="Verdana" w:hAnsi="Verdana"/>
          <w:sz w:val="20"/>
          <w:szCs w:val="20"/>
        </w:rPr>
        <w:t xml:space="preserve"> </w:t>
      </w:r>
      <w:r w:rsidRPr="00A76ED8">
        <w:rPr>
          <w:rFonts w:ascii="Verdana" w:hAnsi="Verdana"/>
          <w:sz w:val="20"/>
          <w:szCs w:val="20"/>
        </w:rPr>
        <w:t>oranında ve geçen yılın aynı dönemine göre ise %</w:t>
      </w:r>
      <w:r w:rsidR="00F25758">
        <w:rPr>
          <w:rFonts w:ascii="Verdana" w:hAnsi="Verdana"/>
          <w:sz w:val="20"/>
          <w:szCs w:val="20"/>
        </w:rPr>
        <w:t>7,57</w:t>
      </w:r>
      <w:r w:rsidRPr="00A76ED8">
        <w:rPr>
          <w:rFonts w:ascii="Verdana" w:hAnsi="Verdana"/>
          <w:sz w:val="20"/>
          <w:szCs w:val="20"/>
        </w:rPr>
        <w:t xml:space="preserve"> oranında artış gerçekleş</w:t>
      </w:r>
      <w:r>
        <w:rPr>
          <w:rFonts w:ascii="Verdana" w:hAnsi="Verdana"/>
          <w:sz w:val="20"/>
          <w:szCs w:val="20"/>
        </w:rPr>
        <w:t>ti</w:t>
      </w:r>
      <w:r w:rsidRPr="00A76ED8">
        <w:rPr>
          <w:rFonts w:ascii="Verdana" w:hAnsi="Verdana"/>
          <w:sz w:val="20"/>
          <w:szCs w:val="20"/>
        </w:rPr>
        <w:t>.</w:t>
      </w:r>
      <w:r>
        <w:rPr>
          <w:rFonts w:ascii="Verdana" w:hAnsi="Verdana"/>
          <w:sz w:val="20"/>
          <w:szCs w:val="20"/>
        </w:rPr>
        <w:t xml:space="preserve"> </w:t>
      </w:r>
      <w:r w:rsidR="006F042D">
        <w:rPr>
          <w:rFonts w:ascii="Verdana" w:hAnsi="Verdana"/>
          <w:sz w:val="20"/>
          <w:szCs w:val="20"/>
        </w:rPr>
        <w:t>Şubat</w:t>
      </w:r>
      <w:r w:rsidR="006F042D" w:rsidRPr="00A76ED8">
        <w:rPr>
          <w:rFonts w:ascii="Verdana" w:hAnsi="Verdana"/>
          <w:sz w:val="20"/>
          <w:szCs w:val="20"/>
        </w:rPr>
        <w:t xml:space="preserve"> </w:t>
      </w:r>
      <w:r w:rsidRPr="00A76ED8">
        <w:rPr>
          <w:rFonts w:ascii="Verdana" w:hAnsi="Verdana"/>
          <w:sz w:val="20"/>
          <w:szCs w:val="20"/>
        </w:rPr>
        <w:t xml:space="preserve">ayında </w:t>
      </w:r>
      <w:r w:rsidR="006F042D">
        <w:rPr>
          <w:rFonts w:ascii="Verdana" w:hAnsi="Verdana"/>
          <w:sz w:val="20"/>
          <w:szCs w:val="20"/>
        </w:rPr>
        <w:t>Edirne’de</w:t>
      </w:r>
      <w:r w:rsidR="006F042D" w:rsidRPr="00A76ED8">
        <w:rPr>
          <w:rFonts w:ascii="Verdana" w:hAnsi="Verdana"/>
          <w:sz w:val="20"/>
          <w:szCs w:val="20"/>
        </w:rPr>
        <w:t xml:space="preserve"> </w:t>
      </w:r>
      <w:r w:rsidRPr="00A76ED8">
        <w:rPr>
          <w:rFonts w:ascii="Verdana" w:hAnsi="Verdana"/>
          <w:sz w:val="20"/>
          <w:szCs w:val="20"/>
        </w:rPr>
        <w:t>metrekare başına konut kira değerleri %</w:t>
      </w:r>
      <w:r w:rsidR="006F042D">
        <w:rPr>
          <w:rFonts w:ascii="Verdana" w:hAnsi="Verdana"/>
          <w:sz w:val="20"/>
          <w:szCs w:val="20"/>
        </w:rPr>
        <w:t>2,11</w:t>
      </w:r>
      <w:r w:rsidR="006F042D" w:rsidRPr="00A76ED8">
        <w:rPr>
          <w:rFonts w:ascii="Verdana" w:hAnsi="Verdana"/>
          <w:sz w:val="20"/>
          <w:szCs w:val="20"/>
        </w:rPr>
        <w:t xml:space="preserve"> </w:t>
      </w:r>
      <w:r w:rsidRPr="00A76ED8">
        <w:rPr>
          <w:rFonts w:ascii="Verdana" w:hAnsi="Verdana"/>
          <w:sz w:val="20"/>
          <w:szCs w:val="20"/>
        </w:rPr>
        <w:t xml:space="preserve">oranında </w:t>
      </w:r>
      <w:r>
        <w:rPr>
          <w:rFonts w:ascii="Verdana" w:hAnsi="Verdana"/>
          <w:sz w:val="20"/>
          <w:szCs w:val="20"/>
        </w:rPr>
        <w:t>arttı</w:t>
      </w:r>
      <w:r w:rsidRPr="00A76ED8">
        <w:rPr>
          <w:rFonts w:ascii="Verdana" w:hAnsi="Verdana"/>
          <w:sz w:val="20"/>
          <w:szCs w:val="20"/>
        </w:rPr>
        <w:t xml:space="preserve"> ve </w:t>
      </w:r>
      <w:r w:rsidR="006F042D" w:rsidRPr="00EE7822">
        <w:rPr>
          <w:rFonts w:ascii="Verdana" w:hAnsi="Verdana"/>
          <w:b/>
          <w:bCs/>
          <w:sz w:val="20"/>
          <w:szCs w:val="20"/>
        </w:rPr>
        <w:t>Edirne</w:t>
      </w:r>
      <w:r w:rsidR="006F042D" w:rsidRPr="00A76ED8">
        <w:rPr>
          <w:rFonts w:ascii="Verdana" w:hAnsi="Verdana"/>
          <w:sz w:val="20"/>
          <w:szCs w:val="20"/>
        </w:rPr>
        <w:t xml:space="preserve"> </w:t>
      </w:r>
      <w:r w:rsidRPr="00A76ED8">
        <w:rPr>
          <w:rFonts w:ascii="Verdana" w:hAnsi="Verdana"/>
          <w:sz w:val="20"/>
          <w:szCs w:val="20"/>
        </w:rPr>
        <w:t xml:space="preserve">kiraların en çok yükseldiği şehir </w:t>
      </w:r>
      <w:r>
        <w:rPr>
          <w:rFonts w:ascii="Verdana" w:hAnsi="Verdana"/>
          <w:sz w:val="20"/>
          <w:szCs w:val="20"/>
        </w:rPr>
        <w:t>oldu</w:t>
      </w:r>
      <w:r w:rsidRPr="00A76ED8">
        <w:rPr>
          <w:rFonts w:ascii="Verdana" w:hAnsi="Verdana"/>
          <w:sz w:val="20"/>
          <w:szCs w:val="20"/>
        </w:rPr>
        <w:t>.</w:t>
      </w:r>
      <w:r w:rsidRPr="00A76ED8">
        <w:t xml:space="preserve"> </w:t>
      </w:r>
      <w:r w:rsidRPr="00A76ED8">
        <w:rPr>
          <w:rFonts w:ascii="Verdana" w:hAnsi="Verdana"/>
          <w:sz w:val="20"/>
          <w:szCs w:val="20"/>
        </w:rPr>
        <w:t xml:space="preserve">Aynı dönemde konut kira değerlerinin en çok azaldığı şehir ise </w:t>
      </w:r>
      <w:r w:rsidR="00044DF8">
        <w:rPr>
          <w:rFonts w:ascii="Verdana" w:hAnsi="Verdana"/>
          <w:sz w:val="20"/>
          <w:szCs w:val="20"/>
        </w:rPr>
        <w:t xml:space="preserve">kiraların </w:t>
      </w:r>
      <w:r w:rsidRPr="00A76ED8">
        <w:rPr>
          <w:rFonts w:ascii="Verdana" w:hAnsi="Verdana"/>
          <w:sz w:val="20"/>
          <w:szCs w:val="20"/>
        </w:rPr>
        <w:t>%2</w:t>
      </w:r>
      <w:r w:rsidR="00F25644">
        <w:rPr>
          <w:rFonts w:ascii="Verdana" w:hAnsi="Verdana"/>
          <w:sz w:val="20"/>
          <w:szCs w:val="20"/>
        </w:rPr>
        <w:t>,00</w:t>
      </w:r>
      <w:r w:rsidRPr="00A76ED8">
        <w:rPr>
          <w:rFonts w:ascii="Verdana" w:hAnsi="Verdana"/>
          <w:sz w:val="20"/>
          <w:szCs w:val="20"/>
        </w:rPr>
        <w:t xml:space="preserve"> </w:t>
      </w:r>
      <w:r w:rsidR="00044DF8">
        <w:rPr>
          <w:rFonts w:ascii="Verdana" w:hAnsi="Verdana"/>
          <w:sz w:val="20"/>
          <w:szCs w:val="20"/>
        </w:rPr>
        <w:t xml:space="preserve">oranında düştüğü </w:t>
      </w:r>
      <w:r w:rsidR="006F042D" w:rsidRPr="00EE7822">
        <w:rPr>
          <w:rFonts w:ascii="Verdana" w:hAnsi="Verdana"/>
          <w:b/>
          <w:bCs/>
          <w:sz w:val="20"/>
          <w:szCs w:val="20"/>
        </w:rPr>
        <w:t>Artvin</w:t>
      </w:r>
      <w:r w:rsidR="006F042D" w:rsidRPr="00A76ED8">
        <w:rPr>
          <w:rFonts w:ascii="Verdana" w:hAnsi="Verdana"/>
          <w:sz w:val="20"/>
          <w:szCs w:val="20"/>
        </w:rPr>
        <w:t xml:space="preserve"> </w:t>
      </w:r>
      <w:r w:rsidRPr="00A76ED8">
        <w:rPr>
          <w:rFonts w:ascii="Verdana" w:hAnsi="Verdana"/>
          <w:sz w:val="20"/>
          <w:szCs w:val="20"/>
        </w:rPr>
        <w:t>oldu</w:t>
      </w:r>
    </w:p>
    <w:p w14:paraId="39FDFC67" w14:textId="77777777" w:rsidR="00A52F67" w:rsidRPr="00037507" w:rsidRDefault="00A52F67" w:rsidP="00EE1151">
      <w:pPr>
        <w:spacing w:line="360" w:lineRule="auto"/>
        <w:contextualSpacing/>
        <w:jc w:val="both"/>
        <w:rPr>
          <w:rFonts w:ascii="Verdana" w:hAnsi="Verdana"/>
          <w:sz w:val="20"/>
          <w:szCs w:val="20"/>
        </w:rPr>
      </w:pPr>
    </w:p>
    <w:p w14:paraId="5FC8D4F5" w14:textId="2FEE90EF" w:rsidR="00A52F67" w:rsidRPr="00FB6BA7" w:rsidRDefault="00A52F67" w:rsidP="00F25758">
      <w:pPr>
        <w:spacing w:line="360" w:lineRule="auto"/>
        <w:contextualSpacing/>
        <w:jc w:val="both"/>
        <w:outlineLvl w:val="0"/>
        <w:rPr>
          <w:rFonts w:ascii="Verdana" w:hAnsi="Verdana"/>
          <w:b/>
          <w:bCs/>
          <w:sz w:val="20"/>
          <w:szCs w:val="20"/>
        </w:rPr>
      </w:pPr>
      <w:r w:rsidRPr="00037507">
        <w:rPr>
          <w:rFonts w:ascii="Verdana" w:hAnsi="Verdana"/>
          <w:b/>
          <w:bCs/>
          <w:sz w:val="20"/>
          <w:szCs w:val="20"/>
        </w:rPr>
        <w:t xml:space="preserve">En yüksek yıllık kira getirisi </w:t>
      </w:r>
      <w:r w:rsidR="00CB2486">
        <w:rPr>
          <w:rFonts w:ascii="Verdana" w:hAnsi="Verdana"/>
          <w:b/>
          <w:bCs/>
          <w:sz w:val="20"/>
          <w:szCs w:val="20"/>
        </w:rPr>
        <w:t xml:space="preserve">yine </w:t>
      </w:r>
      <w:r w:rsidRPr="00037507">
        <w:rPr>
          <w:rFonts w:ascii="Verdana" w:hAnsi="Verdana"/>
          <w:b/>
          <w:bCs/>
          <w:sz w:val="20"/>
          <w:szCs w:val="20"/>
        </w:rPr>
        <w:t xml:space="preserve">Aydın, Van ve </w:t>
      </w:r>
      <w:r w:rsidR="00037507" w:rsidRPr="00037507">
        <w:rPr>
          <w:rFonts w:ascii="Verdana" w:hAnsi="Verdana"/>
          <w:b/>
          <w:bCs/>
          <w:sz w:val="20"/>
          <w:szCs w:val="20"/>
        </w:rPr>
        <w:t>Şanlıurfa’da</w:t>
      </w:r>
    </w:p>
    <w:p w14:paraId="369E972B" w14:textId="377080AF" w:rsidR="000B2661" w:rsidRDefault="000B2661" w:rsidP="00037507">
      <w:pPr>
        <w:spacing w:line="360" w:lineRule="auto"/>
        <w:contextualSpacing/>
        <w:jc w:val="both"/>
        <w:rPr>
          <w:rFonts w:ascii="Verdana" w:hAnsi="Verdana"/>
          <w:sz w:val="20"/>
          <w:szCs w:val="20"/>
        </w:rPr>
      </w:pPr>
      <w:r w:rsidRPr="00037507">
        <w:rPr>
          <w:rFonts w:ascii="Verdana" w:hAnsi="Verdana"/>
          <w:sz w:val="20"/>
          <w:szCs w:val="20"/>
        </w:rPr>
        <w:t>Satın alınan konutların kiraya verilmesi durumunda, alış fiyatını</w:t>
      </w:r>
      <w:r w:rsidR="00037507" w:rsidRPr="00037507">
        <w:rPr>
          <w:rFonts w:ascii="Verdana" w:hAnsi="Verdana"/>
          <w:sz w:val="20"/>
          <w:szCs w:val="20"/>
        </w:rPr>
        <w:t>n</w:t>
      </w:r>
      <w:r w:rsidRPr="00037507">
        <w:rPr>
          <w:rFonts w:ascii="Verdana" w:hAnsi="Verdana"/>
          <w:sz w:val="20"/>
          <w:szCs w:val="20"/>
        </w:rPr>
        <w:t xml:space="preserve"> kaç yıl içerisinde yıllık kira değeri ile karşılanabileceğini göster</w:t>
      </w:r>
      <w:r w:rsidR="00037507" w:rsidRPr="00037507">
        <w:rPr>
          <w:rFonts w:ascii="Verdana" w:hAnsi="Verdana"/>
          <w:sz w:val="20"/>
          <w:szCs w:val="20"/>
        </w:rPr>
        <w:t xml:space="preserve">en amortisman süresi verilerine göre, </w:t>
      </w:r>
      <w:r w:rsidR="00CB2486">
        <w:rPr>
          <w:rFonts w:ascii="Verdana" w:hAnsi="Verdana"/>
          <w:sz w:val="20"/>
          <w:szCs w:val="20"/>
        </w:rPr>
        <w:t>şubat</w:t>
      </w:r>
      <w:r w:rsidR="00CB2486" w:rsidRPr="00037507">
        <w:rPr>
          <w:rFonts w:ascii="Verdana" w:hAnsi="Verdana"/>
          <w:sz w:val="20"/>
          <w:szCs w:val="20"/>
        </w:rPr>
        <w:t xml:space="preserve"> </w:t>
      </w:r>
      <w:r w:rsidRPr="00037507">
        <w:rPr>
          <w:rFonts w:ascii="Verdana" w:hAnsi="Verdana"/>
          <w:sz w:val="20"/>
          <w:szCs w:val="20"/>
        </w:rPr>
        <w:t>ayı</w:t>
      </w:r>
      <w:r w:rsidR="00037507" w:rsidRPr="00037507">
        <w:rPr>
          <w:rFonts w:ascii="Verdana" w:hAnsi="Verdana"/>
          <w:sz w:val="20"/>
          <w:szCs w:val="20"/>
        </w:rPr>
        <w:t>nın en kısa</w:t>
      </w:r>
      <w:r w:rsidRPr="00037507">
        <w:rPr>
          <w:rFonts w:ascii="Verdana" w:hAnsi="Verdana"/>
          <w:sz w:val="20"/>
          <w:szCs w:val="20"/>
        </w:rPr>
        <w:t xml:space="preserve"> amortisman süre</w:t>
      </w:r>
      <w:r w:rsidR="00037507" w:rsidRPr="00037507">
        <w:rPr>
          <w:rFonts w:ascii="Verdana" w:hAnsi="Verdana"/>
          <w:sz w:val="20"/>
          <w:szCs w:val="20"/>
        </w:rPr>
        <w:t>leri</w:t>
      </w:r>
      <w:r w:rsidRPr="00037507">
        <w:rPr>
          <w:rFonts w:ascii="Verdana" w:hAnsi="Verdana"/>
          <w:sz w:val="20"/>
          <w:szCs w:val="20"/>
        </w:rPr>
        <w:t xml:space="preserve"> </w:t>
      </w:r>
      <w:r w:rsidR="00CB2486">
        <w:rPr>
          <w:rFonts w:ascii="Verdana" w:hAnsi="Verdana"/>
          <w:sz w:val="20"/>
          <w:szCs w:val="20"/>
        </w:rPr>
        <w:t xml:space="preserve">bu ay da </w:t>
      </w:r>
      <w:r w:rsidRPr="00037507">
        <w:rPr>
          <w:rFonts w:ascii="Verdana" w:hAnsi="Verdana"/>
          <w:sz w:val="20"/>
          <w:szCs w:val="20"/>
        </w:rPr>
        <w:t>Aydın, Van ve Şanlıurfa şehirlerinde ölçül</w:t>
      </w:r>
      <w:r w:rsidR="00037507" w:rsidRPr="00037507">
        <w:rPr>
          <w:rFonts w:ascii="Verdana" w:hAnsi="Verdana"/>
          <w:sz w:val="20"/>
          <w:szCs w:val="20"/>
        </w:rPr>
        <w:t>dü</w:t>
      </w:r>
      <w:r w:rsidRPr="00037507">
        <w:rPr>
          <w:rFonts w:ascii="Verdana" w:hAnsi="Verdana"/>
          <w:sz w:val="20"/>
          <w:szCs w:val="20"/>
        </w:rPr>
        <w:t>.</w:t>
      </w:r>
      <w:r w:rsidR="00037507" w:rsidRPr="00037507">
        <w:rPr>
          <w:rFonts w:ascii="Verdana" w:hAnsi="Verdana"/>
          <w:sz w:val="20"/>
          <w:szCs w:val="20"/>
        </w:rPr>
        <w:t xml:space="preserve"> </w:t>
      </w:r>
      <w:r w:rsidR="00CB2486">
        <w:rPr>
          <w:rFonts w:ascii="Verdana" w:hAnsi="Verdana"/>
          <w:sz w:val="20"/>
          <w:szCs w:val="20"/>
        </w:rPr>
        <w:t>K</w:t>
      </w:r>
      <w:r w:rsidR="00037507" w:rsidRPr="00037507">
        <w:rPr>
          <w:rFonts w:ascii="Verdana" w:hAnsi="Verdana"/>
          <w:sz w:val="20"/>
          <w:szCs w:val="20"/>
        </w:rPr>
        <w:t xml:space="preserve">ira değerinin konutun satış fiyatına bölünmesiyle hesaplanan REIDIN Yıllık Brüt Kira Getiri Oranının en yüksek olduğu şehirler </w:t>
      </w:r>
      <w:r w:rsidR="00CB2486">
        <w:rPr>
          <w:rFonts w:ascii="Verdana" w:hAnsi="Verdana"/>
          <w:sz w:val="20"/>
          <w:szCs w:val="20"/>
        </w:rPr>
        <w:t>şubat ayında da değişmedi ve</w:t>
      </w:r>
      <w:r w:rsidR="00CB2486" w:rsidRPr="00037507">
        <w:rPr>
          <w:rFonts w:ascii="Verdana" w:hAnsi="Verdana"/>
          <w:sz w:val="20"/>
          <w:szCs w:val="20"/>
        </w:rPr>
        <w:t xml:space="preserve"> </w:t>
      </w:r>
      <w:r w:rsidR="00037507" w:rsidRPr="00037507">
        <w:rPr>
          <w:rFonts w:ascii="Verdana" w:hAnsi="Verdana"/>
          <w:sz w:val="20"/>
          <w:szCs w:val="20"/>
        </w:rPr>
        <w:t>Aydın, Van ve Şanlıurfa oldu.</w:t>
      </w:r>
    </w:p>
    <w:p w14:paraId="1A28CF8F" w14:textId="77777777" w:rsidR="000B2661" w:rsidRPr="00C060C0" w:rsidRDefault="000B2661" w:rsidP="00F25758">
      <w:pPr>
        <w:pStyle w:val="NormalWeb"/>
        <w:contextualSpacing/>
        <w:jc w:val="both"/>
        <w:outlineLvl w:val="0"/>
        <w:rPr>
          <w:rFonts w:ascii="Verdana" w:hAnsi="Verdana"/>
          <w:b/>
          <w:bCs/>
          <w:color w:val="000000"/>
          <w:sz w:val="20"/>
          <w:szCs w:val="20"/>
        </w:rPr>
      </w:pPr>
      <w:r w:rsidRPr="00C060C0">
        <w:rPr>
          <w:rFonts w:ascii="Verdana" w:hAnsi="Verdana"/>
          <w:b/>
          <w:bCs/>
          <w:color w:val="000000"/>
          <w:sz w:val="20"/>
          <w:szCs w:val="20"/>
        </w:rPr>
        <w:t>İlgili Kişi:</w:t>
      </w:r>
    </w:p>
    <w:p w14:paraId="2AAF5B05" w14:textId="77777777" w:rsidR="000B2661" w:rsidRPr="00C060C0" w:rsidRDefault="000B2661" w:rsidP="00F25758">
      <w:pPr>
        <w:pStyle w:val="NormalWeb"/>
        <w:contextualSpacing/>
        <w:jc w:val="both"/>
        <w:outlineLvl w:val="0"/>
        <w:rPr>
          <w:rFonts w:ascii="Verdana" w:hAnsi="Verdana"/>
          <w:color w:val="000000"/>
          <w:sz w:val="20"/>
          <w:szCs w:val="20"/>
        </w:rPr>
      </w:pPr>
      <w:r w:rsidRPr="00C060C0">
        <w:rPr>
          <w:rFonts w:ascii="Verdana" w:hAnsi="Verdana"/>
          <w:color w:val="000000"/>
          <w:sz w:val="20"/>
          <w:szCs w:val="20"/>
        </w:rPr>
        <w:t>Ceylan Naza</w:t>
      </w:r>
    </w:p>
    <w:p w14:paraId="24439FE4" w14:textId="77777777" w:rsidR="000B2661" w:rsidRPr="00C060C0" w:rsidRDefault="000B2661" w:rsidP="000B2661">
      <w:pPr>
        <w:pStyle w:val="NormalWeb"/>
        <w:contextualSpacing/>
        <w:jc w:val="both"/>
        <w:rPr>
          <w:rFonts w:ascii="Verdana" w:hAnsi="Verdana"/>
          <w:color w:val="000000"/>
          <w:sz w:val="20"/>
          <w:szCs w:val="20"/>
        </w:rPr>
      </w:pPr>
      <w:r w:rsidRPr="00C060C0">
        <w:rPr>
          <w:rFonts w:ascii="Verdana" w:hAnsi="Verdana"/>
          <w:color w:val="000000"/>
          <w:sz w:val="20"/>
          <w:szCs w:val="20"/>
        </w:rPr>
        <w:t>Marjinal Porter Novelli</w:t>
      </w:r>
    </w:p>
    <w:p w14:paraId="5159B5D5" w14:textId="77777777" w:rsidR="000B2661" w:rsidRDefault="000B2661" w:rsidP="000B2661">
      <w:pPr>
        <w:pStyle w:val="NormalWeb"/>
        <w:contextualSpacing/>
        <w:jc w:val="both"/>
        <w:rPr>
          <w:rFonts w:ascii="Verdana" w:hAnsi="Verdana"/>
          <w:color w:val="000000"/>
          <w:sz w:val="20"/>
          <w:szCs w:val="20"/>
        </w:rPr>
      </w:pPr>
      <w:r w:rsidRPr="00C060C0">
        <w:rPr>
          <w:rFonts w:ascii="Verdana" w:hAnsi="Verdana"/>
          <w:color w:val="000000"/>
          <w:sz w:val="20"/>
          <w:szCs w:val="20"/>
        </w:rPr>
        <w:t>0212 219 29 71</w:t>
      </w:r>
    </w:p>
    <w:p w14:paraId="79A19B92" w14:textId="77777777" w:rsidR="000B2661" w:rsidRPr="00C060C0" w:rsidRDefault="000B2661" w:rsidP="000B2661">
      <w:pPr>
        <w:pStyle w:val="NormalWeb"/>
        <w:contextualSpacing/>
        <w:jc w:val="both"/>
        <w:rPr>
          <w:rFonts w:ascii="Verdana" w:hAnsi="Verdana"/>
          <w:color w:val="000000"/>
          <w:sz w:val="20"/>
          <w:szCs w:val="20"/>
        </w:rPr>
      </w:pPr>
      <w:r w:rsidRPr="00C060C0">
        <w:rPr>
          <w:rFonts w:ascii="Verdana" w:hAnsi="Verdana"/>
          <w:color w:val="000000"/>
          <w:sz w:val="20"/>
          <w:szCs w:val="20"/>
        </w:rPr>
        <w:t>ceylann@marjinal.com.tr</w:t>
      </w:r>
    </w:p>
    <w:p w14:paraId="47DA1F28" w14:textId="77777777" w:rsidR="000B2661" w:rsidRDefault="000B2661" w:rsidP="000B2661">
      <w:pPr>
        <w:pStyle w:val="NormalWeb"/>
        <w:contextualSpacing/>
        <w:jc w:val="both"/>
        <w:rPr>
          <w:rFonts w:ascii="Verdana" w:hAnsi="Verdana"/>
          <w:b/>
          <w:bCs/>
          <w:color w:val="000000"/>
          <w:sz w:val="20"/>
          <w:szCs w:val="20"/>
        </w:rPr>
      </w:pPr>
    </w:p>
    <w:p w14:paraId="15EA29C2" w14:textId="77777777" w:rsidR="000B2661" w:rsidRDefault="000B2661" w:rsidP="000B2661">
      <w:pPr>
        <w:pStyle w:val="NormalWeb"/>
        <w:contextualSpacing/>
        <w:jc w:val="both"/>
        <w:rPr>
          <w:rFonts w:ascii="Verdana" w:hAnsi="Verdana"/>
          <w:b/>
          <w:bCs/>
          <w:color w:val="000000"/>
          <w:sz w:val="20"/>
          <w:szCs w:val="20"/>
        </w:rPr>
      </w:pPr>
    </w:p>
    <w:p w14:paraId="73E40E8C" w14:textId="77777777" w:rsidR="00C50C93" w:rsidRDefault="00C50C93" w:rsidP="00F25758">
      <w:pPr>
        <w:pStyle w:val="NormalWeb"/>
        <w:contextualSpacing/>
        <w:jc w:val="both"/>
        <w:outlineLvl w:val="0"/>
        <w:rPr>
          <w:rFonts w:ascii="Verdana" w:hAnsi="Verdana"/>
          <w:b/>
          <w:bCs/>
          <w:color w:val="000000"/>
          <w:sz w:val="16"/>
          <w:szCs w:val="16"/>
        </w:rPr>
      </w:pPr>
      <w:r>
        <w:rPr>
          <w:rFonts w:ascii="Verdana" w:hAnsi="Verdana"/>
          <w:b/>
          <w:bCs/>
          <w:color w:val="000000"/>
          <w:sz w:val="16"/>
          <w:szCs w:val="16"/>
        </w:rPr>
        <w:t>REIDIN hakkında</w:t>
      </w:r>
    </w:p>
    <w:p w14:paraId="00FB5537" w14:textId="202CDB41" w:rsidR="00C50C93" w:rsidRPr="00C50C93" w:rsidRDefault="00C50C93" w:rsidP="00C50C93">
      <w:pPr>
        <w:pStyle w:val="NormalWeb"/>
        <w:contextualSpacing/>
        <w:jc w:val="both"/>
        <w:rPr>
          <w:rFonts w:ascii="Verdana" w:hAnsi="Verdana"/>
          <w:b/>
          <w:bCs/>
          <w:color w:val="000000"/>
          <w:sz w:val="16"/>
          <w:szCs w:val="16"/>
        </w:rPr>
      </w:pPr>
      <w:r>
        <w:rPr>
          <w:rFonts w:ascii="Verdana" w:hAnsi="Verdana"/>
          <w:color w:val="000000"/>
          <w:sz w:val="16"/>
          <w:szCs w:val="16"/>
        </w:rPr>
        <w:t>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zeka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p w14:paraId="25AB2364" w14:textId="77777777" w:rsidR="007D65BD" w:rsidRPr="00E77729" w:rsidRDefault="007D65BD" w:rsidP="00EE1151">
      <w:pPr>
        <w:spacing w:line="360" w:lineRule="auto"/>
        <w:contextualSpacing/>
        <w:jc w:val="both"/>
        <w:rPr>
          <w:rFonts w:ascii="Verdana" w:hAnsi="Verdana"/>
          <w:color w:val="808080" w:themeColor="background1" w:themeShade="80"/>
          <w:sz w:val="20"/>
          <w:szCs w:val="20"/>
        </w:rPr>
      </w:pPr>
    </w:p>
    <w:sectPr w:rsidR="007D65BD" w:rsidRPr="00E7772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77146" w16cid:durableId="1E54C4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7"/>
    <w:rsid w:val="00037507"/>
    <w:rsid w:val="00044DF8"/>
    <w:rsid w:val="00052CED"/>
    <w:rsid w:val="00055951"/>
    <w:rsid w:val="000B2661"/>
    <w:rsid w:val="000C18F0"/>
    <w:rsid w:val="000C75F3"/>
    <w:rsid w:val="001B2AAE"/>
    <w:rsid w:val="002011DA"/>
    <w:rsid w:val="002F7624"/>
    <w:rsid w:val="00304F9E"/>
    <w:rsid w:val="003161E9"/>
    <w:rsid w:val="00440B23"/>
    <w:rsid w:val="00492653"/>
    <w:rsid w:val="005A3909"/>
    <w:rsid w:val="006B066D"/>
    <w:rsid w:val="006F042D"/>
    <w:rsid w:val="00745527"/>
    <w:rsid w:val="00776367"/>
    <w:rsid w:val="007C6EF3"/>
    <w:rsid w:val="007D65BD"/>
    <w:rsid w:val="00886DF6"/>
    <w:rsid w:val="008A5B51"/>
    <w:rsid w:val="008F46CF"/>
    <w:rsid w:val="008F7F09"/>
    <w:rsid w:val="0099713B"/>
    <w:rsid w:val="009D5365"/>
    <w:rsid w:val="009F2DE5"/>
    <w:rsid w:val="00A52F67"/>
    <w:rsid w:val="00A76ED6"/>
    <w:rsid w:val="00A76ED8"/>
    <w:rsid w:val="00AB7385"/>
    <w:rsid w:val="00B13C6B"/>
    <w:rsid w:val="00B31F9C"/>
    <w:rsid w:val="00BA50D6"/>
    <w:rsid w:val="00BE040D"/>
    <w:rsid w:val="00C50C93"/>
    <w:rsid w:val="00CB2486"/>
    <w:rsid w:val="00D06E62"/>
    <w:rsid w:val="00D31A12"/>
    <w:rsid w:val="00D44CE9"/>
    <w:rsid w:val="00DA5592"/>
    <w:rsid w:val="00E04B09"/>
    <w:rsid w:val="00E15319"/>
    <w:rsid w:val="00E17136"/>
    <w:rsid w:val="00E2766A"/>
    <w:rsid w:val="00E77729"/>
    <w:rsid w:val="00EB736C"/>
    <w:rsid w:val="00EE1151"/>
    <w:rsid w:val="00EE7822"/>
    <w:rsid w:val="00F123A0"/>
    <w:rsid w:val="00F25644"/>
    <w:rsid w:val="00F25758"/>
    <w:rsid w:val="00F2764E"/>
    <w:rsid w:val="00F34511"/>
    <w:rsid w:val="00FB6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7C5B"/>
  <w15:chartTrackingRefBased/>
  <w15:docId w15:val="{0DACD94C-86F1-401B-A309-607AF9FA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55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6BA7"/>
    <w:rPr>
      <w:b/>
      <w:bCs/>
    </w:rPr>
  </w:style>
  <w:style w:type="character" w:styleId="AklamaBavurusu">
    <w:name w:val="annotation reference"/>
    <w:basedOn w:val="VarsaylanParagrafYazTipi"/>
    <w:uiPriority w:val="99"/>
    <w:semiHidden/>
    <w:unhideWhenUsed/>
    <w:rsid w:val="00B13C6B"/>
    <w:rPr>
      <w:sz w:val="16"/>
      <w:szCs w:val="16"/>
    </w:rPr>
  </w:style>
  <w:style w:type="paragraph" w:styleId="AklamaMetni">
    <w:name w:val="annotation text"/>
    <w:basedOn w:val="Normal"/>
    <w:link w:val="AklamaMetniChar"/>
    <w:uiPriority w:val="99"/>
    <w:semiHidden/>
    <w:unhideWhenUsed/>
    <w:rsid w:val="00B13C6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3C6B"/>
    <w:rPr>
      <w:sz w:val="20"/>
      <w:szCs w:val="20"/>
      <w:lang w:val="tr-TR"/>
    </w:rPr>
  </w:style>
  <w:style w:type="paragraph" w:styleId="AklamaKonusu">
    <w:name w:val="annotation subject"/>
    <w:basedOn w:val="AklamaMetni"/>
    <w:next w:val="AklamaMetni"/>
    <w:link w:val="AklamaKonusuChar"/>
    <w:uiPriority w:val="99"/>
    <w:semiHidden/>
    <w:unhideWhenUsed/>
    <w:rsid w:val="00B13C6B"/>
    <w:rPr>
      <w:b/>
      <w:bCs/>
    </w:rPr>
  </w:style>
  <w:style w:type="character" w:customStyle="1" w:styleId="AklamaKonusuChar">
    <w:name w:val="Açıklama Konusu Char"/>
    <w:basedOn w:val="AklamaMetniChar"/>
    <w:link w:val="AklamaKonusu"/>
    <w:uiPriority w:val="99"/>
    <w:semiHidden/>
    <w:rsid w:val="00B13C6B"/>
    <w:rPr>
      <w:b/>
      <w:bCs/>
      <w:sz w:val="20"/>
      <w:szCs w:val="20"/>
      <w:lang w:val="tr-TR"/>
    </w:rPr>
  </w:style>
  <w:style w:type="paragraph" w:styleId="BalonMetni">
    <w:name w:val="Balloon Text"/>
    <w:basedOn w:val="Normal"/>
    <w:link w:val="BalonMetniChar"/>
    <w:uiPriority w:val="99"/>
    <w:semiHidden/>
    <w:unhideWhenUsed/>
    <w:rsid w:val="00B13C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3C6B"/>
    <w:rPr>
      <w:rFonts w:ascii="Segoe UI" w:hAnsi="Segoe UI" w:cs="Segoe UI"/>
      <w:sz w:val="18"/>
      <w:szCs w:val="18"/>
      <w:lang w:val="tr-TR"/>
    </w:rPr>
  </w:style>
  <w:style w:type="paragraph" w:customStyle="1" w:styleId="xmsonormal">
    <w:name w:val="x_msonormal"/>
    <w:basedOn w:val="Normal"/>
    <w:rsid w:val="00D06E62"/>
    <w:pPr>
      <w:spacing w:before="100" w:beforeAutospacing="1" w:after="100" w:afterAutospacing="1" w:line="240" w:lineRule="auto"/>
    </w:pPr>
    <w:rPr>
      <w:rFonts w:ascii="Times New Roman" w:hAnsi="Times New Roman" w:cs="Times New Roman"/>
      <w:sz w:val="24"/>
      <w:szCs w:val="24"/>
      <w:lang w:val="en-US"/>
    </w:rPr>
  </w:style>
  <w:style w:type="paragraph" w:styleId="Dzeltme">
    <w:name w:val="Revision"/>
    <w:hidden/>
    <w:uiPriority w:val="99"/>
    <w:semiHidden/>
    <w:rsid w:val="00F25758"/>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121">
      <w:bodyDiv w:val="1"/>
      <w:marLeft w:val="0"/>
      <w:marRight w:val="0"/>
      <w:marTop w:val="0"/>
      <w:marBottom w:val="0"/>
      <w:divBdr>
        <w:top w:val="none" w:sz="0" w:space="0" w:color="auto"/>
        <w:left w:val="none" w:sz="0" w:space="0" w:color="auto"/>
        <w:bottom w:val="none" w:sz="0" w:space="0" w:color="auto"/>
        <w:right w:val="none" w:sz="0" w:space="0" w:color="auto"/>
      </w:divBdr>
    </w:div>
    <w:div w:id="255284066">
      <w:bodyDiv w:val="1"/>
      <w:marLeft w:val="0"/>
      <w:marRight w:val="0"/>
      <w:marTop w:val="0"/>
      <w:marBottom w:val="0"/>
      <w:divBdr>
        <w:top w:val="none" w:sz="0" w:space="0" w:color="auto"/>
        <w:left w:val="none" w:sz="0" w:space="0" w:color="auto"/>
        <w:bottom w:val="none" w:sz="0" w:space="0" w:color="auto"/>
        <w:right w:val="none" w:sz="0" w:space="0" w:color="auto"/>
      </w:divBdr>
    </w:div>
    <w:div w:id="306059237">
      <w:bodyDiv w:val="1"/>
      <w:marLeft w:val="0"/>
      <w:marRight w:val="0"/>
      <w:marTop w:val="0"/>
      <w:marBottom w:val="0"/>
      <w:divBdr>
        <w:top w:val="none" w:sz="0" w:space="0" w:color="auto"/>
        <w:left w:val="none" w:sz="0" w:space="0" w:color="auto"/>
        <w:bottom w:val="none" w:sz="0" w:space="0" w:color="auto"/>
        <w:right w:val="none" w:sz="0" w:space="0" w:color="auto"/>
      </w:divBdr>
    </w:div>
    <w:div w:id="355277815">
      <w:bodyDiv w:val="1"/>
      <w:marLeft w:val="0"/>
      <w:marRight w:val="0"/>
      <w:marTop w:val="0"/>
      <w:marBottom w:val="0"/>
      <w:divBdr>
        <w:top w:val="none" w:sz="0" w:space="0" w:color="auto"/>
        <w:left w:val="none" w:sz="0" w:space="0" w:color="auto"/>
        <w:bottom w:val="none" w:sz="0" w:space="0" w:color="auto"/>
        <w:right w:val="none" w:sz="0" w:space="0" w:color="auto"/>
      </w:divBdr>
    </w:div>
    <w:div w:id="401947983">
      <w:bodyDiv w:val="1"/>
      <w:marLeft w:val="0"/>
      <w:marRight w:val="0"/>
      <w:marTop w:val="0"/>
      <w:marBottom w:val="0"/>
      <w:divBdr>
        <w:top w:val="none" w:sz="0" w:space="0" w:color="auto"/>
        <w:left w:val="none" w:sz="0" w:space="0" w:color="auto"/>
        <w:bottom w:val="none" w:sz="0" w:space="0" w:color="auto"/>
        <w:right w:val="none" w:sz="0" w:space="0" w:color="auto"/>
      </w:divBdr>
    </w:div>
    <w:div w:id="434520085">
      <w:bodyDiv w:val="1"/>
      <w:marLeft w:val="0"/>
      <w:marRight w:val="0"/>
      <w:marTop w:val="0"/>
      <w:marBottom w:val="0"/>
      <w:divBdr>
        <w:top w:val="none" w:sz="0" w:space="0" w:color="auto"/>
        <w:left w:val="none" w:sz="0" w:space="0" w:color="auto"/>
        <w:bottom w:val="none" w:sz="0" w:space="0" w:color="auto"/>
        <w:right w:val="none" w:sz="0" w:space="0" w:color="auto"/>
      </w:divBdr>
    </w:div>
    <w:div w:id="527446085">
      <w:bodyDiv w:val="1"/>
      <w:marLeft w:val="0"/>
      <w:marRight w:val="0"/>
      <w:marTop w:val="0"/>
      <w:marBottom w:val="0"/>
      <w:divBdr>
        <w:top w:val="none" w:sz="0" w:space="0" w:color="auto"/>
        <w:left w:val="none" w:sz="0" w:space="0" w:color="auto"/>
        <w:bottom w:val="none" w:sz="0" w:space="0" w:color="auto"/>
        <w:right w:val="none" w:sz="0" w:space="0" w:color="auto"/>
      </w:divBdr>
    </w:div>
    <w:div w:id="552041564">
      <w:bodyDiv w:val="1"/>
      <w:marLeft w:val="0"/>
      <w:marRight w:val="0"/>
      <w:marTop w:val="0"/>
      <w:marBottom w:val="0"/>
      <w:divBdr>
        <w:top w:val="none" w:sz="0" w:space="0" w:color="auto"/>
        <w:left w:val="none" w:sz="0" w:space="0" w:color="auto"/>
        <w:bottom w:val="none" w:sz="0" w:space="0" w:color="auto"/>
        <w:right w:val="none" w:sz="0" w:space="0" w:color="auto"/>
      </w:divBdr>
    </w:div>
    <w:div w:id="598106308">
      <w:bodyDiv w:val="1"/>
      <w:marLeft w:val="0"/>
      <w:marRight w:val="0"/>
      <w:marTop w:val="0"/>
      <w:marBottom w:val="0"/>
      <w:divBdr>
        <w:top w:val="none" w:sz="0" w:space="0" w:color="auto"/>
        <w:left w:val="none" w:sz="0" w:space="0" w:color="auto"/>
        <w:bottom w:val="none" w:sz="0" w:space="0" w:color="auto"/>
        <w:right w:val="none" w:sz="0" w:space="0" w:color="auto"/>
      </w:divBdr>
    </w:div>
    <w:div w:id="680817875">
      <w:bodyDiv w:val="1"/>
      <w:marLeft w:val="0"/>
      <w:marRight w:val="0"/>
      <w:marTop w:val="0"/>
      <w:marBottom w:val="0"/>
      <w:divBdr>
        <w:top w:val="none" w:sz="0" w:space="0" w:color="auto"/>
        <w:left w:val="none" w:sz="0" w:space="0" w:color="auto"/>
        <w:bottom w:val="none" w:sz="0" w:space="0" w:color="auto"/>
        <w:right w:val="none" w:sz="0" w:space="0" w:color="auto"/>
      </w:divBdr>
    </w:div>
    <w:div w:id="785122112">
      <w:bodyDiv w:val="1"/>
      <w:marLeft w:val="0"/>
      <w:marRight w:val="0"/>
      <w:marTop w:val="0"/>
      <w:marBottom w:val="0"/>
      <w:divBdr>
        <w:top w:val="none" w:sz="0" w:space="0" w:color="auto"/>
        <w:left w:val="none" w:sz="0" w:space="0" w:color="auto"/>
        <w:bottom w:val="none" w:sz="0" w:space="0" w:color="auto"/>
        <w:right w:val="none" w:sz="0" w:space="0" w:color="auto"/>
      </w:divBdr>
    </w:div>
    <w:div w:id="843935482">
      <w:bodyDiv w:val="1"/>
      <w:marLeft w:val="0"/>
      <w:marRight w:val="0"/>
      <w:marTop w:val="0"/>
      <w:marBottom w:val="0"/>
      <w:divBdr>
        <w:top w:val="none" w:sz="0" w:space="0" w:color="auto"/>
        <w:left w:val="none" w:sz="0" w:space="0" w:color="auto"/>
        <w:bottom w:val="none" w:sz="0" w:space="0" w:color="auto"/>
        <w:right w:val="none" w:sz="0" w:space="0" w:color="auto"/>
      </w:divBdr>
    </w:div>
    <w:div w:id="924074088">
      <w:bodyDiv w:val="1"/>
      <w:marLeft w:val="0"/>
      <w:marRight w:val="0"/>
      <w:marTop w:val="0"/>
      <w:marBottom w:val="0"/>
      <w:divBdr>
        <w:top w:val="none" w:sz="0" w:space="0" w:color="auto"/>
        <w:left w:val="none" w:sz="0" w:space="0" w:color="auto"/>
        <w:bottom w:val="none" w:sz="0" w:space="0" w:color="auto"/>
        <w:right w:val="none" w:sz="0" w:space="0" w:color="auto"/>
      </w:divBdr>
    </w:div>
    <w:div w:id="943028341">
      <w:bodyDiv w:val="1"/>
      <w:marLeft w:val="0"/>
      <w:marRight w:val="0"/>
      <w:marTop w:val="0"/>
      <w:marBottom w:val="0"/>
      <w:divBdr>
        <w:top w:val="none" w:sz="0" w:space="0" w:color="auto"/>
        <w:left w:val="none" w:sz="0" w:space="0" w:color="auto"/>
        <w:bottom w:val="none" w:sz="0" w:space="0" w:color="auto"/>
        <w:right w:val="none" w:sz="0" w:space="0" w:color="auto"/>
      </w:divBdr>
    </w:div>
    <w:div w:id="952592704">
      <w:bodyDiv w:val="1"/>
      <w:marLeft w:val="0"/>
      <w:marRight w:val="0"/>
      <w:marTop w:val="0"/>
      <w:marBottom w:val="0"/>
      <w:divBdr>
        <w:top w:val="none" w:sz="0" w:space="0" w:color="auto"/>
        <w:left w:val="none" w:sz="0" w:space="0" w:color="auto"/>
        <w:bottom w:val="none" w:sz="0" w:space="0" w:color="auto"/>
        <w:right w:val="none" w:sz="0" w:space="0" w:color="auto"/>
      </w:divBdr>
    </w:div>
    <w:div w:id="958881235">
      <w:bodyDiv w:val="1"/>
      <w:marLeft w:val="0"/>
      <w:marRight w:val="0"/>
      <w:marTop w:val="0"/>
      <w:marBottom w:val="0"/>
      <w:divBdr>
        <w:top w:val="none" w:sz="0" w:space="0" w:color="auto"/>
        <w:left w:val="none" w:sz="0" w:space="0" w:color="auto"/>
        <w:bottom w:val="none" w:sz="0" w:space="0" w:color="auto"/>
        <w:right w:val="none" w:sz="0" w:space="0" w:color="auto"/>
      </w:divBdr>
    </w:div>
    <w:div w:id="1016806812">
      <w:bodyDiv w:val="1"/>
      <w:marLeft w:val="0"/>
      <w:marRight w:val="0"/>
      <w:marTop w:val="0"/>
      <w:marBottom w:val="0"/>
      <w:divBdr>
        <w:top w:val="none" w:sz="0" w:space="0" w:color="auto"/>
        <w:left w:val="none" w:sz="0" w:space="0" w:color="auto"/>
        <w:bottom w:val="none" w:sz="0" w:space="0" w:color="auto"/>
        <w:right w:val="none" w:sz="0" w:space="0" w:color="auto"/>
      </w:divBdr>
    </w:div>
    <w:div w:id="1065376995">
      <w:bodyDiv w:val="1"/>
      <w:marLeft w:val="0"/>
      <w:marRight w:val="0"/>
      <w:marTop w:val="0"/>
      <w:marBottom w:val="0"/>
      <w:divBdr>
        <w:top w:val="none" w:sz="0" w:space="0" w:color="auto"/>
        <w:left w:val="none" w:sz="0" w:space="0" w:color="auto"/>
        <w:bottom w:val="none" w:sz="0" w:space="0" w:color="auto"/>
        <w:right w:val="none" w:sz="0" w:space="0" w:color="auto"/>
      </w:divBdr>
    </w:div>
    <w:div w:id="1089036818">
      <w:bodyDiv w:val="1"/>
      <w:marLeft w:val="0"/>
      <w:marRight w:val="0"/>
      <w:marTop w:val="0"/>
      <w:marBottom w:val="0"/>
      <w:divBdr>
        <w:top w:val="none" w:sz="0" w:space="0" w:color="auto"/>
        <w:left w:val="none" w:sz="0" w:space="0" w:color="auto"/>
        <w:bottom w:val="none" w:sz="0" w:space="0" w:color="auto"/>
        <w:right w:val="none" w:sz="0" w:space="0" w:color="auto"/>
      </w:divBdr>
    </w:div>
    <w:div w:id="1285846995">
      <w:bodyDiv w:val="1"/>
      <w:marLeft w:val="0"/>
      <w:marRight w:val="0"/>
      <w:marTop w:val="0"/>
      <w:marBottom w:val="0"/>
      <w:divBdr>
        <w:top w:val="none" w:sz="0" w:space="0" w:color="auto"/>
        <w:left w:val="none" w:sz="0" w:space="0" w:color="auto"/>
        <w:bottom w:val="none" w:sz="0" w:space="0" w:color="auto"/>
        <w:right w:val="none" w:sz="0" w:space="0" w:color="auto"/>
      </w:divBdr>
    </w:div>
    <w:div w:id="1490244868">
      <w:bodyDiv w:val="1"/>
      <w:marLeft w:val="0"/>
      <w:marRight w:val="0"/>
      <w:marTop w:val="0"/>
      <w:marBottom w:val="0"/>
      <w:divBdr>
        <w:top w:val="none" w:sz="0" w:space="0" w:color="auto"/>
        <w:left w:val="none" w:sz="0" w:space="0" w:color="auto"/>
        <w:bottom w:val="none" w:sz="0" w:space="0" w:color="auto"/>
        <w:right w:val="none" w:sz="0" w:space="0" w:color="auto"/>
      </w:divBdr>
    </w:div>
    <w:div w:id="1512908670">
      <w:bodyDiv w:val="1"/>
      <w:marLeft w:val="0"/>
      <w:marRight w:val="0"/>
      <w:marTop w:val="0"/>
      <w:marBottom w:val="0"/>
      <w:divBdr>
        <w:top w:val="none" w:sz="0" w:space="0" w:color="auto"/>
        <w:left w:val="none" w:sz="0" w:space="0" w:color="auto"/>
        <w:bottom w:val="none" w:sz="0" w:space="0" w:color="auto"/>
        <w:right w:val="none" w:sz="0" w:space="0" w:color="auto"/>
      </w:divBdr>
    </w:div>
    <w:div w:id="1600792131">
      <w:bodyDiv w:val="1"/>
      <w:marLeft w:val="0"/>
      <w:marRight w:val="0"/>
      <w:marTop w:val="0"/>
      <w:marBottom w:val="0"/>
      <w:divBdr>
        <w:top w:val="none" w:sz="0" w:space="0" w:color="auto"/>
        <w:left w:val="none" w:sz="0" w:space="0" w:color="auto"/>
        <w:bottom w:val="none" w:sz="0" w:space="0" w:color="auto"/>
        <w:right w:val="none" w:sz="0" w:space="0" w:color="auto"/>
      </w:divBdr>
    </w:div>
    <w:div w:id="1673068638">
      <w:bodyDiv w:val="1"/>
      <w:marLeft w:val="0"/>
      <w:marRight w:val="0"/>
      <w:marTop w:val="0"/>
      <w:marBottom w:val="0"/>
      <w:divBdr>
        <w:top w:val="none" w:sz="0" w:space="0" w:color="auto"/>
        <w:left w:val="none" w:sz="0" w:space="0" w:color="auto"/>
        <w:bottom w:val="none" w:sz="0" w:space="0" w:color="auto"/>
        <w:right w:val="none" w:sz="0" w:space="0" w:color="auto"/>
      </w:divBdr>
    </w:div>
    <w:div w:id="1775174319">
      <w:bodyDiv w:val="1"/>
      <w:marLeft w:val="0"/>
      <w:marRight w:val="0"/>
      <w:marTop w:val="0"/>
      <w:marBottom w:val="0"/>
      <w:divBdr>
        <w:top w:val="none" w:sz="0" w:space="0" w:color="auto"/>
        <w:left w:val="none" w:sz="0" w:space="0" w:color="auto"/>
        <w:bottom w:val="none" w:sz="0" w:space="0" w:color="auto"/>
        <w:right w:val="none" w:sz="0" w:space="0" w:color="auto"/>
      </w:divBdr>
    </w:div>
    <w:div w:id="1823691887">
      <w:bodyDiv w:val="1"/>
      <w:marLeft w:val="0"/>
      <w:marRight w:val="0"/>
      <w:marTop w:val="0"/>
      <w:marBottom w:val="0"/>
      <w:divBdr>
        <w:top w:val="none" w:sz="0" w:space="0" w:color="auto"/>
        <w:left w:val="none" w:sz="0" w:space="0" w:color="auto"/>
        <w:bottom w:val="none" w:sz="0" w:space="0" w:color="auto"/>
        <w:right w:val="none" w:sz="0" w:space="0" w:color="auto"/>
      </w:divBdr>
    </w:div>
    <w:div w:id="2072731477">
      <w:bodyDiv w:val="1"/>
      <w:marLeft w:val="0"/>
      <w:marRight w:val="0"/>
      <w:marTop w:val="0"/>
      <w:marBottom w:val="0"/>
      <w:divBdr>
        <w:top w:val="none" w:sz="0" w:space="0" w:color="auto"/>
        <w:left w:val="none" w:sz="0" w:space="0" w:color="auto"/>
        <w:bottom w:val="none" w:sz="0" w:space="0" w:color="auto"/>
        <w:right w:val="none" w:sz="0" w:space="0" w:color="auto"/>
      </w:divBdr>
    </w:div>
    <w:div w:id="21465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BF729-72A1-4E92-8D6F-57FC35253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9AC88-69C6-4620-8E6C-E7D811E3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72435-A8EC-488D-AC02-9B367F122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956</Words>
  <Characters>5453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Ceylan Naza</cp:lastModifiedBy>
  <cp:revision>4</cp:revision>
  <dcterms:created xsi:type="dcterms:W3CDTF">2018-03-15T08:43:00Z</dcterms:created>
  <dcterms:modified xsi:type="dcterms:W3CDTF">2018-03-15T09:18:00Z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