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8A" w:rsidRDefault="001D248A" w:rsidP="00D4656F">
      <w:pPr>
        <w:spacing w:line="360" w:lineRule="auto"/>
        <w:jc w:val="center"/>
        <w:rPr>
          <w:rFonts w:ascii="Verdana" w:hAnsi="Verdana"/>
          <w:b/>
          <w:bCs/>
          <w:sz w:val="28"/>
          <w:szCs w:val="28"/>
        </w:rPr>
      </w:pPr>
      <w:r>
        <w:rPr>
          <w:rFonts w:ascii="Verdana" w:hAnsi="Verdana"/>
          <w:b/>
          <w:bCs/>
          <w:sz w:val="28"/>
          <w:szCs w:val="28"/>
        </w:rPr>
        <w:t>Geç gelen kış baharlık satışlarını patlattı</w:t>
      </w:r>
    </w:p>
    <w:p w:rsidR="00D4656F" w:rsidRDefault="00D4656F" w:rsidP="00D4656F">
      <w:pPr>
        <w:spacing w:line="360" w:lineRule="auto"/>
        <w:jc w:val="center"/>
        <w:rPr>
          <w:rFonts w:ascii="Verdana" w:hAnsi="Verdana"/>
          <w:b/>
          <w:bCs/>
          <w:sz w:val="24"/>
          <w:szCs w:val="24"/>
        </w:rPr>
      </w:pPr>
      <w:r>
        <w:rPr>
          <w:rFonts w:ascii="Verdana" w:hAnsi="Verdana"/>
          <w:b/>
          <w:bCs/>
          <w:sz w:val="24"/>
          <w:szCs w:val="24"/>
        </w:rPr>
        <w:t>Bu sene h</w:t>
      </w:r>
      <w:r w:rsidR="006C5944">
        <w:rPr>
          <w:rFonts w:ascii="Verdana" w:hAnsi="Verdana"/>
          <w:b/>
          <w:bCs/>
          <w:sz w:val="24"/>
          <w:szCs w:val="24"/>
        </w:rPr>
        <w:t>ava sıcaklıkları</w:t>
      </w:r>
      <w:r>
        <w:rPr>
          <w:rFonts w:ascii="Verdana" w:hAnsi="Verdana"/>
          <w:b/>
          <w:bCs/>
          <w:sz w:val="24"/>
          <w:szCs w:val="24"/>
        </w:rPr>
        <w:t>nın</w:t>
      </w:r>
      <w:r w:rsidR="006C5944">
        <w:rPr>
          <w:rFonts w:ascii="Verdana" w:hAnsi="Verdana"/>
          <w:b/>
          <w:bCs/>
          <w:sz w:val="24"/>
          <w:szCs w:val="24"/>
        </w:rPr>
        <w:t xml:space="preserve"> mevsim normalleri</w:t>
      </w:r>
      <w:r>
        <w:rPr>
          <w:rFonts w:ascii="Verdana" w:hAnsi="Verdana"/>
          <w:b/>
          <w:bCs/>
          <w:sz w:val="24"/>
          <w:szCs w:val="24"/>
        </w:rPr>
        <w:t>nin</w:t>
      </w:r>
      <w:r w:rsidR="006C5944">
        <w:rPr>
          <w:rFonts w:ascii="Verdana" w:hAnsi="Verdana"/>
          <w:b/>
          <w:bCs/>
          <w:sz w:val="24"/>
          <w:szCs w:val="24"/>
        </w:rPr>
        <w:t xml:space="preserve"> </w:t>
      </w:r>
      <w:r>
        <w:rPr>
          <w:rFonts w:ascii="Verdana" w:hAnsi="Verdana"/>
          <w:b/>
          <w:bCs/>
          <w:sz w:val="24"/>
          <w:szCs w:val="24"/>
        </w:rPr>
        <w:t>üstünde seyretmesi kıyafet alışverişlerini de etkiledi. Morhipo.com verilerine göre, g</w:t>
      </w:r>
      <w:r w:rsidRPr="00D4656F">
        <w:rPr>
          <w:rFonts w:ascii="Verdana" w:hAnsi="Verdana"/>
          <w:b/>
          <w:bCs/>
          <w:sz w:val="24"/>
          <w:szCs w:val="24"/>
        </w:rPr>
        <w:t xml:space="preserve">eçen seneye </w:t>
      </w:r>
      <w:r>
        <w:rPr>
          <w:rFonts w:ascii="Verdana" w:hAnsi="Verdana"/>
          <w:b/>
          <w:bCs/>
          <w:sz w:val="24"/>
          <w:szCs w:val="24"/>
        </w:rPr>
        <w:t>oranla</w:t>
      </w:r>
      <w:r w:rsidRPr="00D4656F">
        <w:rPr>
          <w:rFonts w:ascii="Verdana" w:hAnsi="Verdana"/>
          <w:b/>
          <w:bCs/>
          <w:sz w:val="24"/>
          <w:szCs w:val="24"/>
        </w:rPr>
        <w:t xml:space="preserve"> baharlık ürün satışı %60 oranında arttı</w:t>
      </w:r>
      <w:r>
        <w:rPr>
          <w:rFonts w:ascii="Verdana" w:hAnsi="Verdana"/>
          <w:b/>
          <w:bCs/>
          <w:sz w:val="24"/>
          <w:szCs w:val="24"/>
        </w:rPr>
        <w:t xml:space="preserve">. </w:t>
      </w:r>
    </w:p>
    <w:p w:rsidR="0006019F" w:rsidRDefault="00D4656F" w:rsidP="0006019F">
      <w:pPr>
        <w:spacing w:line="360" w:lineRule="auto"/>
        <w:jc w:val="both"/>
        <w:rPr>
          <w:rFonts w:ascii="Verdana" w:hAnsi="Verdana"/>
          <w:sz w:val="20"/>
          <w:szCs w:val="20"/>
        </w:rPr>
      </w:pPr>
      <w:r>
        <w:rPr>
          <w:rFonts w:ascii="Verdana" w:hAnsi="Verdana"/>
          <w:sz w:val="20"/>
          <w:szCs w:val="20"/>
        </w:rPr>
        <w:t>Bu sene</w:t>
      </w:r>
      <w:r w:rsidR="0006019F">
        <w:rPr>
          <w:rFonts w:ascii="Verdana" w:hAnsi="Verdana"/>
          <w:sz w:val="20"/>
          <w:szCs w:val="20"/>
        </w:rPr>
        <w:t xml:space="preserve"> kış mevsimi yarılanmasına rağmen</w:t>
      </w:r>
      <w:r>
        <w:rPr>
          <w:rFonts w:ascii="Verdana" w:hAnsi="Verdana"/>
          <w:sz w:val="20"/>
          <w:szCs w:val="20"/>
        </w:rPr>
        <w:t xml:space="preserve"> kar</w:t>
      </w:r>
      <w:r w:rsidR="0006019F">
        <w:rPr>
          <w:rFonts w:ascii="Verdana" w:hAnsi="Verdana"/>
          <w:sz w:val="20"/>
          <w:szCs w:val="20"/>
        </w:rPr>
        <w:t xml:space="preserve"> </w:t>
      </w:r>
      <w:r>
        <w:rPr>
          <w:rFonts w:ascii="Verdana" w:hAnsi="Verdana"/>
          <w:sz w:val="20"/>
          <w:szCs w:val="20"/>
        </w:rPr>
        <w:t>bir türlü yere düşme</w:t>
      </w:r>
      <w:r w:rsidR="0006019F">
        <w:rPr>
          <w:rFonts w:ascii="Verdana" w:hAnsi="Verdana"/>
          <w:sz w:val="20"/>
          <w:szCs w:val="20"/>
        </w:rPr>
        <w:t>di. Peki soğuk havaların gecikmesi</w:t>
      </w:r>
      <w:r>
        <w:rPr>
          <w:rFonts w:ascii="Verdana" w:hAnsi="Verdana"/>
          <w:sz w:val="20"/>
          <w:szCs w:val="20"/>
        </w:rPr>
        <w:t xml:space="preserve"> alışveriş tercihlerini </w:t>
      </w:r>
      <w:r w:rsidR="0006019F">
        <w:rPr>
          <w:rFonts w:ascii="Verdana" w:hAnsi="Verdana"/>
          <w:sz w:val="20"/>
          <w:szCs w:val="20"/>
        </w:rPr>
        <w:t>nasıl etkiledi?</w:t>
      </w:r>
    </w:p>
    <w:p w:rsidR="0006019F" w:rsidRDefault="0006019F" w:rsidP="0006019F">
      <w:pPr>
        <w:spacing w:line="360" w:lineRule="auto"/>
        <w:jc w:val="both"/>
        <w:rPr>
          <w:rFonts w:ascii="Verdana" w:hAnsi="Verdana"/>
          <w:sz w:val="20"/>
          <w:szCs w:val="20"/>
        </w:rPr>
      </w:pPr>
      <w:r>
        <w:rPr>
          <w:rFonts w:ascii="Verdana" w:hAnsi="Verdana"/>
          <w:sz w:val="20"/>
          <w:szCs w:val="20"/>
        </w:rPr>
        <w:t>G</w:t>
      </w:r>
      <w:r w:rsidRPr="0006019F">
        <w:rPr>
          <w:rFonts w:ascii="Verdana" w:hAnsi="Verdana"/>
          <w:sz w:val="20"/>
          <w:szCs w:val="20"/>
        </w:rPr>
        <w:t>eçtiğimiz yıll</w:t>
      </w:r>
      <w:r>
        <w:rPr>
          <w:rFonts w:ascii="Verdana" w:hAnsi="Verdana"/>
          <w:sz w:val="20"/>
          <w:szCs w:val="20"/>
        </w:rPr>
        <w:t>ın aralık ve ocak aylarında</w:t>
      </w:r>
      <w:r w:rsidRPr="0006019F">
        <w:rPr>
          <w:rFonts w:ascii="Verdana" w:hAnsi="Verdana"/>
          <w:sz w:val="20"/>
          <w:szCs w:val="20"/>
        </w:rPr>
        <w:t xml:space="preserve"> çok satan kalın palto, uzun kaban, kar montları ve çizmeleri gibi ürünler</w:t>
      </w:r>
      <w:r>
        <w:rPr>
          <w:rFonts w:ascii="Verdana" w:hAnsi="Verdana"/>
          <w:sz w:val="20"/>
          <w:szCs w:val="20"/>
        </w:rPr>
        <w:t xml:space="preserve"> soğumayan havaların</w:t>
      </w:r>
      <w:r w:rsidR="00B25298">
        <w:rPr>
          <w:rFonts w:ascii="Verdana" w:hAnsi="Verdana"/>
          <w:sz w:val="20"/>
          <w:szCs w:val="20"/>
        </w:rPr>
        <w:t xml:space="preserve"> etkisinde kaldı ve </w:t>
      </w:r>
      <w:r w:rsidR="001F5B23">
        <w:rPr>
          <w:rFonts w:ascii="Verdana" w:hAnsi="Verdana"/>
          <w:sz w:val="20"/>
          <w:szCs w:val="20"/>
        </w:rPr>
        <w:t xml:space="preserve">daha az tercih edildi. </w:t>
      </w:r>
      <w:r>
        <w:rPr>
          <w:rFonts w:ascii="Verdana" w:hAnsi="Verdana"/>
          <w:sz w:val="20"/>
          <w:szCs w:val="20"/>
        </w:rPr>
        <w:t>Kış modasının vazgeçilmez parçalarını</w:t>
      </w:r>
      <w:r w:rsidR="001F5B23">
        <w:rPr>
          <w:rFonts w:ascii="Verdana" w:hAnsi="Verdana"/>
          <w:sz w:val="20"/>
          <w:szCs w:val="20"/>
        </w:rPr>
        <w:t>n</w:t>
      </w:r>
      <w:r>
        <w:rPr>
          <w:rFonts w:ascii="Verdana" w:hAnsi="Verdana"/>
          <w:sz w:val="20"/>
          <w:szCs w:val="20"/>
        </w:rPr>
        <w:t xml:space="preserve"> </w:t>
      </w:r>
      <w:r w:rsidRPr="0006019F">
        <w:rPr>
          <w:rFonts w:ascii="Verdana" w:hAnsi="Verdana"/>
          <w:sz w:val="20"/>
          <w:szCs w:val="20"/>
        </w:rPr>
        <w:t>yerin</w:t>
      </w:r>
      <w:r>
        <w:rPr>
          <w:rFonts w:ascii="Verdana" w:hAnsi="Verdana"/>
          <w:sz w:val="20"/>
          <w:szCs w:val="20"/>
        </w:rPr>
        <w:t>i</w:t>
      </w:r>
      <w:r w:rsidRPr="0006019F">
        <w:rPr>
          <w:rFonts w:ascii="Verdana" w:hAnsi="Verdana"/>
          <w:sz w:val="20"/>
          <w:szCs w:val="20"/>
        </w:rPr>
        <w:t xml:space="preserve"> sonbahar dış giyim ürünler</w:t>
      </w:r>
      <w:r>
        <w:rPr>
          <w:rFonts w:ascii="Verdana" w:hAnsi="Verdana"/>
          <w:sz w:val="20"/>
          <w:szCs w:val="20"/>
        </w:rPr>
        <w:t>i</w:t>
      </w:r>
      <w:r w:rsidR="001F5B23">
        <w:rPr>
          <w:rFonts w:ascii="Verdana" w:hAnsi="Verdana"/>
          <w:sz w:val="20"/>
          <w:szCs w:val="20"/>
        </w:rPr>
        <w:t xml:space="preserve"> aldı. </w:t>
      </w:r>
    </w:p>
    <w:p w:rsidR="0006019F" w:rsidRPr="009D3FF7" w:rsidRDefault="009D3FF7" w:rsidP="0006019F">
      <w:pPr>
        <w:spacing w:line="360" w:lineRule="auto"/>
        <w:jc w:val="both"/>
        <w:rPr>
          <w:rFonts w:ascii="Verdana" w:hAnsi="Verdana"/>
          <w:b/>
          <w:bCs/>
          <w:sz w:val="20"/>
          <w:szCs w:val="20"/>
        </w:rPr>
      </w:pPr>
      <w:r w:rsidRPr="009D3FF7">
        <w:rPr>
          <w:rFonts w:ascii="Verdana" w:hAnsi="Verdana"/>
          <w:b/>
          <w:bCs/>
          <w:sz w:val="20"/>
          <w:szCs w:val="20"/>
        </w:rPr>
        <w:t xml:space="preserve">Havalar </w:t>
      </w:r>
      <w:r w:rsidR="002E43BF">
        <w:rPr>
          <w:rFonts w:ascii="Verdana" w:hAnsi="Verdana"/>
          <w:b/>
          <w:bCs/>
          <w:sz w:val="20"/>
          <w:szCs w:val="20"/>
        </w:rPr>
        <w:t>ceketlere</w:t>
      </w:r>
      <w:r w:rsidRPr="009D3FF7">
        <w:rPr>
          <w:rFonts w:ascii="Verdana" w:hAnsi="Verdana"/>
          <w:b/>
          <w:bCs/>
          <w:sz w:val="20"/>
          <w:szCs w:val="20"/>
        </w:rPr>
        <w:t xml:space="preserve"> yaradı</w:t>
      </w:r>
    </w:p>
    <w:p w:rsidR="00D4656F" w:rsidRDefault="009D3FF7" w:rsidP="009D3FF7">
      <w:pPr>
        <w:spacing w:line="360" w:lineRule="auto"/>
        <w:jc w:val="both"/>
        <w:rPr>
          <w:rFonts w:ascii="Verdana" w:hAnsi="Verdana"/>
          <w:sz w:val="20"/>
          <w:szCs w:val="20"/>
        </w:rPr>
      </w:pPr>
      <w:r>
        <w:rPr>
          <w:rFonts w:ascii="Verdana" w:hAnsi="Verdana"/>
          <w:sz w:val="20"/>
          <w:szCs w:val="20"/>
        </w:rPr>
        <w:t>Sonbaharın en şık ve klasik parçası olan</w:t>
      </w:r>
      <w:r w:rsidR="002E43BF">
        <w:rPr>
          <w:rFonts w:ascii="Verdana" w:hAnsi="Verdana"/>
          <w:sz w:val="20"/>
          <w:szCs w:val="20"/>
        </w:rPr>
        <w:t xml:space="preserve"> ceketler,</w:t>
      </w:r>
      <w:r>
        <w:rPr>
          <w:rFonts w:ascii="Verdana" w:hAnsi="Verdana"/>
          <w:sz w:val="20"/>
          <w:szCs w:val="20"/>
        </w:rPr>
        <w:t xml:space="preserve"> trençkotlar</w:t>
      </w:r>
      <w:r w:rsidR="002E43BF">
        <w:rPr>
          <w:rFonts w:ascii="Verdana" w:hAnsi="Verdana"/>
          <w:sz w:val="20"/>
          <w:szCs w:val="20"/>
        </w:rPr>
        <w:t xml:space="preserve">, deri ve </w:t>
      </w:r>
      <w:proofErr w:type="spellStart"/>
      <w:r w:rsidR="002E43BF">
        <w:rPr>
          <w:rFonts w:ascii="Verdana" w:hAnsi="Verdana"/>
          <w:sz w:val="20"/>
          <w:szCs w:val="20"/>
        </w:rPr>
        <w:t>jean</w:t>
      </w:r>
      <w:proofErr w:type="spellEnd"/>
      <w:r w:rsidR="002E43BF">
        <w:rPr>
          <w:rFonts w:ascii="Verdana" w:hAnsi="Verdana"/>
          <w:sz w:val="20"/>
          <w:szCs w:val="20"/>
        </w:rPr>
        <w:t xml:space="preserve"> montlar</w:t>
      </w:r>
      <w:r>
        <w:rPr>
          <w:rFonts w:ascii="Verdana" w:hAnsi="Verdana"/>
          <w:sz w:val="20"/>
          <w:szCs w:val="20"/>
        </w:rPr>
        <w:t xml:space="preserve"> havaların soğumamasıyla birlikte kış mevsiminde de çok satıldı. Morhipo.com ekibi, müşteri talebi</w:t>
      </w:r>
      <w:r w:rsidR="00447E74">
        <w:rPr>
          <w:rFonts w:ascii="Verdana" w:hAnsi="Verdana"/>
          <w:sz w:val="20"/>
          <w:szCs w:val="20"/>
        </w:rPr>
        <w:t xml:space="preserve"> nedeniyle</w:t>
      </w:r>
      <w:r>
        <w:rPr>
          <w:rFonts w:ascii="Verdana" w:hAnsi="Verdana"/>
          <w:sz w:val="20"/>
          <w:szCs w:val="20"/>
        </w:rPr>
        <w:t xml:space="preserve"> </w:t>
      </w:r>
      <w:r w:rsidR="002E43BF">
        <w:rPr>
          <w:rFonts w:ascii="Verdana" w:hAnsi="Verdana"/>
          <w:sz w:val="20"/>
          <w:szCs w:val="20"/>
        </w:rPr>
        <w:t>bu ürünleri</w:t>
      </w:r>
      <w:r>
        <w:rPr>
          <w:rFonts w:ascii="Verdana" w:hAnsi="Verdana"/>
          <w:sz w:val="20"/>
          <w:szCs w:val="20"/>
        </w:rPr>
        <w:t xml:space="preserve"> daha uzun süre satışta tuttuklarını belirtiyor. </w:t>
      </w:r>
      <w:r w:rsidR="002E43BF">
        <w:rPr>
          <w:rFonts w:ascii="Verdana" w:hAnsi="Verdana"/>
          <w:sz w:val="20"/>
          <w:szCs w:val="20"/>
        </w:rPr>
        <w:t xml:space="preserve">Jean montlardaki satış rakamları geçen yıla oranla %355’lik bir artış gösterdi. Ceketlerde %109, trençkotlarda %40, deri montlarda %21 ve hırkalarda %27 oranında daha fazla satış gerçekleşti. </w:t>
      </w:r>
      <w:r w:rsidR="00CE4B2E">
        <w:rPr>
          <w:rFonts w:ascii="Verdana" w:hAnsi="Verdana"/>
          <w:sz w:val="20"/>
          <w:szCs w:val="20"/>
        </w:rPr>
        <w:t xml:space="preserve">Öte yandan, kayak montlarında %40 oranında paltolarda ise %1 oranında bir düşüş yaşandı. </w:t>
      </w:r>
    </w:p>
    <w:tbl>
      <w:tblPr>
        <w:tblStyle w:val="TabloKlavuzu"/>
        <w:tblpPr w:leftFromText="141" w:rightFromText="141" w:vertAnchor="page" w:horzAnchor="margin" w:tblpY="10591"/>
        <w:tblW w:w="0" w:type="auto"/>
        <w:tblLook w:val="04A0" w:firstRow="1" w:lastRow="0" w:firstColumn="1" w:lastColumn="0" w:noHBand="0" w:noVBand="1"/>
      </w:tblPr>
      <w:tblGrid>
        <w:gridCol w:w="2268"/>
        <w:gridCol w:w="2410"/>
      </w:tblGrid>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Ürün Çeşidi</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Değişim</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Ceket</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%109</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Deri Mont</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%21</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Hırka</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%27</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Jean Ceket</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%62</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Jean Mont</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%355</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Kaban</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%30</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Klasik Ceket</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%41</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Mont</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%24</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Trençkot</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%40</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Palto</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-%1</w:t>
            </w:r>
          </w:p>
        </w:tc>
      </w:tr>
      <w:tr w:rsidR="00751D38" w:rsidTr="00751D38">
        <w:tc>
          <w:tcPr>
            <w:tcW w:w="2268" w:type="dxa"/>
          </w:tcPr>
          <w:p w:rsidR="00751D38" w:rsidRDefault="00751D38" w:rsidP="00751D38">
            <w:pPr>
              <w:spacing w:line="360" w:lineRule="auto"/>
              <w:rPr>
                <w:rFonts w:ascii="Verdana" w:hAnsi="Verdana"/>
                <w:sz w:val="20"/>
                <w:szCs w:val="20"/>
              </w:rPr>
            </w:pPr>
            <w:r>
              <w:rPr>
                <w:rFonts w:ascii="Verdana" w:hAnsi="Verdana"/>
                <w:sz w:val="20"/>
                <w:szCs w:val="20"/>
              </w:rPr>
              <w:t>Kayak Montu</w:t>
            </w:r>
          </w:p>
        </w:tc>
        <w:tc>
          <w:tcPr>
            <w:tcW w:w="2410" w:type="dxa"/>
          </w:tcPr>
          <w:p w:rsidR="00751D38" w:rsidRDefault="00751D38" w:rsidP="00751D38">
            <w:pPr>
              <w:spacing w:line="360" w:lineRule="auto"/>
              <w:rPr>
                <w:rFonts w:ascii="Verdana" w:hAnsi="Verdana"/>
                <w:sz w:val="20"/>
                <w:szCs w:val="20"/>
              </w:rPr>
            </w:pPr>
            <w:r>
              <w:rPr>
                <w:rFonts w:ascii="Verdana" w:hAnsi="Verdana"/>
                <w:sz w:val="20"/>
                <w:szCs w:val="20"/>
              </w:rPr>
              <w:t>-%40</w:t>
            </w:r>
          </w:p>
        </w:tc>
      </w:tr>
    </w:tbl>
    <w:p w:rsidR="00751D38" w:rsidRDefault="00751D38" w:rsidP="009D3FF7">
      <w:pPr>
        <w:spacing w:line="360" w:lineRule="auto"/>
        <w:jc w:val="both"/>
        <w:rPr>
          <w:rFonts w:ascii="Verdana" w:hAnsi="Verdana"/>
          <w:b/>
          <w:bCs/>
          <w:sz w:val="20"/>
          <w:szCs w:val="20"/>
        </w:rPr>
      </w:pPr>
    </w:p>
    <w:p w:rsidR="00751D38" w:rsidRDefault="00751D38" w:rsidP="009D3FF7">
      <w:pPr>
        <w:spacing w:line="360" w:lineRule="auto"/>
        <w:jc w:val="both"/>
        <w:rPr>
          <w:rFonts w:ascii="Verdana" w:hAnsi="Verdana"/>
          <w:b/>
          <w:bCs/>
          <w:sz w:val="20"/>
          <w:szCs w:val="20"/>
        </w:rPr>
      </w:pPr>
    </w:p>
    <w:p w:rsidR="00751D38" w:rsidRDefault="00751D38" w:rsidP="009D3FF7">
      <w:pPr>
        <w:spacing w:line="360" w:lineRule="auto"/>
        <w:jc w:val="both"/>
        <w:rPr>
          <w:rFonts w:ascii="Verdana" w:hAnsi="Verdana"/>
          <w:b/>
          <w:bCs/>
          <w:sz w:val="20"/>
          <w:szCs w:val="20"/>
        </w:rPr>
      </w:pPr>
    </w:p>
    <w:p w:rsidR="00751D38" w:rsidRDefault="00751D38" w:rsidP="009D3FF7">
      <w:pPr>
        <w:spacing w:line="360" w:lineRule="auto"/>
        <w:jc w:val="both"/>
        <w:rPr>
          <w:rFonts w:ascii="Verdana" w:hAnsi="Verdana"/>
          <w:b/>
          <w:bCs/>
          <w:sz w:val="20"/>
          <w:szCs w:val="20"/>
        </w:rPr>
      </w:pPr>
    </w:p>
    <w:p w:rsidR="00751D38" w:rsidRDefault="00751D38" w:rsidP="009D3FF7">
      <w:pPr>
        <w:spacing w:line="360" w:lineRule="auto"/>
        <w:jc w:val="both"/>
        <w:rPr>
          <w:rFonts w:ascii="Verdana" w:hAnsi="Verdana"/>
          <w:b/>
          <w:bCs/>
          <w:sz w:val="20"/>
          <w:szCs w:val="20"/>
        </w:rPr>
      </w:pPr>
    </w:p>
    <w:p w:rsidR="00751D38" w:rsidRDefault="00751D38" w:rsidP="009D3FF7">
      <w:pPr>
        <w:spacing w:line="360" w:lineRule="auto"/>
        <w:jc w:val="both"/>
        <w:rPr>
          <w:rFonts w:ascii="Verdana" w:hAnsi="Verdana"/>
          <w:b/>
          <w:bCs/>
          <w:sz w:val="20"/>
          <w:szCs w:val="20"/>
        </w:rPr>
      </w:pPr>
    </w:p>
    <w:p w:rsidR="00751D38" w:rsidRDefault="00751D38" w:rsidP="009D3FF7">
      <w:pPr>
        <w:spacing w:line="360" w:lineRule="auto"/>
        <w:jc w:val="both"/>
        <w:rPr>
          <w:rFonts w:ascii="Verdana" w:hAnsi="Verdana"/>
          <w:b/>
          <w:bCs/>
          <w:sz w:val="20"/>
          <w:szCs w:val="20"/>
        </w:rPr>
      </w:pPr>
    </w:p>
    <w:p w:rsidR="00751D38" w:rsidRDefault="00751D38" w:rsidP="009D3FF7">
      <w:pPr>
        <w:spacing w:line="360" w:lineRule="auto"/>
        <w:jc w:val="both"/>
        <w:rPr>
          <w:rFonts w:ascii="Verdana" w:hAnsi="Verdana"/>
          <w:b/>
          <w:bCs/>
          <w:sz w:val="20"/>
          <w:szCs w:val="20"/>
        </w:rPr>
      </w:pPr>
    </w:p>
    <w:p w:rsidR="00751D38" w:rsidRDefault="00751D38" w:rsidP="009D3FF7">
      <w:pPr>
        <w:spacing w:line="360" w:lineRule="auto"/>
        <w:jc w:val="both"/>
        <w:rPr>
          <w:rFonts w:ascii="Verdana" w:hAnsi="Verdana"/>
          <w:b/>
          <w:bCs/>
          <w:sz w:val="20"/>
          <w:szCs w:val="20"/>
        </w:rPr>
      </w:pPr>
    </w:p>
    <w:p w:rsidR="009723F3" w:rsidRDefault="009723F3" w:rsidP="009D3FF7">
      <w:pPr>
        <w:spacing w:line="360" w:lineRule="auto"/>
        <w:jc w:val="both"/>
        <w:rPr>
          <w:rFonts w:ascii="Verdana" w:hAnsi="Verdana"/>
          <w:b/>
          <w:bCs/>
          <w:sz w:val="20"/>
          <w:szCs w:val="20"/>
        </w:rPr>
      </w:pPr>
    </w:p>
    <w:p w:rsidR="00B8130D" w:rsidRDefault="00B8130D" w:rsidP="009D3FF7">
      <w:pPr>
        <w:spacing w:line="360" w:lineRule="auto"/>
        <w:jc w:val="both"/>
        <w:rPr>
          <w:rFonts w:ascii="Verdana" w:hAnsi="Verdana"/>
          <w:b/>
          <w:bCs/>
          <w:sz w:val="20"/>
          <w:szCs w:val="20"/>
        </w:rPr>
      </w:pPr>
    </w:p>
    <w:p w:rsidR="00B8130D" w:rsidRDefault="00B8130D" w:rsidP="009D3FF7">
      <w:pPr>
        <w:spacing w:line="360" w:lineRule="auto"/>
        <w:jc w:val="both"/>
        <w:rPr>
          <w:rFonts w:ascii="Verdana" w:hAnsi="Verdana"/>
          <w:b/>
          <w:bCs/>
          <w:sz w:val="20"/>
          <w:szCs w:val="20"/>
        </w:rPr>
      </w:pPr>
    </w:p>
    <w:p w:rsidR="009D3FF7" w:rsidRDefault="002E43BF" w:rsidP="009D3FF7">
      <w:pPr>
        <w:spacing w:line="360" w:lineRule="auto"/>
        <w:jc w:val="both"/>
        <w:rPr>
          <w:rFonts w:ascii="Verdana" w:hAnsi="Verdana"/>
          <w:b/>
          <w:bCs/>
          <w:sz w:val="20"/>
          <w:szCs w:val="20"/>
        </w:rPr>
      </w:pPr>
      <w:r>
        <w:rPr>
          <w:rFonts w:ascii="Verdana" w:hAnsi="Verdana"/>
          <w:b/>
          <w:bCs/>
          <w:sz w:val="20"/>
          <w:szCs w:val="20"/>
        </w:rPr>
        <w:lastRenderedPageBreak/>
        <w:t>Kat kat giyinmek moda oldu</w:t>
      </w:r>
    </w:p>
    <w:p w:rsidR="009D3FF7" w:rsidRDefault="00447E74" w:rsidP="00447E74">
      <w:pPr>
        <w:spacing w:line="360" w:lineRule="auto"/>
        <w:jc w:val="both"/>
        <w:rPr>
          <w:rFonts w:ascii="Verdana" w:hAnsi="Verdana"/>
          <w:sz w:val="20"/>
          <w:szCs w:val="20"/>
        </w:rPr>
      </w:pPr>
      <w:r>
        <w:rPr>
          <w:rFonts w:ascii="Verdana" w:hAnsi="Verdana"/>
          <w:sz w:val="20"/>
          <w:szCs w:val="20"/>
        </w:rPr>
        <w:t xml:space="preserve">Soğuk havalarda giyinmek çok zor değil. Bir kalın kazak, pantolon ve kalın bir kaban o günkü stilinizi tamamlar. Fakat havaların değişken olduğu şu günlerde dengeyi sağlayabilmek önemli. </w:t>
      </w:r>
      <w:r w:rsidR="009D3FF7" w:rsidRPr="009D3FF7">
        <w:rPr>
          <w:rFonts w:ascii="Verdana" w:hAnsi="Verdana"/>
          <w:sz w:val="20"/>
          <w:szCs w:val="20"/>
        </w:rPr>
        <w:t xml:space="preserve">Kalın tek bir kıyafet yerine gün içerisinde daha rahat ettiren katman stili en iyi çözüm </w:t>
      </w:r>
      <w:r>
        <w:rPr>
          <w:rFonts w:ascii="Verdana" w:hAnsi="Verdana"/>
          <w:sz w:val="20"/>
          <w:szCs w:val="20"/>
        </w:rPr>
        <w:t>olarak öne çıkıyor.</w:t>
      </w:r>
      <w:r w:rsidR="009D3FF7" w:rsidRPr="009D3FF7">
        <w:rPr>
          <w:rFonts w:ascii="Verdana" w:hAnsi="Verdana"/>
          <w:sz w:val="20"/>
          <w:szCs w:val="20"/>
        </w:rPr>
        <w:t xml:space="preserve"> Bu stile kulak verenler en çok </w:t>
      </w:r>
      <w:proofErr w:type="spellStart"/>
      <w:r w:rsidR="009D3FF7" w:rsidRPr="009D3FF7">
        <w:rPr>
          <w:rFonts w:ascii="Verdana" w:hAnsi="Verdana"/>
          <w:sz w:val="20"/>
          <w:szCs w:val="20"/>
        </w:rPr>
        <w:t>oversize</w:t>
      </w:r>
      <w:proofErr w:type="spellEnd"/>
      <w:r w:rsidR="009D3FF7" w:rsidRPr="009D3FF7">
        <w:rPr>
          <w:rFonts w:ascii="Verdana" w:hAnsi="Verdana"/>
          <w:sz w:val="20"/>
          <w:szCs w:val="20"/>
        </w:rPr>
        <w:t xml:space="preserve"> ürünlere, gömleklere, hırkalara ve tişörtlere yönel</w:t>
      </w:r>
      <w:r w:rsidR="00872957">
        <w:rPr>
          <w:rFonts w:ascii="Verdana" w:hAnsi="Verdana"/>
          <w:sz w:val="20"/>
          <w:szCs w:val="20"/>
        </w:rPr>
        <w:t xml:space="preserve">iyor. </w:t>
      </w:r>
    </w:p>
    <w:p w:rsidR="00447E74" w:rsidRPr="00447E74" w:rsidRDefault="00447E74" w:rsidP="00447E74">
      <w:pPr>
        <w:spacing w:line="240" w:lineRule="auto"/>
        <w:jc w:val="both"/>
        <w:rPr>
          <w:rFonts w:ascii="Verdana" w:hAnsi="Verdana"/>
          <w:b/>
          <w:bCs/>
          <w:sz w:val="16"/>
          <w:szCs w:val="16"/>
        </w:rPr>
      </w:pPr>
      <w:r w:rsidRPr="00447E74">
        <w:rPr>
          <w:rFonts w:ascii="Verdana" w:hAnsi="Verdana"/>
          <w:b/>
          <w:bCs/>
          <w:sz w:val="16"/>
          <w:szCs w:val="16"/>
        </w:rPr>
        <w:t>Morhipo.com hakkında</w:t>
      </w:r>
    </w:p>
    <w:p w:rsidR="00447E74" w:rsidRPr="00447E74" w:rsidRDefault="00447E74" w:rsidP="00447E74">
      <w:pPr>
        <w:spacing w:line="240" w:lineRule="auto"/>
        <w:jc w:val="both"/>
        <w:rPr>
          <w:rFonts w:ascii="Verdana" w:hAnsi="Verdana"/>
          <w:sz w:val="16"/>
          <w:szCs w:val="16"/>
        </w:rPr>
      </w:pPr>
    </w:p>
    <w:p w:rsidR="00447E74" w:rsidRDefault="00447E74" w:rsidP="00447E74">
      <w:pPr>
        <w:spacing w:line="240" w:lineRule="auto"/>
        <w:jc w:val="both"/>
        <w:rPr>
          <w:rFonts w:ascii="Verdana" w:hAnsi="Verdana"/>
          <w:sz w:val="16"/>
          <w:szCs w:val="16"/>
        </w:rPr>
      </w:pPr>
      <w:r w:rsidRPr="00447E74">
        <w:rPr>
          <w:rFonts w:ascii="Verdana" w:hAnsi="Verdana"/>
          <w:sz w:val="16"/>
          <w:szCs w:val="16"/>
        </w:rPr>
        <w:t xml:space="preserve">Türkiye’de ilk kez yeni sezon ürünleri ve çok avantajlı kampanyaları bir araya getiren morhipo.com, her zevke ve bütçeye uygun zengin ürün çeşitliliği, yüksek indirim oranları ve hızlı teslimat ayrıcalıklarıyla alışveriş dünyasında fark yaratıyor, “Koşulsuz Müşteri Mutluluğu” anlayışıyla hareket eden Morhipo.com 3D </w:t>
      </w:r>
      <w:proofErr w:type="spellStart"/>
      <w:r w:rsidRPr="00447E74">
        <w:rPr>
          <w:rFonts w:ascii="Verdana" w:hAnsi="Verdana"/>
          <w:sz w:val="16"/>
          <w:szCs w:val="16"/>
        </w:rPr>
        <w:t>Secure</w:t>
      </w:r>
      <w:proofErr w:type="spellEnd"/>
      <w:r w:rsidRPr="00447E74">
        <w:rPr>
          <w:rFonts w:ascii="Verdana" w:hAnsi="Verdana"/>
          <w:sz w:val="16"/>
          <w:szCs w:val="16"/>
        </w:rPr>
        <w:t xml:space="preserve"> gibi güvenlik sistemlerinin yanı sıra internet üzerindeki işlemleri şifreleyerek tüketicilerin gizliliğini maksimum seviyeye çıkaran Full SSL teknolojisi ile üyelerine güvenli alışveriş keyfi yaşatıyor. Yeni Sezon bölümünde mağazalarla aynı zamanda yüz binlerce sezon ürününü üyelerine sunan morhipo.com, Özel İndirim Kulübü bölümünde ise her gün yüzde 90’a varan indirimler uygulayarak kaçırılmayacak kampanyaları üyeleriyle buluşturuyor. </w:t>
      </w:r>
      <w:hyperlink r:id="rId7" w:history="1">
        <w:r w:rsidR="004C738C" w:rsidRPr="007D4CEC">
          <w:rPr>
            <w:rStyle w:val="Kpr"/>
            <w:rFonts w:ascii="Verdana" w:hAnsi="Verdana"/>
            <w:sz w:val="16"/>
            <w:szCs w:val="16"/>
          </w:rPr>
          <w:t>www.morhipo.com</w:t>
        </w:r>
      </w:hyperlink>
    </w:p>
    <w:p w:rsidR="004C738C" w:rsidRDefault="004C738C" w:rsidP="00447E74">
      <w:pPr>
        <w:spacing w:line="240" w:lineRule="auto"/>
        <w:jc w:val="both"/>
        <w:rPr>
          <w:rFonts w:ascii="Verdana" w:hAnsi="Verdana"/>
          <w:sz w:val="16"/>
          <w:szCs w:val="16"/>
        </w:rPr>
      </w:pPr>
    </w:p>
    <w:p w:rsidR="004C738C" w:rsidRPr="004C738C" w:rsidRDefault="004C738C" w:rsidP="004C738C">
      <w:pPr>
        <w:spacing w:line="240" w:lineRule="auto"/>
        <w:jc w:val="both"/>
        <w:rPr>
          <w:rFonts w:ascii="Verdana" w:hAnsi="Verdana"/>
          <w:b/>
          <w:sz w:val="16"/>
          <w:szCs w:val="16"/>
        </w:rPr>
      </w:pPr>
      <w:r w:rsidRPr="004C738C">
        <w:rPr>
          <w:rFonts w:ascii="Verdana" w:hAnsi="Verdana"/>
          <w:b/>
          <w:sz w:val="16"/>
          <w:szCs w:val="16"/>
        </w:rPr>
        <w:t>İlgili Kişi:</w:t>
      </w:r>
    </w:p>
    <w:p w:rsidR="004C738C" w:rsidRPr="004C738C" w:rsidRDefault="004C738C" w:rsidP="004C738C">
      <w:pPr>
        <w:spacing w:line="240" w:lineRule="auto"/>
        <w:jc w:val="both"/>
        <w:rPr>
          <w:rFonts w:ascii="Verdana" w:hAnsi="Verdana"/>
          <w:sz w:val="16"/>
          <w:szCs w:val="16"/>
        </w:rPr>
      </w:pPr>
      <w:r w:rsidRPr="004C738C">
        <w:rPr>
          <w:rFonts w:ascii="Verdana" w:hAnsi="Verdana"/>
          <w:sz w:val="16"/>
          <w:szCs w:val="16"/>
        </w:rPr>
        <w:t xml:space="preserve">Marjinal </w:t>
      </w:r>
      <w:proofErr w:type="spellStart"/>
      <w:r w:rsidRPr="004C738C">
        <w:rPr>
          <w:rFonts w:ascii="Verdana" w:hAnsi="Verdana"/>
          <w:sz w:val="16"/>
          <w:szCs w:val="16"/>
        </w:rPr>
        <w:t>Porter</w:t>
      </w:r>
      <w:proofErr w:type="spellEnd"/>
      <w:r w:rsidRPr="004C738C">
        <w:rPr>
          <w:rFonts w:ascii="Verdana" w:hAnsi="Verdana"/>
          <w:sz w:val="16"/>
          <w:szCs w:val="16"/>
        </w:rPr>
        <w:t xml:space="preserve"> </w:t>
      </w:r>
      <w:proofErr w:type="spellStart"/>
      <w:r w:rsidRPr="004C738C">
        <w:rPr>
          <w:rFonts w:ascii="Verdana" w:hAnsi="Verdana"/>
          <w:sz w:val="16"/>
          <w:szCs w:val="16"/>
        </w:rPr>
        <w:t>Novelli</w:t>
      </w:r>
      <w:proofErr w:type="spellEnd"/>
      <w:r w:rsidRPr="004C738C">
        <w:rPr>
          <w:rFonts w:ascii="Verdana" w:hAnsi="Verdana"/>
          <w:sz w:val="16"/>
          <w:szCs w:val="16"/>
        </w:rPr>
        <w:t xml:space="preserve"> </w:t>
      </w:r>
    </w:p>
    <w:p w:rsidR="004C738C" w:rsidRDefault="004C738C" w:rsidP="004C738C">
      <w:pPr>
        <w:spacing w:line="240" w:lineRule="auto"/>
        <w:jc w:val="both"/>
        <w:rPr>
          <w:rFonts w:ascii="Verdana" w:hAnsi="Verdana"/>
          <w:sz w:val="16"/>
          <w:szCs w:val="16"/>
        </w:rPr>
      </w:pPr>
      <w:r w:rsidRPr="004C738C">
        <w:rPr>
          <w:rFonts w:ascii="Verdana" w:hAnsi="Verdana"/>
          <w:sz w:val="16"/>
          <w:szCs w:val="16"/>
        </w:rPr>
        <w:t>Esra Şavkın</w:t>
      </w:r>
      <w:r>
        <w:rPr>
          <w:rFonts w:ascii="Verdana" w:hAnsi="Verdana"/>
          <w:sz w:val="16"/>
          <w:szCs w:val="16"/>
        </w:rPr>
        <w:t xml:space="preserve"> / </w:t>
      </w:r>
      <w:r w:rsidRPr="004C738C">
        <w:rPr>
          <w:rFonts w:ascii="Verdana" w:hAnsi="Verdana"/>
          <w:sz w:val="16"/>
          <w:szCs w:val="16"/>
        </w:rPr>
        <w:t xml:space="preserve">0212 219 29 71 </w:t>
      </w:r>
      <w:r>
        <w:rPr>
          <w:rFonts w:ascii="Verdana" w:hAnsi="Verdana"/>
          <w:sz w:val="16"/>
          <w:szCs w:val="16"/>
        </w:rPr>
        <w:t xml:space="preserve">/ 0537 858 85 49 / </w:t>
      </w:r>
      <w:hyperlink r:id="rId8" w:history="1">
        <w:r w:rsidRPr="007D4CEC">
          <w:rPr>
            <w:rStyle w:val="Kpr"/>
            <w:rFonts w:ascii="Verdana" w:hAnsi="Verdana"/>
            <w:sz w:val="16"/>
            <w:szCs w:val="16"/>
          </w:rPr>
          <w:t>esras@marjinal.com.tr</w:t>
        </w:r>
      </w:hyperlink>
      <w:bookmarkStart w:id="0" w:name="_GoBack"/>
      <w:bookmarkEnd w:id="0"/>
    </w:p>
    <w:sectPr w:rsidR="004C7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8A"/>
    <w:rsid w:val="0006019F"/>
    <w:rsid w:val="00076111"/>
    <w:rsid w:val="001D248A"/>
    <w:rsid w:val="001F5B23"/>
    <w:rsid w:val="002B4670"/>
    <w:rsid w:val="002E43BF"/>
    <w:rsid w:val="00440F8D"/>
    <w:rsid w:val="00447E74"/>
    <w:rsid w:val="004C738C"/>
    <w:rsid w:val="005F5FB3"/>
    <w:rsid w:val="006C5944"/>
    <w:rsid w:val="00751D38"/>
    <w:rsid w:val="0083444E"/>
    <w:rsid w:val="00872957"/>
    <w:rsid w:val="009723F3"/>
    <w:rsid w:val="009D3FF7"/>
    <w:rsid w:val="009D7495"/>
    <w:rsid w:val="00A8719A"/>
    <w:rsid w:val="00B25298"/>
    <w:rsid w:val="00B8130D"/>
    <w:rsid w:val="00CE4B2E"/>
    <w:rsid w:val="00D4656F"/>
    <w:rsid w:val="00E53CA1"/>
    <w:rsid w:val="00F9797F"/>
    <w:rsid w:val="00FD465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8E40A-90B2-4F61-A9F3-528A0136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51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C73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ras@marjinal.com.tr" TargetMode="External"/><Relationship Id="rId3" Type="http://schemas.openxmlformats.org/officeDocument/2006/relationships/customXml" Target="../customXml/item3.xml"/><Relationship Id="rId7" Type="http://schemas.openxmlformats.org/officeDocument/2006/relationships/hyperlink" Target="http://www.morhip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65085-E7F7-46C0-BFAC-8046938033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8AA232-A842-4CC4-B1FE-7C018F734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3A350-91DA-47E0-B9EC-48DE42CB2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418</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Esra Savkin</cp:lastModifiedBy>
  <cp:revision>7</cp:revision>
  <dcterms:created xsi:type="dcterms:W3CDTF">2018-01-24T07:40:00Z</dcterms:created>
  <dcterms:modified xsi:type="dcterms:W3CDTF">2018-01-30T08:01:00Z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