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F431A" w14:textId="42612772" w:rsidR="002F0F3E" w:rsidRPr="00CA1CED" w:rsidRDefault="002F0F3E" w:rsidP="007E3DD7">
      <w:pPr>
        <w:spacing w:line="360" w:lineRule="auto"/>
        <w:jc w:val="both"/>
        <w:rPr>
          <w:rFonts w:ascii="Verdana" w:hAnsi="Verdana" w:cs="Times New Roman"/>
          <w:b/>
          <w:bCs/>
          <w:sz w:val="32"/>
          <w:szCs w:val="32"/>
          <w:u w:val="single"/>
          <w:lang w:val="tr-TR"/>
        </w:rPr>
      </w:pPr>
      <w:r w:rsidRPr="00CA1CED">
        <w:rPr>
          <w:rFonts w:ascii="Verdana" w:hAnsi="Verdana" w:cs="Times New Roman"/>
          <w:b/>
          <w:bCs/>
          <w:sz w:val="32"/>
          <w:szCs w:val="32"/>
          <w:u w:val="single"/>
          <w:lang w:val="tr-TR"/>
        </w:rPr>
        <w:t>BASIN BÜLTENİ</w:t>
      </w:r>
    </w:p>
    <w:p w14:paraId="3C046806" w14:textId="77777777" w:rsidR="002F0F3E" w:rsidRPr="00CA1CED" w:rsidRDefault="002F0F3E" w:rsidP="007E3DD7">
      <w:pPr>
        <w:spacing w:line="360" w:lineRule="auto"/>
        <w:jc w:val="both"/>
        <w:rPr>
          <w:rFonts w:ascii="Verdana" w:hAnsi="Verdana" w:cs="Times New Roman"/>
          <w:b/>
          <w:bCs/>
          <w:sz w:val="20"/>
          <w:szCs w:val="20"/>
          <w:lang w:val="tr-TR"/>
        </w:rPr>
      </w:pPr>
    </w:p>
    <w:p w14:paraId="4FECBA27" w14:textId="35FBAD90" w:rsidR="00E0620E" w:rsidRPr="00CA1CED" w:rsidRDefault="00CE2C54" w:rsidP="000F7285">
      <w:pPr>
        <w:spacing w:line="360" w:lineRule="auto"/>
        <w:jc w:val="center"/>
        <w:rPr>
          <w:rFonts w:ascii="Verdana" w:eastAsia="Calibri" w:hAnsi="Verdana" w:cs="Times New Roman"/>
          <w:b/>
          <w:sz w:val="28"/>
          <w:szCs w:val="28"/>
          <w:lang w:val="tr-TR"/>
        </w:rPr>
      </w:pPr>
      <w:r w:rsidRPr="004C6811">
        <w:rPr>
          <w:rFonts w:ascii="Verdana" w:eastAsia="Calibri" w:hAnsi="Verdana" w:cs="Times New Roman"/>
          <w:b/>
          <w:sz w:val="28"/>
          <w:szCs w:val="28"/>
          <w:lang w:val="tr-TR"/>
        </w:rPr>
        <w:t xml:space="preserve"> </w:t>
      </w:r>
      <w:r w:rsidR="00E0620E" w:rsidRPr="004C6811">
        <w:rPr>
          <w:rFonts w:ascii="Verdana" w:eastAsia="Calibri" w:hAnsi="Verdana" w:cs="Times New Roman"/>
          <w:b/>
          <w:sz w:val="28"/>
          <w:szCs w:val="28"/>
          <w:lang w:val="tr-TR"/>
        </w:rPr>
        <w:t xml:space="preserve">“Hayallerimiz gerçekleşti, artık hedef milyar dolar değerinde </w:t>
      </w:r>
      <w:r w:rsidRPr="004C6811">
        <w:rPr>
          <w:rFonts w:ascii="Verdana" w:eastAsia="Calibri" w:hAnsi="Verdana" w:cs="Times New Roman"/>
          <w:b/>
          <w:sz w:val="28"/>
          <w:szCs w:val="28"/>
          <w:lang w:val="tr-TR"/>
        </w:rPr>
        <w:t>şirketler ortaya çıkarmak</w:t>
      </w:r>
      <w:r w:rsidR="00E0620E" w:rsidRPr="004C6811">
        <w:rPr>
          <w:rFonts w:ascii="Verdana" w:eastAsia="Calibri" w:hAnsi="Verdana" w:cs="Times New Roman"/>
          <w:b/>
          <w:sz w:val="28"/>
          <w:szCs w:val="28"/>
          <w:lang w:val="tr-TR"/>
        </w:rPr>
        <w:t>”</w:t>
      </w:r>
    </w:p>
    <w:p w14:paraId="4C2FF1B0" w14:textId="77777777" w:rsidR="00CA1CED" w:rsidRPr="00CA1CED" w:rsidRDefault="00CA1CED" w:rsidP="00CA1CED">
      <w:pPr>
        <w:jc w:val="both"/>
        <w:rPr>
          <w:rFonts w:ascii="Verdana" w:hAnsi="Verdana"/>
          <w:lang w:val="tr-TR"/>
        </w:rPr>
      </w:pPr>
    </w:p>
    <w:p w14:paraId="6657D6A9" w14:textId="57CD0C70" w:rsidR="00CA1CED" w:rsidRPr="00333B2A" w:rsidRDefault="00CA1CED" w:rsidP="00AC5A34">
      <w:pPr>
        <w:spacing w:line="360" w:lineRule="auto"/>
        <w:jc w:val="center"/>
        <w:rPr>
          <w:rFonts w:ascii="Verdana" w:hAnsi="Verdana"/>
          <w:b/>
          <w:lang w:val="tr-TR"/>
        </w:rPr>
      </w:pPr>
      <w:r w:rsidRPr="00333B2A">
        <w:rPr>
          <w:rFonts w:ascii="Verdana" w:hAnsi="Verdana"/>
          <w:b/>
          <w:lang w:val="tr-TR"/>
        </w:rPr>
        <w:t xml:space="preserve">6493 sayılı ödeme hizmetlerinin amaç, rol ve sorumluluğunu tanımlayan Kanunda yapılan değişiklikler, Türkiye’de </w:t>
      </w:r>
      <w:proofErr w:type="spellStart"/>
      <w:r w:rsidRPr="00333B2A">
        <w:rPr>
          <w:rFonts w:ascii="Verdana" w:hAnsi="Verdana"/>
          <w:b/>
          <w:lang w:val="tr-TR"/>
        </w:rPr>
        <w:t>fintech’lerin</w:t>
      </w:r>
      <w:proofErr w:type="spellEnd"/>
      <w:r w:rsidRPr="00333B2A">
        <w:rPr>
          <w:rFonts w:ascii="Verdana" w:hAnsi="Verdana"/>
          <w:b/>
          <w:lang w:val="tr-TR"/>
        </w:rPr>
        <w:t xml:space="preserve"> önünü açacak. Bu gelişmeyle birlikte </w:t>
      </w:r>
      <w:r w:rsidR="00267677" w:rsidRPr="00267677">
        <w:rPr>
          <w:rFonts w:ascii="Verdana" w:hAnsi="Verdana"/>
          <w:b/>
          <w:lang w:val="tr-TR"/>
        </w:rPr>
        <w:t>BDDK’nın Kanun kapsamında görev ve yetkilerinin Merkez Bankası’na devredileceğini</w:t>
      </w:r>
      <w:r w:rsidR="00267677">
        <w:rPr>
          <w:rFonts w:ascii="Verdana" w:hAnsi="Verdana"/>
          <w:b/>
          <w:lang w:val="tr-TR"/>
        </w:rPr>
        <w:t xml:space="preserve">, </w:t>
      </w:r>
      <w:r w:rsidRPr="00333B2A">
        <w:rPr>
          <w:rFonts w:ascii="Verdana" w:hAnsi="Verdana"/>
          <w:b/>
          <w:lang w:val="tr-TR"/>
        </w:rPr>
        <w:t>Türkiye Ödeme ve Elektronik Para Kuruluşları Birliği’nin kurulacağını</w:t>
      </w:r>
      <w:r w:rsidR="00267677">
        <w:rPr>
          <w:rFonts w:ascii="Verdana" w:hAnsi="Verdana"/>
          <w:b/>
          <w:lang w:val="tr-TR"/>
        </w:rPr>
        <w:t xml:space="preserve"> </w:t>
      </w:r>
      <w:r w:rsidRPr="00333B2A">
        <w:rPr>
          <w:rFonts w:ascii="Verdana" w:hAnsi="Verdana"/>
          <w:b/>
          <w:lang w:val="tr-TR"/>
        </w:rPr>
        <w:t xml:space="preserve">ve ödeme hizmetleriyle ilgili yenilikçi rollerin </w:t>
      </w:r>
      <w:r w:rsidR="00AC5A34">
        <w:rPr>
          <w:rFonts w:ascii="Verdana" w:hAnsi="Verdana"/>
          <w:b/>
          <w:lang w:val="tr-TR"/>
        </w:rPr>
        <w:t>hayatımıza</w:t>
      </w:r>
      <w:r w:rsidRPr="00333B2A">
        <w:rPr>
          <w:rFonts w:ascii="Verdana" w:hAnsi="Verdana"/>
          <w:b/>
          <w:lang w:val="tr-TR"/>
        </w:rPr>
        <w:t xml:space="preserve"> gireceği</w:t>
      </w:r>
      <w:r w:rsidR="00AC5A34">
        <w:rPr>
          <w:rFonts w:ascii="Verdana" w:hAnsi="Verdana"/>
          <w:b/>
          <w:lang w:val="tr-TR"/>
        </w:rPr>
        <w:t xml:space="preserve">ni vurgulayan </w:t>
      </w:r>
      <w:r w:rsidRPr="00333B2A">
        <w:rPr>
          <w:rFonts w:ascii="Verdana" w:hAnsi="Verdana"/>
          <w:b/>
          <w:lang w:val="tr-TR"/>
        </w:rPr>
        <w:t xml:space="preserve">Ödeme ve Elektronik Para Derneği Başkanı Burhan </w:t>
      </w:r>
      <w:proofErr w:type="spellStart"/>
      <w:r w:rsidRPr="00333B2A">
        <w:rPr>
          <w:rFonts w:ascii="Verdana" w:hAnsi="Verdana"/>
          <w:b/>
          <w:lang w:val="tr-TR"/>
        </w:rPr>
        <w:t>Eliaçık</w:t>
      </w:r>
      <w:proofErr w:type="spellEnd"/>
      <w:r w:rsidRPr="00333B2A">
        <w:rPr>
          <w:rFonts w:ascii="Verdana" w:hAnsi="Verdana"/>
          <w:b/>
          <w:lang w:val="tr-TR"/>
        </w:rPr>
        <w:t xml:space="preserve">, “Hayallerimiz gerçekleşti. Artık hedef ülkemize yatırım çekmek ve milyar dolar değerinde </w:t>
      </w:r>
      <w:r w:rsidR="00CE2C54">
        <w:rPr>
          <w:rFonts w:ascii="Verdana" w:hAnsi="Verdana"/>
          <w:b/>
          <w:lang w:val="tr-TR"/>
        </w:rPr>
        <w:t>şirketler ortaya çıkarmak</w:t>
      </w:r>
      <w:r w:rsidRPr="00333B2A">
        <w:rPr>
          <w:rFonts w:ascii="Verdana" w:hAnsi="Verdana"/>
          <w:b/>
          <w:lang w:val="tr-TR"/>
        </w:rPr>
        <w:t>. Sektörümüzün ciddi bir ivme kazanacağına ve 2023 sonunda birden fazla milyar doların üzerinde değerlemeye sahip ödeme ve elektronik para kuruluşuna kavuşacağımıza inancımız tamdır” dedi.</w:t>
      </w:r>
    </w:p>
    <w:p w14:paraId="52D2F68C" w14:textId="77777777" w:rsidR="00CA1CED" w:rsidRPr="00CA1CED" w:rsidRDefault="00CA1CED" w:rsidP="00AC5A34">
      <w:pPr>
        <w:spacing w:line="360" w:lineRule="auto"/>
        <w:jc w:val="both"/>
        <w:rPr>
          <w:rFonts w:ascii="Verdana" w:hAnsi="Verdana"/>
          <w:lang w:val="tr-TR"/>
        </w:rPr>
      </w:pPr>
    </w:p>
    <w:p w14:paraId="02493AF2" w14:textId="7D82EA39" w:rsidR="00CA1CED" w:rsidRPr="00CA1CED" w:rsidRDefault="00CA1CED" w:rsidP="00AC5A34">
      <w:pPr>
        <w:spacing w:line="360" w:lineRule="auto"/>
        <w:jc w:val="both"/>
        <w:rPr>
          <w:rFonts w:ascii="Verdana" w:hAnsi="Verdana"/>
          <w:sz w:val="20"/>
          <w:szCs w:val="20"/>
          <w:lang w:val="tr-TR"/>
        </w:rPr>
      </w:pPr>
      <w:r w:rsidRPr="00CA1CED">
        <w:rPr>
          <w:rFonts w:ascii="Verdana" w:hAnsi="Verdana"/>
          <w:sz w:val="20"/>
          <w:szCs w:val="20"/>
          <w:lang w:val="tr-TR"/>
        </w:rPr>
        <w:t>Ödeme ve Menkul Kıymet Mutabakat Sistemleri, Ödeme Hizmetleri ve Elektronik Para Kuruluşları Hakkında Kanun ile Bazı Kanunlarda Değişiklik Yapılmasına Dair Kanun</w:t>
      </w:r>
      <w:r w:rsidR="001668D2">
        <w:rPr>
          <w:rFonts w:ascii="Verdana" w:hAnsi="Verdana"/>
          <w:sz w:val="20"/>
          <w:szCs w:val="20"/>
          <w:lang w:val="tr-TR"/>
        </w:rPr>
        <w:t>,</w:t>
      </w:r>
      <w:r w:rsidRPr="00CA1CED">
        <w:rPr>
          <w:rFonts w:ascii="Verdana" w:hAnsi="Verdana"/>
          <w:sz w:val="20"/>
          <w:szCs w:val="20"/>
          <w:lang w:val="tr-TR"/>
        </w:rPr>
        <w:t xml:space="preserve"> </w:t>
      </w:r>
      <w:r w:rsidR="001668D2">
        <w:rPr>
          <w:rFonts w:ascii="Verdana" w:hAnsi="Verdana"/>
          <w:sz w:val="20"/>
          <w:szCs w:val="20"/>
          <w:lang w:val="tr-TR"/>
        </w:rPr>
        <w:t>Türkiye Büyük Millet Meclisi (</w:t>
      </w:r>
      <w:r w:rsidRPr="00CA1CED">
        <w:rPr>
          <w:rFonts w:ascii="Verdana" w:hAnsi="Verdana"/>
          <w:sz w:val="20"/>
          <w:szCs w:val="20"/>
          <w:lang w:val="tr-TR"/>
        </w:rPr>
        <w:t>TBMM</w:t>
      </w:r>
      <w:r w:rsidR="001668D2">
        <w:rPr>
          <w:rFonts w:ascii="Verdana" w:hAnsi="Verdana"/>
          <w:sz w:val="20"/>
          <w:szCs w:val="20"/>
          <w:lang w:val="tr-TR"/>
        </w:rPr>
        <w:t>)</w:t>
      </w:r>
      <w:r w:rsidRPr="00CA1CED">
        <w:rPr>
          <w:rFonts w:ascii="Verdana" w:hAnsi="Verdana"/>
          <w:sz w:val="20"/>
          <w:szCs w:val="20"/>
          <w:lang w:val="tr-TR"/>
        </w:rPr>
        <w:t xml:space="preserve"> tarafından kabul edildi. Bu önemli gelişmeyi değerlendiren Ödeme ve Elektronik Para Derneği (ÖDED) Başkanı Burhan </w:t>
      </w:r>
      <w:proofErr w:type="spellStart"/>
      <w:r w:rsidRPr="00CA1CED">
        <w:rPr>
          <w:rFonts w:ascii="Verdana" w:hAnsi="Verdana"/>
          <w:sz w:val="20"/>
          <w:szCs w:val="20"/>
          <w:lang w:val="tr-TR"/>
        </w:rPr>
        <w:t>Eliaçık</w:t>
      </w:r>
      <w:proofErr w:type="spellEnd"/>
      <w:r w:rsidRPr="00CA1CED">
        <w:rPr>
          <w:rFonts w:ascii="Verdana" w:hAnsi="Verdana"/>
          <w:sz w:val="20"/>
          <w:szCs w:val="20"/>
          <w:lang w:val="tr-TR"/>
        </w:rPr>
        <w:t xml:space="preserve">, Türkiye ödeme hizmetleri için artık yeni bir dönemin başladığını vurguladı.  </w:t>
      </w:r>
    </w:p>
    <w:p w14:paraId="4E670079" w14:textId="77777777" w:rsidR="00CA1CED" w:rsidRPr="00CA1CED" w:rsidRDefault="00CA1CED" w:rsidP="00AC5A34">
      <w:pPr>
        <w:spacing w:line="360" w:lineRule="auto"/>
        <w:jc w:val="both"/>
        <w:rPr>
          <w:rFonts w:ascii="Verdana" w:hAnsi="Verdana"/>
          <w:sz w:val="20"/>
          <w:szCs w:val="20"/>
          <w:lang w:val="tr-TR"/>
        </w:rPr>
      </w:pPr>
    </w:p>
    <w:p w14:paraId="253D6663" w14:textId="77777777" w:rsidR="00267677" w:rsidRPr="00CA1CED" w:rsidRDefault="00267677" w:rsidP="00267677">
      <w:pPr>
        <w:spacing w:line="360" w:lineRule="auto"/>
        <w:jc w:val="both"/>
        <w:rPr>
          <w:rFonts w:ascii="Verdana" w:hAnsi="Verdana"/>
          <w:b/>
          <w:sz w:val="20"/>
          <w:szCs w:val="20"/>
          <w:lang w:val="tr-TR"/>
        </w:rPr>
      </w:pPr>
      <w:r w:rsidRPr="00CA1CED">
        <w:rPr>
          <w:rFonts w:ascii="Verdana" w:hAnsi="Verdana"/>
          <w:b/>
          <w:sz w:val="20"/>
          <w:szCs w:val="20"/>
          <w:lang w:val="tr-TR"/>
        </w:rPr>
        <w:t>“Merkez Bankası çatısı altında toplanıyor”</w:t>
      </w:r>
    </w:p>
    <w:p w14:paraId="3F8D9C29" w14:textId="63282662" w:rsidR="00267677" w:rsidRPr="00CA1CED" w:rsidRDefault="00267677" w:rsidP="00267677">
      <w:pPr>
        <w:spacing w:line="360" w:lineRule="auto"/>
        <w:jc w:val="both"/>
        <w:rPr>
          <w:rFonts w:ascii="Verdana" w:hAnsi="Verdana"/>
          <w:sz w:val="20"/>
          <w:szCs w:val="20"/>
          <w:lang w:val="tr-TR"/>
        </w:rPr>
      </w:pPr>
      <w:proofErr w:type="gramStart"/>
      <w:r w:rsidRPr="00267677">
        <w:rPr>
          <w:rFonts w:ascii="Verdana" w:hAnsi="Verdana"/>
          <w:sz w:val="20"/>
          <w:szCs w:val="20"/>
          <w:lang w:val="tr-TR"/>
        </w:rPr>
        <w:t>6493 sayılı ödeme hizmetlerinin amaç, rol ve sorumluluğunu tanımlayan Kanunda yapılan değişiklikler</w:t>
      </w:r>
      <w:r>
        <w:rPr>
          <w:rFonts w:ascii="Verdana" w:hAnsi="Verdana"/>
          <w:sz w:val="20"/>
          <w:szCs w:val="20"/>
          <w:lang w:val="tr-TR"/>
        </w:rPr>
        <w:t xml:space="preserve">le </w:t>
      </w:r>
      <w:r w:rsidRPr="00CA1CED">
        <w:rPr>
          <w:rFonts w:ascii="Verdana" w:hAnsi="Verdana"/>
          <w:sz w:val="20"/>
          <w:szCs w:val="20"/>
          <w:lang w:val="tr-TR"/>
        </w:rPr>
        <w:t xml:space="preserve">birlikte ödemeler alanına ilişkin olarak Bankacılık Düzenleme ve Denetleme Kurumu’na (BDDK) ait yetkilerin </w:t>
      </w:r>
      <w:r w:rsidR="00736BFA">
        <w:rPr>
          <w:rFonts w:ascii="Verdana" w:hAnsi="Verdana"/>
          <w:sz w:val="20"/>
          <w:szCs w:val="20"/>
          <w:lang w:val="tr-TR"/>
        </w:rPr>
        <w:t>ka</w:t>
      </w:r>
      <w:r w:rsidRPr="00CA1CED">
        <w:rPr>
          <w:rFonts w:ascii="Verdana" w:hAnsi="Verdana"/>
          <w:sz w:val="20"/>
          <w:szCs w:val="20"/>
          <w:lang w:val="tr-TR"/>
        </w:rPr>
        <w:t xml:space="preserve">nundaki bütünlüğü sağlamak üzere Türkiye Cumhuriyeti Merkez Bankası’na devredildiğini ifade eden </w:t>
      </w:r>
      <w:proofErr w:type="spellStart"/>
      <w:r w:rsidRPr="00CA1CED">
        <w:rPr>
          <w:rFonts w:ascii="Verdana" w:hAnsi="Verdana"/>
          <w:sz w:val="20"/>
          <w:szCs w:val="20"/>
          <w:lang w:val="tr-TR"/>
        </w:rPr>
        <w:t>Eliaçık</w:t>
      </w:r>
      <w:proofErr w:type="spellEnd"/>
      <w:r w:rsidRPr="00CA1CED">
        <w:rPr>
          <w:rFonts w:ascii="Verdana" w:hAnsi="Verdana"/>
          <w:sz w:val="20"/>
          <w:szCs w:val="20"/>
          <w:lang w:val="tr-TR"/>
        </w:rPr>
        <w:t xml:space="preserve">, </w:t>
      </w:r>
      <w:r w:rsidR="00E20F48">
        <w:rPr>
          <w:rFonts w:ascii="Verdana" w:hAnsi="Verdana"/>
          <w:sz w:val="20"/>
          <w:szCs w:val="20"/>
          <w:lang w:val="tr-TR"/>
        </w:rPr>
        <w:t>“B</w:t>
      </w:r>
      <w:r w:rsidRPr="00CA1CED">
        <w:rPr>
          <w:rFonts w:ascii="Verdana" w:hAnsi="Verdana"/>
          <w:sz w:val="20"/>
          <w:szCs w:val="20"/>
          <w:lang w:val="tr-TR"/>
        </w:rPr>
        <w:t xml:space="preserve">öylece Merkez Bankası ile BDDK arasında oluşturulan ikili düzenleme ve kontrol mekanizması değiştirilerek görev ve yetkiler tek çatı altında </w:t>
      </w:r>
      <w:r w:rsidR="00E20F48">
        <w:rPr>
          <w:rFonts w:ascii="Verdana" w:hAnsi="Verdana"/>
          <w:sz w:val="20"/>
          <w:szCs w:val="20"/>
          <w:lang w:val="tr-TR"/>
        </w:rPr>
        <w:t xml:space="preserve">toplanacak” diye konuştu. </w:t>
      </w:r>
      <w:proofErr w:type="gramEnd"/>
    </w:p>
    <w:p w14:paraId="65F5A022" w14:textId="77777777" w:rsidR="00267677" w:rsidRDefault="00267677" w:rsidP="00AC5A34">
      <w:pPr>
        <w:spacing w:line="360" w:lineRule="auto"/>
        <w:jc w:val="both"/>
        <w:rPr>
          <w:rFonts w:ascii="Verdana" w:hAnsi="Verdana"/>
          <w:b/>
          <w:sz w:val="20"/>
          <w:szCs w:val="20"/>
          <w:lang w:val="tr-TR"/>
        </w:rPr>
      </w:pPr>
    </w:p>
    <w:p w14:paraId="633659A7" w14:textId="77777777" w:rsidR="00736BFA" w:rsidRDefault="00736BFA" w:rsidP="00AC5A34">
      <w:pPr>
        <w:spacing w:line="360" w:lineRule="auto"/>
        <w:jc w:val="both"/>
        <w:rPr>
          <w:rFonts w:ascii="Verdana" w:hAnsi="Verdana"/>
          <w:b/>
          <w:sz w:val="20"/>
          <w:szCs w:val="20"/>
          <w:lang w:val="tr-TR"/>
        </w:rPr>
      </w:pPr>
    </w:p>
    <w:p w14:paraId="298A9E68" w14:textId="165558A4" w:rsidR="00CA1CED" w:rsidRPr="00CA1CED" w:rsidRDefault="00CA1CED" w:rsidP="00AC5A34">
      <w:pPr>
        <w:spacing w:line="360" w:lineRule="auto"/>
        <w:jc w:val="both"/>
        <w:rPr>
          <w:rFonts w:ascii="Verdana" w:hAnsi="Verdana"/>
          <w:b/>
          <w:sz w:val="20"/>
          <w:szCs w:val="20"/>
          <w:lang w:val="tr-TR"/>
        </w:rPr>
      </w:pPr>
      <w:r w:rsidRPr="00CA1CED">
        <w:rPr>
          <w:rFonts w:ascii="Verdana" w:hAnsi="Verdana"/>
          <w:b/>
          <w:sz w:val="20"/>
          <w:szCs w:val="20"/>
          <w:lang w:val="tr-TR"/>
        </w:rPr>
        <w:lastRenderedPageBreak/>
        <w:t>“3 ay içinde yatırıma dönüşecek”</w:t>
      </w:r>
    </w:p>
    <w:p w14:paraId="7F6714DC" w14:textId="0453FF5F" w:rsidR="00CA1CED" w:rsidRPr="00CA1CED" w:rsidRDefault="00CA1CED" w:rsidP="00AC5A34">
      <w:pPr>
        <w:spacing w:line="360" w:lineRule="auto"/>
        <w:jc w:val="both"/>
        <w:rPr>
          <w:rFonts w:ascii="Verdana" w:hAnsi="Verdana"/>
          <w:sz w:val="20"/>
          <w:szCs w:val="20"/>
          <w:lang w:val="tr-TR"/>
        </w:rPr>
      </w:pPr>
      <w:r w:rsidRPr="00CA1CED">
        <w:rPr>
          <w:rFonts w:ascii="Verdana" w:hAnsi="Verdana"/>
          <w:sz w:val="20"/>
          <w:szCs w:val="20"/>
          <w:lang w:val="tr-TR"/>
        </w:rPr>
        <w:t xml:space="preserve">2019 yılında yasalaşan 11. Kalkınma Planı’nda belirtilen hedeflerin önemli bir kısmının yıl sona ermeden hızla </w:t>
      </w:r>
      <w:r w:rsidR="00736BFA">
        <w:rPr>
          <w:rFonts w:ascii="Verdana" w:hAnsi="Verdana"/>
          <w:sz w:val="20"/>
          <w:szCs w:val="20"/>
          <w:lang w:val="tr-TR"/>
        </w:rPr>
        <w:t>hayata geçirildiğinin</w:t>
      </w:r>
      <w:r w:rsidRPr="00CA1CED">
        <w:rPr>
          <w:rFonts w:ascii="Verdana" w:hAnsi="Verdana"/>
          <w:sz w:val="20"/>
          <w:szCs w:val="20"/>
          <w:lang w:val="tr-TR"/>
        </w:rPr>
        <w:t xml:space="preserve"> altını çizen </w:t>
      </w:r>
      <w:proofErr w:type="spellStart"/>
      <w:r w:rsidRPr="00CA1CED">
        <w:rPr>
          <w:rFonts w:ascii="Verdana" w:hAnsi="Verdana"/>
          <w:sz w:val="20"/>
          <w:szCs w:val="20"/>
          <w:lang w:val="tr-TR"/>
        </w:rPr>
        <w:t>Eliaçık</w:t>
      </w:r>
      <w:proofErr w:type="spellEnd"/>
      <w:r w:rsidRPr="00CA1CED">
        <w:rPr>
          <w:rFonts w:ascii="Verdana" w:hAnsi="Verdana"/>
          <w:sz w:val="20"/>
          <w:szCs w:val="20"/>
          <w:lang w:val="tr-TR"/>
        </w:rPr>
        <w:t xml:space="preserve">, “Hayallerimiz gerçekleşti. Bu gelişme, ödeme hizmetleri sektörü açısından son derece büyük bir mutluluk ve gurur kaynağı” diye konuştu. Bu yasayla birlikte uluslararası düzenlemeler ve standartlarla uyumu yakalayarak yenilikçi ve düşük maliyetli ürün ve hizmetlerin yaygınlaştığı bir ödemeler ekosistemine doğru hızla yol alacağımızı ifade eden Burhan </w:t>
      </w:r>
      <w:proofErr w:type="spellStart"/>
      <w:r w:rsidRPr="00CA1CED">
        <w:rPr>
          <w:rFonts w:ascii="Verdana" w:hAnsi="Verdana"/>
          <w:sz w:val="20"/>
          <w:szCs w:val="20"/>
          <w:lang w:val="tr-TR"/>
        </w:rPr>
        <w:t>Eliaçık</w:t>
      </w:r>
      <w:proofErr w:type="spellEnd"/>
      <w:r w:rsidRPr="00CA1CED">
        <w:rPr>
          <w:rFonts w:ascii="Verdana" w:hAnsi="Verdana"/>
          <w:sz w:val="20"/>
          <w:szCs w:val="20"/>
          <w:lang w:val="tr-TR"/>
        </w:rPr>
        <w:t xml:space="preserve">, şöyle konuştu: “Uluslararası benzer uygulamaların süratle hayatımıza girdiği ve bu sayede finansal erişimin tabana yayıldığı bir dönem başlayacak. Bu gelişmelerin ülkemiz ödeme hizmetlerinin mevcut bilgi birikimiyle birleşerek, çok kısa sürede, hatta gelecek 3 ay içinde yatırıma dönüşeceğine, sektörün ciddi bir ivme kazanacağına ve 2023 yılı sonunda birden fazla milyar doların üzerinde değerlemeye sahip ödeme ve elektronik para kuruluşuna kavuşacağımıza inancımız tamdır.”  </w:t>
      </w:r>
    </w:p>
    <w:p w14:paraId="58B52710" w14:textId="1EED719D" w:rsidR="00CA1CED" w:rsidRPr="00CA1CED" w:rsidRDefault="00CA1CED" w:rsidP="00AC5A34">
      <w:pPr>
        <w:spacing w:line="360" w:lineRule="auto"/>
        <w:jc w:val="both"/>
        <w:rPr>
          <w:rFonts w:ascii="Verdana" w:hAnsi="Verdana"/>
          <w:sz w:val="20"/>
          <w:szCs w:val="20"/>
          <w:lang w:val="tr-TR"/>
        </w:rPr>
      </w:pPr>
    </w:p>
    <w:p w14:paraId="6DFAF3CA" w14:textId="77777777" w:rsidR="00CA1CED" w:rsidRPr="00CA1CED" w:rsidRDefault="00CA1CED" w:rsidP="00AC5A34">
      <w:pPr>
        <w:spacing w:line="360" w:lineRule="auto"/>
        <w:jc w:val="both"/>
        <w:rPr>
          <w:rFonts w:ascii="Verdana" w:hAnsi="Verdana"/>
          <w:b/>
          <w:sz w:val="20"/>
          <w:szCs w:val="20"/>
          <w:lang w:val="tr-TR"/>
        </w:rPr>
      </w:pPr>
      <w:r w:rsidRPr="00CA1CED">
        <w:rPr>
          <w:rFonts w:ascii="Verdana" w:hAnsi="Verdana"/>
          <w:b/>
          <w:sz w:val="20"/>
          <w:szCs w:val="20"/>
          <w:lang w:val="tr-TR"/>
        </w:rPr>
        <w:t xml:space="preserve">“Kuruluşlar mevcut finansal sisteme tam </w:t>
      </w:r>
      <w:proofErr w:type="gramStart"/>
      <w:r w:rsidRPr="00CA1CED">
        <w:rPr>
          <w:rFonts w:ascii="Verdana" w:hAnsi="Verdana"/>
          <w:b/>
          <w:sz w:val="20"/>
          <w:szCs w:val="20"/>
          <w:lang w:val="tr-TR"/>
        </w:rPr>
        <w:t>entegre</w:t>
      </w:r>
      <w:proofErr w:type="gramEnd"/>
      <w:r w:rsidRPr="00CA1CED">
        <w:rPr>
          <w:rFonts w:ascii="Verdana" w:hAnsi="Verdana"/>
          <w:b/>
          <w:sz w:val="20"/>
          <w:szCs w:val="20"/>
          <w:lang w:val="tr-TR"/>
        </w:rPr>
        <w:t xml:space="preserve"> olacak”</w:t>
      </w:r>
    </w:p>
    <w:p w14:paraId="521ECD19" w14:textId="32F030D7" w:rsidR="00CA1CED" w:rsidRPr="00CA1CED" w:rsidRDefault="00CA1CED" w:rsidP="00AC5A34">
      <w:pPr>
        <w:spacing w:line="360" w:lineRule="auto"/>
        <w:jc w:val="both"/>
        <w:rPr>
          <w:rFonts w:ascii="Verdana" w:hAnsi="Verdana"/>
          <w:sz w:val="20"/>
          <w:szCs w:val="20"/>
          <w:lang w:val="tr-TR"/>
        </w:rPr>
      </w:pPr>
      <w:r w:rsidRPr="00CA1CED">
        <w:rPr>
          <w:rFonts w:ascii="Verdana" w:hAnsi="Verdana"/>
          <w:sz w:val="20"/>
          <w:szCs w:val="20"/>
          <w:lang w:val="tr-TR"/>
        </w:rPr>
        <w:t>Ödeme ve elektronik para kuruluşlarının mesleki faaliyetlerinin kolaylaştırılması ve sistemin daha sağlıklı işlemesi amacıyla her fırsatta önemini vurguladıkları birlik talebinin</w:t>
      </w:r>
      <w:r w:rsidR="00E20F48">
        <w:rPr>
          <w:rFonts w:ascii="Verdana" w:hAnsi="Verdana"/>
          <w:sz w:val="20"/>
          <w:szCs w:val="20"/>
          <w:lang w:val="tr-TR"/>
        </w:rPr>
        <w:t xml:space="preserve"> de bu değişikliklerle birlikte</w:t>
      </w:r>
      <w:r w:rsidRPr="00CA1CED">
        <w:rPr>
          <w:rFonts w:ascii="Verdana" w:hAnsi="Verdana"/>
          <w:sz w:val="20"/>
          <w:szCs w:val="20"/>
          <w:lang w:val="tr-TR"/>
        </w:rPr>
        <w:t xml:space="preserve"> gerçekleştiğini söyleyen Burhan </w:t>
      </w:r>
      <w:proofErr w:type="spellStart"/>
      <w:r w:rsidRPr="00CA1CED">
        <w:rPr>
          <w:rFonts w:ascii="Verdana" w:hAnsi="Verdana"/>
          <w:sz w:val="20"/>
          <w:szCs w:val="20"/>
          <w:lang w:val="tr-TR"/>
        </w:rPr>
        <w:t>Eliaçık</w:t>
      </w:r>
      <w:proofErr w:type="spellEnd"/>
      <w:r w:rsidRPr="00CA1CED">
        <w:rPr>
          <w:rFonts w:ascii="Verdana" w:hAnsi="Verdana"/>
          <w:sz w:val="20"/>
          <w:szCs w:val="20"/>
          <w:lang w:val="tr-TR"/>
        </w:rPr>
        <w:t>, “Bu karar doğrultusunda, sektörümüzün uzun süredir beklediği Türkiye Ödeme ve Elektronik Para Kuruluşları Birliği’n</w:t>
      </w:r>
      <w:r w:rsidR="0011529D">
        <w:rPr>
          <w:rFonts w:ascii="Verdana" w:hAnsi="Verdana"/>
          <w:sz w:val="20"/>
          <w:szCs w:val="20"/>
          <w:lang w:val="tr-TR"/>
        </w:rPr>
        <w:t xml:space="preserve">e kavuşmuş oluyoruz. </w:t>
      </w:r>
      <w:r w:rsidRPr="00CA1CED">
        <w:rPr>
          <w:rFonts w:ascii="Verdana" w:hAnsi="Verdana"/>
          <w:sz w:val="20"/>
          <w:szCs w:val="20"/>
          <w:lang w:val="tr-TR"/>
        </w:rPr>
        <w:t xml:space="preserve">Bu önemli adım sayesinde kuruluşların mevcut finansal sisteme tam </w:t>
      </w:r>
      <w:proofErr w:type="gramStart"/>
      <w:r w:rsidRPr="00CA1CED">
        <w:rPr>
          <w:rFonts w:ascii="Verdana" w:hAnsi="Verdana"/>
          <w:sz w:val="20"/>
          <w:szCs w:val="20"/>
          <w:lang w:val="tr-TR"/>
        </w:rPr>
        <w:t>entegrasyonu</w:t>
      </w:r>
      <w:proofErr w:type="gramEnd"/>
      <w:r w:rsidRPr="00CA1CED">
        <w:rPr>
          <w:rFonts w:ascii="Verdana" w:hAnsi="Verdana"/>
          <w:sz w:val="20"/>
          <w:szCs w:val="20"/>
          <w:lang w:val="tr-TR"/>
        </w:rPr>
        <w:t xml:space="preserve"> sağlanabilecek” dedi.  </w:t>
      </w:r>
    </w:p>
    <w:p w14:paraId="02AF1E70" w14:textId="77777777" w:rsidR="00CA1CED" w:rsidRPr="00CA1CED" w:rsidRDefault="00CA1CED" w:rsidP="00AC5A34">
      <w:pPr>
        <w:spacing w:line="360" w:lineRule="auto"/>
        <w:jc w:val="both"/>
        <w:rPr>
          <w:rFonts w:ascii="Verdana" w:hAnsi="Verdana"/>
          <w:sz w:val="20"/>
          <w:szCs w:val="20"/>
          <w:lang w:val="tr-TR"/>
        </w:rPr>
      </w:pPr>
    </w:p>
    <w:p w14:paraId="25E55E14" w14:textId="7B702D8B" w:rsidR="00CA1CED" w:rsidRPr="00CA1CED" w:rsidRDefault="00CA1CED" w:rsidP="00AC5A34">
      <w:pPr>
        <w:spacing w:line="360" w:lineRule="auto"/>
        <w:jc w:val="both"/>
        <w:rPr>
          <w:rFonts w:ascii="Verdana" w:hAnsi="Verdana"/>
          <w:b/>
          <w:sz w:val="20"/>
          <w:szCs w:val="20"/>
          <w:lang w:val="tr-TR"/>
        </w:rPr>
      </w:pPr>
      <w:r w:rsidRPr="00CA1CED">
        <w:rPr>
          <w:rFonts w:ascii="Verdana" w:hAnsi="Verdana"/>
          <w:b/>
          <w:sz w:val="20"/>
          <w:szCs w:val="20"/>
          <w:lang w:val="tr-TR"/>
        </w:rPr>
        <w:t>“PSD2’ye uyum</w:t>
      </w:r>
      <w:r w:rsidR="0011529D">
        <w:rPr>
          <w:rFonts w:ascii="Verdana" w:hAnsi="Verdana"/>
          <w:b/>
          <w:sz w:val="20"/>
          <w:szCs w:val="20"/>
          <w:lang w:val="tr-TR"/>
        </w:rPr>
        <w:t xml:space="preserve"> sağlanacak ve</w:t>
      </w:r>
      <w:r w:rsidRPr="00CA1CED">
        <w:rPr>
          <w:rFonts w:ascii="Verdana" w:hAnsi="Verdana"/>
          <w:b/>
          <w:sz w:val="20"/>
          <w:szCs w:val="20"/>
          <w:lang w:val="tr-TR"/>
        </w:rPr>
        <w:t xml:space="preserve"> açık bankacılık faaliyetleri geliştirilebilecek”</w:t>
      </w:r>
    </w:p>
    <w:p w14:paraId="6B56DB49" w14:textId="4987C640" w:rsidR="00CA1CED" w:rsidRDefault="00CA1CED" w:rsidP="00AC5A34">
      <w:pPr>
        <w:spacing w:line="360" w:lineRule="auto"/>
        <w:jc w:val="both"/>
        <w:rPr>
          <w:rFonts w:ascii="Verdana" w:hAnsi="Verdana"/>
          <w:sz w:val="20"/>
          <w:szCs w:val="20"/>
          <w:lang w:val="tr-TR"/>
        </w:rPr>
      </w:pPr>
      <w:r w:rsidRPr="00CA1CED">
        <w:rPr>
          <w:rFonts w:ascii="Verdana" w:hAnsi="Verdana"/>
          <w:sz w:val="20"/>
          <w:szCs w:val="20"/>
          <w:lang w:val="tr-TR"/>
        </w:rPr>
        <w:t xml:space="preserve">Yeni düzenlemeyle bireyler ve kurumlar için hayatı kolaylaştıracak </w:t>
      </w:r>
      <w:r w:rsidR="00E20F48">
        <w:rPr>
          <w:rFonts w:ascii="Verdana" w:hAnsi="Verdana"/>
          <w:sz w:val="20"/>
          <w:szCs w:val="20"/>
          <w:lang w:val="tr-TR"/>
        </w:rPr>
        <w:t xml:space="preserve">ödeme </w:t>
      </w:r>
      <w:r w:rsidRPr="00CA1CED">
        <w:rPr>
          <w:rFonts w:ascii="Verdana" w:hAnsi="Verdana"/>
          <w:sz w:val="20"/>
          <w:szCs w:val="20"/>
          <w:lang w:val="tr-TR"/>
        </w:rPr>
        <w:t>çözümlerin</w:t>
      </w:r>
      <w:r w:rsidR="00E20F48">
        <w:rPr>
          <w:rFonts w:ascii="Verdana" w:hAnsi="Verdana"/>
          <w:sz w:val="20"/>
          <w:szCs w:val="20"/>
          <w:lang w:val="tr-TR"/>
        </w:rPr>
        <w:t xml:space="preserve">in </w:t>
      </w:r>
      <w:r w:rsidRPr="00CA1CED">
        <w:rPr>
          <w:rFonts w:ascii="Verdana" w:hAnsi="Verdana"/>
          <w:sz w:val="20"/>
          <w:szCs w:val="20"/>
          <w:lang w:val="tr-TR"/>
        </w:rPr>
        <w:t xml:space="preserve">de hayata geçirileceğini ifade eden </w:t>
      </w:r>
      <w:proofErr w:type="spellStart"/>
      <w:r w:rsidRPr="00CA1CED">
        <w:rPr>
          <w:rFonts w:ascii="Verdana" w:hAnsi="Verdana"/>
          <w:sz w:val="20"/>
          <w:szCs w:val="20"/>
          <w:lang w:val="tr-TR"/>
        </w:rPr>
        <w:t>Eliaçık</w:t>
      </w:r>
      <w:proofErr w:type="spellEnd"/>
      <w:r w:rsidRPr="00CA1CED">
        <w:rPr>
          <w:rFonts w:ascii="Verdana" w:hAnsi="Verdana"/>
          <w:sz w:val="20"/>
          <w:szCs w:val="20"/>
          <w:lang w:val="tr-TR"/>
        </w:rPr>
        <w:t xml:space="preserve">, “Ödeme </w:t>
      </w:r>
      <w:r w:rsidR="00E20F48">
        <w:rPr>
          <w:rFonts w:ascii="Verdana" w:hAnsi="Verdana"/>
          <w:sz w:val="20"/>
          <w:szCs w:val="20"/>
          <w:lang w:val="tr-TR"/>
        </w:rPr>
        <w:t>h</w:t>
      </w:r>
      <w:r w:rsidRPr="00CA1CED">
        <w:rPr>
          <w:rFonts w:ascii="Verdana" w:hAnsi="Verdana"/>
          <w:sz w:val="20"/>
          <w:szCs w:val="20"/>
          <w:lang w:val="tr-TR"/>
        </w:rPr>
        <w:t xml:space="preserve">izmeti </w:t>
      </w:r>
      <w:r w:rsidR="00E20F48">
        <w:rPr>
          <w:rFonts w:ascii="Verdana" w:hAnsi="Verdana"/>
          <w:sz w:val="20"/>
          <w:szCs w:val="20"/>
          <w:lang w:val="tr-TR"/>
        </w:rPr>
        <w:t>ba</w:t>
      </w:r>
      <w:r w:rsidRPr="00CA1CED">
        <w:rPr>
          <w:rFonts w:ascii="Verdana" w:hAnsi="Verdana"/>
          <w:sz w:val="20"/>
          <w:szCs w:val="20"/>
          <w:lang w:val="tr-TR"/>
        </w:rPr>
        <w:t xml:space="preserve">şlatma ve </w:t>
      </w:r>
      <w:r w:rsidR="00E20F48">
        <w:rPr>
          <w:rFonts w:ascii="Verdana" w:hAnsi="Verdana"/>
          <w:sz w:val="20"/>
          <w:szCs w:val="20"/>
          <w:lang w:val="tr-TR"/>
        </w:rPr>
        <w:t>h</w:t>
      </w:r>
      <w:r w:rsidRPr="00CA1CED">
        <w:rPr>
          <w:rFonts w:ascii="Verdana" w:hAnsi="Verdana"/>
          <w:sz w:val="20"/>
          <w:szCs w:val="20"/>
          <w:lang w:val="tr-TR"/>
        </w:rPr>
        <w:t xml:space="preserve">esap </w:t>
      </w:r>
      <w:r w:rsidR="00E20F48">
        <w:rPr>
          <w:rFonts w:ascii="Verdana" w:hAnsi="Verdana"/>
          <w:sz w:val="20"/>
          <w:szCs w:val="20"/>
          <w:lang w:val="tr-TR"/>
        </w:rPr>
        <w:t>b</w:t>
      </w:r>
      <w:r w:rsidRPr="00CA1CED">
        <w:rPr>
          <w:rFonts w:ascii="Verdana" w:hAnsi="Verdana"/>
          <w:sz w:val="20"/>
          <w:szCs w:val="20"/>
          <w:lang w:val="tr-TR"/>
        </w:rPr>
        <w:t xml:space="preserve">ilgisi </w:t>
      </w:r>
      <w:r w:rsidR="00E20F48">
        <w:rPr>
          <w:rFonts w:ascii="Verdana" w:hAnsi="Verdana"/>
          <w:sz w:val="20"/>
          <w:szCs w:val="20"/>
          <w:lang w:val="tr-TR"/>
        </w:rPr>
        <w:t>s</w:t>
      </w:r>
      <w:r w:rsidRPr="00CA1CED">
        <w:rPr>
          <w:rFonts w:ascii="Verdana" w:hAnsi="Verdana"/>
          <w:sz w:val="20"/>
          <w:szCs w:val="20"/>
          <w:lang w:val="tr-TR"/>
        </w:rPr>
        <w:t>ağlama faaliyetleri olarak tanımlanan yetkilerle</w:t>
      </w:r>
      <w:r w:rsidR="00E20F48">
        <w:rPr>
          <w:rFonts w:ascii="Verdana" w:hAnsi="Verdana"/>
          <w:sz w:val="20"/>
          <w:szCs w:val="20"/>
          <w:lang w:val="tr-TR"/>
        </w:rPr>
        <w:t>,</w:t>
      </w:r>
      <w:r w:rsidRPr="00CA1CED">
        <w:rPr>
          <w:rFonts w:ascii="Verdana" w:hAnsi="Verdana"/>
          <w:sz w:val="20"/>
          <w:szCs w:val="20"/>
          <w:lang w:val="tr-TR"/>
        </w:rPr>
        <w:t xml:space="preserve"> kullanıcıların onayıyla ödeme hesabına ilişkin bilgilerin çevrimiçi platformlarda </w:t>
      </w:r>
      <w:proofErr w:type="gramStart"/>
      <w:r w:rsidRPr="00CA1CED">
        <w:rPr>
          <w:rFonts w:ascii="Verdana" w:hAnsi="Verdana"/>
          <w:sz w:val="20"/>
          <w:szCs w:val="20"/>
          <w:lang w:val="tr-TR"/>
        </w:rPr>
        <w:t>konsolide</w:t>
      </w:r>
      <w:proofErr w:type="gramEnd"/>
      <w:r w:rsidRPr="00CA1CED">
        <w:rPr>
          <w:rFonts w:ascii="Verdana" w:hAnsi="Verdana"/>
          <w:sz w:val="20"/>
          <w:szCs w:val="20"/>
          <w:lang w:val="tr-TR"/>
        </w:rPr>
        <w:t xml:space="preserve"> sunulması ve başka bir ödeme hizmeti sağlayıcısındaki ödeme hesabıyla ilgili ödeme başlatılabilmesi mümkün olacak. Böylece kullanıcıların bir uygulama içinde bakiye sorgulayabilmesini ve bu bakiyeyi transfer edebilmesini mümkün kılan uygulamalar hayatımıza girecek. Bu sayede sektörün heyecanla beklediği Avrupa Birli</w:t>
      </w:r>
      <w:r w:rsidR="005B7183">
        <w:rPr>
          <w:rFonts w:ascii="Verdana" w:hAnsi="Verdana"/>
          <w:sz w:val="20"/>
          <w:szCs w:val="20"/>
          <w:lang w:val="tr-TR"/>
        </w:rPr>
        <w:t>ğ</w:t>
      </w:r>
      <w:r w:rsidRPr="00CA1CED">
        <w:rPr>
          <w:rFonts w:ascii="Verdana" w:hAnsi="Verdana"/>
          <w:sz w:val="20"/>
          <w:szCs w:val="20"/>
          <w:lang w:val="tr-TR"/>
        </w:rPr>
        <w:t>i’nin ‘</w:t>
      </w:r>
      <w:proofErr w:type="spellStart"/>
      <w:r w:rsidRPr="00CA1CED">
        <w:rPr>
          <w:rFonts w:ascii="Verdana" w:hAnsi="Verdana"/>
          <w:sz w:val="20"/>
          <w:szCs w:val="20"/>
          <w:lang w:val="tr-TR"/>
        </w:rPr>
        <w:t>Payment</w:t>
      </w:r>
      <w:proofErr w:type="spellEnd"/>
      <w:r w:rsidRPr="00CA1CED">
        <w:rPr>
          <w:rFonts w:ascii="Verdana" w:hAnsi="Verdana"/>
          <w:sz w:val="20"/>
          <w:szCs w:val="20"/>
          <w:lang w:val="tr-TR"/>
        </w:rPr>
        <w:t xml:space="preserve"> Services Directive 2’ </w:t>
      </w:r>
      <w:r w:rsidR="005B7183">
        <w:rPr>
          <w:rFonts w:ascii="Verdana" w:hAnsi="Verdana"/>
          <w:sz w:val="20"/>
          <w:szCs w:val="20"/>
          <w:lang w:val="tr-TR"/>
        </w:rPr>
        <w:t xml:space="preserve">düzenlemesi ile </w:t>
      </w:r>
      <w:r w:rsidRPr="00CA1CED">
        <w:rPr>
          <w:rFonts w:ascii="Verdana" w:hAnsi="Verdana"/>
          <w:sz w:val="20"/>
          <w:szCs w:val="20"/>
          <w:lang w:val="tr-TR"/>
        </w:rPr>
        <w:t>uyum</w:t>
      </w:r>
      <w:r w:rsidR="005B7183">
        <w:rPr>
          <w:rFonts w:ascii="Verdana" w:hAnsi="Verdana"/>
          <w:sz w:val="20"/>
          <w:szCs w:val="20"/>
          <w:lang w:val="tr-TR"/>
        </w:rPr>
        <w:t xml:space="preserve"> sağlanacak ve </w:t>
      </w:r>
      <w:r w:rsidRPr="00CA1CED">
        <w:rPr>
          <w:rFonts w:ascii="Verdana" w:hAnsi="Verdana"/>
          <w:sz w:val="20"/>
          <w:szCs w:val="20"/>
          <w:lang w:val="tr-TR"/>
        </w:rPr>
        <w:t xml:space="preserve">açık bankacılık </w:t>
      </w:r>
      <w:r w:rsidR="005B7183">
        <w:rPr>
          <w:rFonts w:ascii="Verdana" w:hAnsi="Verdana"/>
          <w:sz w:val="20"/>
          <w:szCs w:val="20"/>
          <w:lang w:val="tr-TR"/>
        </w:rPr>
        <w:t>uygulamaları</w:t>
      </w:r>
      <w:r w:rsidRPr="00CA1CED">
        <w:rPr>
          <w:rFonts w:ascii="Verdana" w:hAnsi="Verdana"/>
          <w:sz w:val="20"/>
          <w:szCs w:val="20"/>
          <w:lang w:val="tr-TR"/>
        </w:rPr>
        <w:t xml:space="preserve"> Merkez Bankası’nın belirleyeceği usul ve esaslar çerçevesinde geliştirilebilecek</w:t>
      </w:r>
      <w:r w:rsidR="00082C35">
        <w:rPr>
          <w:rFonts w:ascii="Verdana" w:hAnsi="Verdana"/>
          <w:sz w:val="20"/>
          <w:szCs w:val="20"/>
          <w:lang w:val="tr-TR"/>
        </w:rPr>
        <w:t>. Bu vesil</w:t>
      </w:r>
      <w:r w:rsidR="00736BFA">
        <w:rPr>
          <w:rFonts w:ascii="Verdana" w:hAnsi="Verdana"/>
          <w:sz w:val="20"/>
          <w:szCs w:val="20"/>
          <w:lang w:val="tr-TR"/>
        </w:rPr>
        <w:t>eyle</w:t>
      </w:r>
      <w:r w:rsidR="00082C35">
        <w:rPr>
          <w:rFonts w:ascii="Verdana" w:hAnsi="Verdana"/>
          <w:sz w:val="20"/>
          <w:szCs w:val="20"/>
          <w:lang w:val="tr-TR"/>
        </w:rPr>
        <w:t xml:space="preserve"> tüm süreçte</w:t>
      </w:r>
      <w:r w:rsidR="00082C35" w:rsidRPr="00082C35">
        <w:rPr>
          <w:rFonts w:ascii="Verdana" w:hAnsi="Verdana"/>
          <w:sz w:val="20"/>
          <w:szCs w:val="20"/>
          <w:lang w:val="tr-TR"/>
        </w:rPr>
        <w:t xml:space="preserve"> </w:t>
      </w:r>
      <w:r w:rsidR="006228F7">
        <w:rPr>
          <w:rFonts w:ascii="Verdana" w:hAnsi="Verdana"/>
          <w:sz w:val="20"/>
          <w:szCs w:val="20"/>
          <w:lang w:val="tr-TR"/>
        </w:rPr>
        <w:t xml:space="preserve">sektörümüze </w:t>
      </w:r>
      <w:r w:rsidR="00082C35" w:rsidRPr="00082C35">
        <w:rPr>
          <w:rFonts w:ascii="Verdana" w:hAnsi="Verdana"/>
          <w:sz w:val="20"/>
          <w:szCs w:val="20"/>
          <w:lang w:val="tr-TR"/>
        </w:rPr>
        <w:t xml:space="preserve">desteklerini esirgemeyen </w:t>
      </w:r>
      <w:r w:rsidR="00082C35">
        <w:rPr>
          <w:rFonts w:ascii="Verdana" w:hAnsi="Verdana"/>
          <w:sz w:val="20"/>
          <w:szCs w:val="20"/>
          <w:lang w:val="tr-TR"/>
        </w:rPr>
        <w:t xml:space="preserve">T.C Hazine ve Maliye Bakanlığı, </w:t>
      </w:r>
      <w:r w:rsidR="00082C35" w:rsidRPr="00082C35">
        <w:rPr>
          <w:rFonts w:ascii="Verdana" w:hAnsi="Verdana"/>
          <w:sz w:val="20"/>
          <w:szCs w:val="20"/>
          <w:lang w:val="tr-TR"/>
        </w:rPr>
        <w:t>Türkiye Cumhuriyet</w:t>
      </w:r>
      <w:r w:rsidR="00736BFA">
        <w:rPr>
          <w:rFonts w:ascii="Verdana" w:hAnsi="Verdana"/>
          <w:sz w:val="20"/>
          <w:szCs w:val="20"/>
          <w:lang w:val="tr-TR"/>
        </w:rPr>
        <w:t>i</w:t>
      </w:r>
      <w:r w:rsidR="00082C35" w:rsidRPr="00082C35">
        <w:rPr>
          <w:rFonts w:ascii="Verdana" w:hAnsi="Verdana"/>
          <w:sz w:val="20"/>
          <w:szCs w:val="20"/>
          <w:lang w:val="tr-TR"/>
        </w:rPr>
        <w:t xml:space="preserve"> Merkez Bankası </w:t>
      </w:r>
      <w:r w:rsidR="00082C35">
        <w:rPr>
          <w:rFonts w:ascii="Verdana" w:hAnsi="Verdana"/>
          <w:sz w:val="20"/>
          <w:szCs w:val="20"/>
          <w:lang w:val="tr-TR"/>
        </w:rPr>
        <w:t>ve Bankacılık Düzenleme ve Denetleme Kurumu</w:t>
      </w:r>
      <w:r w:rsidR="00736BFA">
        <w:rPr>
          <w:rFonts w:ascii="Verdana" w:hAnsi="Verdana"/>
          <w:sz w:val="20"/>
          <w:szCs w:val="20"/>
          <w:lang w:val="tr-TR"/>
        </w:rPr>
        <w:t>’</w:t>
      </w:r>
      <w:r w:rsidR="00082C35">
        <w:rPr>
          <w:rFonts w:ascii="Verdana" w:hAnsi="Verdana"/>
          <w:sz w:val="20"/>
          <w:szCs w:val="20"/>
          <w:lang w:val="tr-TR"/>
        </w:rPr>
        <w:t xml:space="preserve">na sonsuz </w:t>
      </w:r>
      <w:r w:rsidR="00082C35" w:rsidRPr="00082C35">
        <w:rPr>
          <w:rFonts w:ascii="Verdana" w:hAnsi="Verdana"/>
          <w:sz w:val="20"/>
          <w:szCs w:val="20"/>
          <w:lang w:val="tr-TR"/>
        </w:rPr>
        <w:t>teşekkür ediyoruz</w:t>
      </w:r>
      <w:r w:rsidRPr="00CA1CED">
        <w:rPr>
          <w:rFonts w:ascii="Verdana" w:hAnsi="Verdana"/>
          <w:sz w:val="20"/>
          <w:szCs w:val="20"/>
          <w:lang w:val="tr-TR"/>
        </w:rPr>
        <w:t xml:space="preserve">” diye konuştu.  </w:t>
      </w:r>
    </w:p>
    <w:p w14:paraId="6339C984" w14:textId="3AF4C344" w:rsidR="00082C35" w:rsidRDefault="00082C35" w:rsidP="00AC5A34">
      <w:pPr>
        <w:spacing w:line="360" w:lineRule="auto"/>
        <w:jc w:val="both"/>
        <w:rPr>
          <w:rFonts w:ascii="Verdana" w:hAnsi="Verdana"/>
          <w:sz w:val="20"/>
          <w:szCs w:val="20"/>
          <w:lang w:val="tr-TR"/>
        </w:rPr>
      </w:pPr>
    </w:p>
    <w:p w14:paraId="01DB229F" w14:textId="77777777" w:rsidR="00082C35" w:rsidRPr="00CA1CED" w:rsidRDefault="00082C35" w:rsidP="00AC5A34">
      <w:pPr>
        <w:spacing w:line="360" w:lineRule="auto"/>
        <w:jc w:val="both"/>
        <w:rPr>
          <w:rFonts w:ascii="Verdana" w:hAnsi="Verdana"/>
          <w:sz w:val="20"/>
          <w:szCs w:val="20"/>
          <w:lang w:val="tr-TR"/>
        </w:rPr>
      </w:pPr>
    </w:p>
    <w:p w14:paraId="5A753E6B" w14:textId="5949D9A1" w:rsidR="00CA1CED" w:rsidRDefault="00CA1CED" w:rsidP="000F7285">
      <w:pPr>
        <w:pStyle w:val="NormalWeb"/>
        <w:spacing w:before="0" w:beforeAutospacing="0" w:after="0" w:afterAutospacing="0"/>
        <w:rPr>
          <w:rFonts w:ascii="Verdana" w:eastAsiaTheme="minorHAnsi" w:hAnsi="Verdana"/>
          <w:b/>
          <w:bCs/>
          <w:sz w:val="16"/>
          <w:szCs w:val="16"/>
        </w:rPr>
      </w:pPr>
    </w:p>
    <w:p w14:paraId="012ED507" w14:textId="77777777" w:rsidR="00082C35" w:rsidRDefault="00082C35" w:rsidP="000F7285">
      <w:pPr>
        <w:pStyle w:val="NormalWeb"/>
        <w:spacing w:before="0" w:beforeAutospacing="0" w:after="0" w:afterAutospacing="0"/>
        <w:rPr>
          <w:rFonts w:ascii="Verdana" w:eastAsiaTheme="minorHAnsi" w:hAnsi="Verdana"/>
          <w:b/>
          <w:bCs/>
          <w:sz w:val="16"/>
          <w:szCs w:val="16"/>
        </w:rPr>
      </w:pPr>
    </w:p>
    <w:p w14:paraId="6399423B" w14:textId="77777777" w:rsidR="00082C35" w:rsidRDefault="00082C35" w:rsidP="000F7285">
      <w:pPr>
        <w:pStyle w:val="NormalWeb"/>
        <w:spacing w:before="0" w:beforeAutospacing="0" w:after="0" w:afterAutospacing="0"/>
        <w:rPr>
          <w:rFonts w:ascii="Verdana" w:eastAsiaTheme="minorHAnsi" w:hAnsi="Verdana"/>
          <w:b/>
          <w:bCs/>
          <w:sz w:val="16"/>
          <w:szCs w:val="16"/>
        </w:rPr>
      </w:pPr>
    </w:p>
    <w:p w14:paraId="5EE87EAA" w14:textId="77777777" w:rsidR="00CA1CED" w:rsidRDefault="00CA1CED" w:rsidP="000F7285">
      <w:pPr>
        <w:pStyle w:val="NormalWeb"/>
        <w:spacing w:before="0" w:beforeAutospacing="0" w:after="0" w:afterAutospacing="0"/>
        <w:rPr>
          <w:rFonts w:ascii="Verdana" w:eastAsiaTheme="minorHAnsi" w:hAnsi="Verdana"/>
          <w:b/>
          <w:bCs/>
          <w:sz w:val="16"/>
          <w:szCs w:val="16"/>
        </w:rPr>
      </w:pPr>
    </w:p>
    <w:p w14:paraId="6CF9696D" w14:textId="77777777" w:rsidR="00946D93" w:rsidRPr="00946D93" w:rsidRDefault="00946D93" w:rsidP="00946D93">
      <w:pPr>
        <w:jc w:val="both"/>
        <w:rPr>
          <w:rFonts w:ascii="Verdana" w:hAnsi="Verdana" w:cs="Times New Roman"/>
          <w:b/>
          <w:bCs/>
          <w:sz w:val="16"/>
          <w:szCs w:val="16"/>
          <w:lang w:val="tr-TR" w:eastAsia="tr-TR"/>
        </w:rPr>
      </w:pPr>
      <w:r w:rsidRPr="00946D93">
        <w:rPr>
          <w:rFonts w:ascii="Verdana" w:hAnsi="Verdana" w:cs="Times New Roman"/>
          <w:b/>
          <w:bCs/>
          <w:sz w:val="16"/>
          <w:szCs w:val="16"/>
          <w:lang w:val="tr-TR" w:eastAsia="tr-TR"/>
        </w:rPr>
        <w:t>İlgili Kişi:</w:t>
      </w:r>
    </w:p>
    <w:p w14:paraId="612EBF7F" w14:textId="77777777" w:rsidR="00946D93" w:rsidRPr="00946D93" w:rsidRDefault="00946D93" w:rsidP="00946D93">
      <w:pPr>
        <w:jc w:val="both"/>
        <w:rPr>
          <w:rFonts w:ascii="Verdana" w:hAnsi="Verdana" w:cs="Times New Roman"/>
          <w:bCs/>
          <w:sz w:val="16"/>
          <w:szCs w:val="16"/>
          <w:lang w:val="tr-TR" w:eastAsia="tr-TR"/>
        </w:rPr>
      </w:pPr>
      <w:r w:rsidRPr="00946D93">
        <w:rPr>
          <w:rFonts w:ascii="Verdana" w:hAnsi="Verdana" w:cs="Times New Roman"/>
          <w:bCs/>
          <w:sz w:val="16"/>
          <w:szCs w:val="16"/>
          <w:lang w:val="tr-TR" w:eastAsia="tr-TR"/>
        </w:rPr>
        <w:t>Sezin Bulum</w:t>
      </w:r>
      <w:bookmarkStart w:id="0" w:name="_GoBack"/>
      <w:bookmarkEnd w:id="0"/>
    </w:p>
    <w:p w14:paraId="59755DC7" w14:textId="77777777" w:rsidR="00946D93" w:rsidRPr="00946D93" w:rsidRDefault="00946D93" w:rsidP="00946D93">
      <w:pPr>
        <w:jc w:val="both"/>
        <w:rPr>
          <w:rFonts w:ascii="Verdana" w:hAnsi="Verdana" w:cs="Times New Roman"/>
          <w:bCs/>
          <w:sz w:val="16"/>
          <w:szCs w:val="16"/>
          <w:lang w:val="tr-TR" w:eastAsia="tr-TR"/>
        </w:rPr>
      </w:pPr>
      <w:r w:rsidRPr="00946D93">
        <w:rPr>
          <w:rFonts w:ascii="Verdana" w:hAnsi="Verdana" w:cs="Times New Roman"/>
          <w:bCs/>
          <w:sz w:val="16"/>
          <w:szCs w:val="16"/>
          <w:lang w:val="tr-TR" w:eastAsia="tr-TR"/>
        </w:rPr>
        <w:t>Bordo PR</w:t>
      </w:r>
    </w:p>
    <w:p w14:paraId="069B71B0" w14:textId="77777777" w:rsidR="00946D93" w:rsidRPr="00946D93" w:rsidRDefault="00946D93" w:rsidP="00946D93">
      <w:pPr>
        <w:jc w:val="both"/>
        <w:rPr>
          <w:rFonts w:ascii="Verdana" w:hAnsi="Verdana" w:cs="Times New Roman"/>
          <w:bCs/>
          <w:sz w:val="16"/>
          <w:szCs w:val="16"/>
          <w:lang w:val="tr-TR" w:eastAsia="tr-TR"/>
        </w:rPr>
      </w:pPr>
      <w:r w:rsidRPr="00946D93">
        <w:rPr>
          <w:rFonts w:ascii="Verdana" w:hAnsi="Verdana" w:cs="Times New Roman"/>
          <w:bCs/>
          <w:sz w:val="16"/>
          <w:szCs w:val="16"/>
          <w:lang w:val="tr-TR" w:eastAsia="tr-TR"/>
        </w:rPr>
        <w:t>0212 296 75 44</w:t>
      </w:r>
    </w:p>
    <w:p w14:paraId="1D7BC4E0" w14:textId="0C7376AC" w:rsidR="000F7285" w:rsidRPr="00946D93" w:rsidRDefault="00946D93" w:rsidP="00946D93">
      <w:pPr>
        <w:jc w:val="both"/>
        <w:rPr>
          <w:rFonts w:ascii="Verdana" w:hAnsi="Verdana" w:cs="Times New Roman"/>
          <w:bCs/>
          <w:sz w:val="16"/>
          <w:szCs w:val="16"/>
          <w:lang w:val="tr-TR" w:eastAsia="tr-TR"/>
        </w:rPr>
      </w:pPr>
      <w:hyperlink r:id="rId7" w:history="1">
        <w:r w:rsidRPr="00946D93">
          <w:rPr>
            <w:rStyle w:val="Kpr"/>
            <w:rFonts w:ascii="Verdana" w:hAnsi="Verdana" w:cs="Times New Roman"/>
            <w:bCs/>
            <w:sz w:val="16"/>
            <w:szCs w:val="16"/>
            <w:lang w:val="tr-TR" w:eastAsia="tr-TR"/>
          </w:rPr>
          <w:t>sezinb@bordopr.com</w:t>
        </w:r>
      </w:hyperlink>
    </w:p>
    <w:p w14:paraId="3A112463" w14:textId="77777777" w:rsidR="00946D93" w:rsidRDefault="00946D93" w:rsidP="00946D93">
      <w:pPr>
        <w:jc w:val="both"/>
        <w:rPr>
          <w:rFonts w:ascii="Verdana" w:hAnsi="Verdana" w:cs="Times New Roman"/>
          <w:b/>
          <w:bCs/>
          <w:sz w:val="16"/>
          <w:szCs w:val="16"/>
          <w:lang w:val="tr-TR" w:eastAsia="tr-TR"/>
        </w:rPr>
      </w:pPr>
    </w:p>
    <w:p w14:paraId="3BDED5F0" w14:textId="77777777" w:rsidR="00946D93" w:rsidRPr="00946D93" w:rsidRDefault="00946D93" w:rsidP="00946D93">
      <w:pPr>
        <w:jc w:val="both"/>
        <w:rPr>
          <w:rFonts w:ascii="Verdana" w:hAnsi="Verdana" w:cs="Times New Roman"/>
          <w:bCs/>
          <w:sz w:val="16"/>
          <w:szCs w:val="16"/>
          <w:lang w:val="tr-TR" w:eastAsia="tr-TR"/>
        </w:rPr>
      </w:pPr>
      <w:r w:rsidRPr="00946D93">
        <w:rPr>
          <w:rFonts w:ascii="Verdana" w:hAnsi="Verdana" w:cs="Times New Roman"/>
          <w:bCs/>
          <w:sz w:val="16"/>
          <w:szCs w:val="16"/>
          <w:lang w:val="tr-TR" w:eastAsia="tr-TR"/>
        </w:rPr>
        <w:t>Cansu Aslan</w:t>
      </w:r>
    </w:p>
    <w:p w14:paraId="6EC22D14" w14:textId="77777777" w:rsidR="00946D93" w:rsidRPr="00946D93" w:rsidRDefault="00946D93" w:rsidP="00946D93">
      <w:pPr>
        <w:jc w:val="both"/>
        <w:rPr>
          <w:rFonts w:ascii="Verdana" w:hAnsi="Verdana" w:cs="Times New Roman"/>
          <w:bCs/>
          <w:sz w:val="16"/>
          <w:szCs w:val="16"/>
          <w:lang w:val="tr-TR" w:eastAsia="tr-TR"/>
        </w:rPr>
      </w:pPr>
      <w:r w:rsidRPr="00946D93">
        <w:rPr>
          <w:rFonts w:ascii="Verdana" w:hAnsi="Verdana" w:cs="Times New Roman"/>
          <w:bCs/>
          <w:sz w:val="16"/>
          <w:szCs w:val="16"/>
          <w:lang w:val="tr-TR" w:eastAsia="tr-TR"/>
        </w:rPr>
        <w:t>Bordo PR</w:t>
      </w:r>
    </w:p>
    <w:p w14:paraId="2A4850C1" w14:textId="77777777" w:rsidR="00946D93" w:rsidRPr="00946D93" w:rsidRDefault="00946D93" w:rsidP="00946D93">
      <w:pPr>
        <w:jc w:val="both"/>
        <w:rPr>
          <w:rFonts w:ascii="Verdana" w:hAnsi="Verdana" w:cs="Times New Roman"/>
          <w:bCs/>
          <w:sz w:val="16"/>
          <w:szCs w:val="16"/>
          <w:lang w:val="tr-TR" w:eastAsia="tr-TR"/>
        </w:rPr>
      </w:pPr>
      <w:r w:rsidRPr="00946D93">
        <w:rPr>
          <w:rFonts w:ascii="Verdana" w:hAnsi="Verdana" w:cs="Times New Roman"/>
          <w:bCs/>
          <w:sz w:val="16"/>
          <w:szCs w:val="16"/>
          <w:lang w:val="tr-TR" w:eastAsia="tr-TR"/>
        </w:rPr>
        <w:t>0212 296 75 44</w:t>
      </w:r>
    </w:p>
    <w:p w14:paraId="334EB296" w14:textId="13CBEEDB" w:rsidR="00946D93" w:rsidRPr="00946D93" w:rsidRDefault="00946D93" w:rsidP="00946D93">
      <w:pPr>
        <w:jc w:val="both"/>
        <w:rPr>
          <w:rFonts w:ascii="Verdana" w:hAnsi="Verdana" w:cs="Times New Roman"/>
          <w:bCs/>
          <w:sz w:val="16"/>
          <w:szCs w:val="16"/>
          <w:lang w:val="tr-TR" w:eastAsia="tr-TR"/>
        </w:rPr>
      </w:pPr>
      <w:hyperlink r:id="rId8" w:history="1">
        <w:r w:rsidRPr="00946D93">
          <w:rPr>
            <w:rStyle w:val="Kpr"/>
            <w:rFonts w:ascii="Verdana" w:hAnsi="Verdana" w:cs="Times New Roman"/>
            <w:bCs/>
            <w:sz w:val="16"/>
            <w:szCs w:val="16"/>
            <w:lang w:val="tr-TR" w:eastAsia="tr-TR"/>
          </w:rPr>
          <w:t>cansua@bordopr.com</w:t>
        </w:r>
      </w:hyperlink>
    </w:p>
    <w:p w14:paraId="6D26005A" w14:textId="77777777" w:rsidR="00946D93" w:rsidRPr="00946D93" w:rsidRDefault="00946D93" w:rsidP="00946D93">
      <w:pPr>
        <w:jc w:val="both"/>
        <w:rPr>
          <w:rFonts w:ascii="Verdana" w:hAnsi="Verdana" w:cs="Times New Roman"/>
          <w:b/>
          <w:bCs/>
          <w:sz w:val="16"/>
          <w:szCs w:val="16"/>
          <w:lang w:val="tr-TR" w:eastAsia="tr-TR"/>
        </w:rPr>
      </w:pPr>
    </w:p>
    <w:p w14:paraId="1BAA2CB9" w14:textId="77777777" w:rsidR="000F7285" w:rsidRPr="00CA1CED" w:rsidRDefault="000F7285" w:rsidP="002F0F3E">
      <w:pPr>
        <w:jc w:val="both"/>
        <w:rPr>
          <w:rFonts w:ascii="Verdana" w:hAnsi="Verdana" w:cs="Times New Roman"/>
          <w:b/>
          <w:sz w:val="16"/>
          <w:szCs w:val="16"/>
          <w:lang w:val="tr-TR" w:eastAsia="tr-TR"/>
        </w:rPr>
      </w:pPr>
    </w:p>
    <w:p w14:paraId="7988EBE3" w14:textId="303C7D93" w:rsidR="002F0F3E" w:rsidRPr="00CA1CED" w:rsidRDefault="002F0F3E" w:rsidP="002F0F3E">
      <w:pPr>
        <w:jc w:val="both"/>
        <w:rPr>
          <w:rFonts w:ascii="Verdana" w:hAnsi="Verdana" w:cs="Times New Roman"/>
          <w:b/>
          <w:sz w:val="16"/>
          <w:szCs w:val="16"/>
          <w:lang w:val="tr-TR" w:eastAsia="tr-TR"/>
        </w:rPr>
      </w:pPr>
      <w:r w:rsidRPr="00CA1CED">
        <w:rPr>
          <w:rFonts w:ascii="Verdana" w:hAnsi="Verdana" w:cs="Times New Roman"/>
          <w:b/>
          <w:sz w:val="16"/>
          <w:szCs w:val="16"/>
          <w:lang w:val="tr-TR" w:eastAsia="tr-TR"/>
        </w:rPr>
        <w:t>Ödeme ve Elektronik Para Derneği hakkında</w:t>
      </w:r>
    </w:p>
    <w:p w14:paraId="736FB438" w14:textId="5EDF4290" w:rsidR="00E672D1" w:rsidRPr="00CA1CED" w:rsidRDefault="002F0F3E" w:rsidP="00CA1CED">
      <w:pPr>
        <w:jc w:val="both"/>
        <w:rPr>
          <w:rFonts w:ascii="Verdana" w:hAnsi="Verdana" w:cs="Times New Roman"/>
          <w:sz w:val="20"/>
          <w:szCs w:val="20"/>
          <w:lang w:val="tr-TR"/>
        </w:rPr>
      </w:pPr>
      <w:r w:rsidRPr="00CA1CED">
        <w:rPr>
          <w:rFonts w:ascii="Verdana" w:hAnsi="Verdana" w:cs="Times New Roman"/>
          <w:sz w:val="16"/>
          <w:szCs w:val="16"/>
          <w:lang w:val="tr-TR" w:eastAsia="tr-TR"/>
        </w:rPr>
        <w:t>6493 sayılı Ödeme ve Menkul Kıymet Mutabakat Sistemleri, Ödeme Hizmetleri ve Elektronik Para Kuruluşları Hakkında Kanun uyarınca, Türkiye’de ödeme ve elektronik para hizmetleri sunan ve ödeme ve elektronik para kuruluşu statüsündeki firmaları temsil eden bir sektör derneğidir. Ödeme ve Elektronik Para Derneği (ÖDED)’e ödeme veya elektronik para kuruluşu faaliyet izni başvurusunda bulunan veya alan mobil operatörler, mobil ödeme aracı şirketler, ödeme servis sağlayıcılar, uluslararası para transferi şirketleri ve fatura ödeme şirketleri üye olabilmektedir. Dernek, Türkiye’de sunulan ödeme ve elektronik para hizmetlerinin geliştirilmesini, Türkiye’yi ödeme sistemleri alanında teknoloji ve bilgi ihraç eden bir ülke haline getirmeyi ve üyeler ve sektörler arasında yakın dayanışma ve işbirliğini temin etmeyi hedeflemektedir.</w:t>
      </w:r>
    </w:p>
    <w:sectPr w:rsidR="00E672D1" w:rsidRPr="00CA1CED" w:rsidSect="006819C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81"/>
    <w:rsid w:val="00082C35"/>
    <w:rsid w:val="000E79B6"/>
    <w:rsid w:val="000F7285"/>
    <w:rsid w:val="0011529D"/>
    <w:rsid w:val="001668D2"/>
    <w:rsid w:val="001C2F79"/>
    <w:rsid w:val="001E2450"/>
    <w:rsid w:val="00205E52"/>
    <w:rsid w:val="00253881"/>
    <w:rsid w:val="00267677"/>
    <w:rsid w:val="00275FEB"/>
    <w:rsid w:val="002F0F3E"/>
    <w:rsid w:val="00333B2A"/>
    <w:rsid w:val="003377CD"/>
    <w:rsid w:val="004672D4"/>
    <w:rsid w:val="004843CB"/>
    <w:rsid w:val="004C6811"/>
    <w:rsid w:val="005B4382"/>
    <w:rsid w:val="005B7183"/>
    <w:rsid w:val="006228F7"/>
    <w:rsid w:val="006819CD"/>
    <w:rsid w:val="0069329A"/>
    <w:rsid w:val="006F74BE"/>
    <w:rsid w:val="00736BFA"/>
    <w:rsid w:val="007E3DD7"/>
    <w:rsid w:val="008C1AF2"/>
    <w:rsid w:val="008F6BA6"/>
    <w:rsid w:val="00946D93"/>
    <w:rsid w:val="00AC5A34"/>
    <w:rsid w:val="00AF2B20"/>
    <w:rsid w:val="00BA1FCC"/>
    <w:rsid w:val="00CA1CED"/>
    <w:rsid w:val="00CE2C54"/>
    <w:rsid w:val="00D32947"/>
    <w:rsid w:val="00D8044A"/>
    <w:rsid w:val="00E0620E"/>
    <w:rsid w:val="00E20F48"/>
    <w:rsid w:val="00E672D1"/>
    <w:rsid w:val="00F407C5"/>
    <w:rsid w:val="00FD1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D5576"/>
  <w14:defaultImageDpi w14:val="32767"/>
  <w15:chartTrackingRefBased/>
  <w15:docId w15:val="{5CC13787-D6D0-7644-BC8C-B1B2EFF4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F7285"/>
    <w:pPr>
      <w:spacing w:before="100" w:beforeAutospacing="1" w:after="100" w:afterAutospacing="1"/>
    </w:pPr>
    <w:rPr>
      <w:rFonts w:ascii="Times New Roman" w:eastAsia="Times New Roman" w:hAnsi="Times New Roman" w:cs="Times New Roman"/>
      <w:lang w:val="tr-TR" w:eastAsia="tr-TR"/>
    </w:rPr>
  </w:style>
  <w:style w:type="character" w:styleId="Kpr">
    <w:name w:val="Hyperlink"/>
    <w:basedOn w:val="VarsaylanParagrafYazTipi"/>
    <w:uiPriority w:val="99"/>
    <w:unhideWhenUsed/>
    <w:rsid w:val="000F7285"/>
    <w:rPr>
      <w:color w:val="0563C1" w:themeColor="hyperlink"/>
      <w:u w:val="single"/>
    </w:rPr>
  </w:style>
  <w:style w:type="character" w:customStyle="1" w:styleId="zmlenmeyenBahsetme1">
    <w:name w:val="Çözümlenmeyen Bahsetme1"/>
    <w:basedOn w:val="VarsaylanParagrafYazTipi"/>
    <w:uiPriority w:val="99"/>
    <w:rsid w:val="000F7285"/>
    <w:rPr>
      <w:color w:val="605E5C"/>
      <w:shd w:val="clear" w:color="auto" w:fill="E1DFDD"/>
    </w:rPr>
  </w:style>
  <w:style w:type="character" w:styleId="AklamaBavurusu">
    <w:name w:val="annotation reference"/>
    <w:basedOn w:val="VarsaylanParagrafYazTipi"/>
    <w:uiPriority w:val="99"/>
    <w:semiHidden/>
    <w:unhideWhenUsed/>
    <w:rsid w:val="00275FEB"/>
    <w:rPr>
      <w:sz w:val="16"/>
      <w:szCs w:val="16"/>
    </w:rPr>
  </w:style>
  <w:style w:type="paragraph" w:styleId="AklamaMetni">
    <w:name w:val="annotation text"/>
    <w:basedOn w:val="Normal"/>
    <w:link w:val="AklamaMetniChar"/>
    <w:uiPriority w:val="99"/>
    <w:semiHidden/>
    <w:unhideWhenUsed/>
    <w:rsid w:val="00275FEB"/>
    <w:rPr>
      <w:sz w:val="20"/>
      <w:szCs w:val="20"/>
    </w:rPr>
  </w:style>
  <w:style w:type="character" w:customStyle="1" w:styleId="AklamaMetniChar">
    <w:name w:val="Açıklama Metni Char"/>
    <w:basedOn w:val="VarsaylanParagrafYazTipi"/>
    <w:link w:val="AklamaMetni"/>
    <w:uiPriority w:val="99"/>
    <w:semiHidden/>
    <w:rsid w:val="00275FEB"/>
    <w:rPr>
      <w:sz w:val="20"/>
      <w:szCs w:val="20"/>
    </w:rPr>
  </w:style>
  <w:style w:type="paragraph" w:styleId="AklamaKonusu">
    <w:name w:val="annotation subject"/>
    <w:basedOn w:val="AklamaMetni"/>
    <w:next w:val="AklamaMetni"/>
    <w:link w:val="AklamaKonusuChar"/>
    <w:uiPriority w:val="99"/>
    <w:semiHidden/>
    <w:unhideWhenUsed/>
    <w:rsid w:val="00275FEB"/>
    <w:rPr>
      <w:b/>
      <w:bCs/>
    </w:rPr>
  </w:style>
  <w:style w:type="character" w:customStyle="1" w:styleId="AklamaKonusuChar">
    <w:name w:val="Açıklama Konusu Char"/>
    <w:basedOn w:val="AklamaMetniChar"/>
    <w:link w:val="AklamaKonusu"/>
    <w:uiPriority w:val="99"/>
    <w:semiHidden/>
    <w:rsid w:val="00275FEB"/>
    <w:rPr>
      <w:b/>
      <w:bCs/>
      <w:sz w:val="20"/>
      <w:szCs w:val="20"/>
    </w:rPr>
  </w:style>
  <w:style w:type="paragraph" w:styleId="BalonMetni">
    <w:name w:val="Balloon Text"/>
    <w:basedOn w:val="Normal"/>
    <w:link w:val="BalonMetniChar"/>
    <w:uiPriority w:val="99"/>
    <w:semiHidden/>
    <w:unhideWhenUsed/>
    <w:rsid w:val="00275FE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75F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55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sua@bordopr.com" TargetMode="External"/><Relationship Id="rId3" Type="http://schemas.openxmlformats.org/officeDocument/2006/relationships/customXml" Target="../customXml/item3.xml"/><Relationship Id="rId7" Type="http://schemas.openxmlformats.org/officeDocument/2006/relationships/hyperlink" Target="mailto:sezinb@bordop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3" ma:contentTypeDescription="Yeni belge oluşturun." ma:contentTypeScope="" ma:versionID="2162d3c2e4b87a53ff0b16eddda31886">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f95e5271a988a9e1097bfdf3dc7d1c2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Props1.xml><?xml version="1.0" encoding="utf-8"?>
<ds:datastoreItem xmlns:ds="http://schemas.openxmlformats.org/officeDocument/2006/customXml" ds:itemID="{D00B9D03-11C3-4D8E-AF98-2625DE518771}">
  <ds:schemaRefs>
    <ds:schemaRef ds:uri="http://schemas.microsoft.com/sharepoint/v3/contenttype/forms"/>
  </ds:schemaRefs>
</ds:datastoreItem>
</file>

<file path=customXml/itemProps2.xml><?xml version="1.0" encoding="utf-8"?>
<ds:datastoreItem xmlns:ds="http://schemas.openxmlformats.org/officeDocument/2006/customXml" ds:itemID="{F3043BB3-EE00-4E88-9E3A-E213D36ED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96C89E-D0B1-4B9B-A855-F0B48C062A97}">
  <ds:schemaRefs>
    <ds:schemaRef ds:uri="http://schemas.microsoft.com/office/2006/metadata/properties"/>
    <ds:schemaRef ds:uri="http://schemas.microsoft.com/office/infopath/2007/PartnerControls"/>
    <ds:schemaRef ds:uri="a6a5f7e4-2986-46c3-893f-0e0d1047cb8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burhan eliacik</dc:creator>
  <cp:keywords/>
  <dc:description/>
  <cp:lastModifiedBy>Cansu Aslan</cp:lastModifiedBy>
  <cp:revision>2</cp:revision>
  <dcterms:created xsi:type="dcterms:W3CDTF">2019-11-13T06:46:00Z</dcterms:created>
  <dcterms:modified xsi:type="dcterms:W3CDTF">2019-11-13T06:46:00Z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