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6EF9" w14:textId="14117D7E" w:rsidR="003A180F" w:rsidRPr="009F641F" w:rsidRDefault="003A180F" w:rsidP="003A180F">
      <w:pPr>
        <w:pStyle w:val="Balk2"/>
        <w:rPr>
          <w:rFonts w:ascii="Arial" w:eastAsia="Tahoma" w:hAnsi="Arial" w:cs="Arial"/>
          <w:b/>
          <w:bCs/>
          <w:sz w:val="22"/>
          <w:szCs w:val="22"/>
        </w:rPr>
      </w:pPr>
      <w:r w:rsidRPr="009F641F">
        <w:rPr>
          <w:rFonts w:ascii="Arial" w:eastAsia="Tahoma" w:hAnsi="Arial" w:cs="Arial"/>
          <w:b/>
          <w:bCs/>
          <w:sz w:val="22"/>
          <w:szCs w:val="22"/>
        </w:rPr>
        <w:t>BASIN BÜLTENİ</w:t>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r>
      <w:r w:rsidRPr="009F641F">
        <w:rPr>
          <w:rFonts w:ascii="Arial" w:eastAsia="Tahoma" w:hAnsi="Arial" w:cs="Arial"/>
          <w:b/>
          <w:bCs/>
          <w:sz w:val="22"/>
          <w:szCs w:val="22"/>
        </w:rPr>
        <w:tab/>
        <w:t xml:space="preserve">                                                </w:t>
      </w:r>
      <w:r w:rsidR="00177A98" w:rsidRPr="00177A98">
        <w:rPr>
          <w:rFonts w:ascii="Arial" w:eastAsia="Tahoma" w:hAnsi="Arial" w:cs="Arial"/>
          <w:b/>
          <w:bCs/>
          <w:sz w:val="22"/>
          <w:szCs w:val="22"/>
        </w:rPr>
        <w:t>26</w:t>
      </w:r>
      <w:r w:rsidRPr="00177A98">
        <w:rPr>
          <w:rFonts w:ascii="Arial" w:eastAsia="Tahoma" w:hAnsi="Arial" w:cs="Arial"/>
          <w:b/>
          <w:bCs/>
          <w:sz w:val="22"/>
          <w:szCs w:val="22"/>
        </w:rPr>
        <w:t>.08.2022</w:t>
      </w:r>
    </w:p>
    <w:p w14:paraId="30A8016D" w14:textId="77777777" w:rsidR="003A180F" w:rsidRPr="009F641F" w:rsidRDefault="003A180F" w:rsidP="003A180F">
      <w:pPr>
        <w:rPr>
          <w:rFonts w:ascii="Arial" w:hAnsi="Arial" w:cs="Arial"/>
          <w:b/>
          <w:bCs/>
        </w:rPr>
      </w:pPr>
    </w:p>
    <w:p w14:paraId="384B8A90" w14:textId="77777777" w:rsidR="003A180F" w:rsidRPr="00177A98" w:rsidRDefault="003A180F" w:rsidP="003A180F">
      <w:pPr>
        <w:spacing w:after="0" w:line="300" w:lineRule="auto"/>
        <w:contextualSpacing/>
        <w:jc w:val="center"/>
        <w:rPr>
          <w:rFonts w:ascii="Arial" w:hAnsi="Arial" w:cs="Arial"/>
          <w:b/>
          <w:bCs/>
          <w:sz w:val="24"/>
          <w:szCs w:val="24"/>
        </w:rPr>
      </w:pPr>
      <w:r w:rsidRPr="00177A98">
        <w:rPr>
          <w:rFonts w:ascii="Arial" w:hAnsi="Arial" w:cs="Arial"/>
          <w:b/>
          <w:bCs/>
          <w:sz w:val="24"/>
          <w:szCs w:val="24"/>
        </w:rPr>
        <w:t xml:space="preserve">Lojistik Güven Endeksi 2022 yılı ikinci çeyrek sonuçları açıklandı </w:t>
      </w:r>
    </w:p>
    <w:p w14:paraId="450F9998" w14:textId="77777777" w:rsidR="003A180F" w:rsidRPr="00177A98" w:rsidRDefault="003A180F" w:rsidP="003A180F">
      <w:pPr>
        <w:spacing w:after="0" w:line="300" w:lineRule="auto"/>
        <w:contextualSpacing/>
        <w:jc w:val="center"/>
        <w:rPr>
          <w:rFonts w:ascii="Arial" w:hAnsi="Arial" w:cs="Arial"/>
          <w:b/>
          <w:bCs/>
          <w:sz w:val="36"/>
          <w:szCs w:val="36"/>
        </w:rPr>
      </w:pPr>
      <w:r w:rsidRPr="00177A98">
        <w:rPr>
          <w:rFonts w:ascii="Arial" w:hAnsi="Arial" w:cs="Arial"/>
          <w:b/>
          <w:bCs/>
          <w:sz w:val="36"/>
          <w:szCs w:val="36"/>
        </w:rPr>
        <w:t>Türkiye'de lojistik sektörü pozitif görünümünü koruyor</w:t>
      </w:r>
    </w:p>
    <w:p w14:paraId="1BCDFDEA" w14:textId="76BD0919" w:rsidR="003A180F" w:rsidRPr="00634D08" w:rsidRDefault="003A180F" w:rsidP="00634D08">
      <w:pPr>
        <w:spacing w:after="0" w:line="300" w:lineRule="auto"/>
        <w:contextualSpacing/>
        <w:jc w:val="center"/>
        <w:rPr>
          <w:rFonts w:ascii="Arial" w:hAnsi="Arial" w:cs="Arial"/>
          <w:b/>
          <w:bCs/>
          <w:sz w:val="36"/>
          <w:szCs w:val="36"/>
          <w:highlight w:val="yellow"/>
        </w:rPr>
      </w:pPr>
    </w:p>
    <w:p w14:paraId="4892C709" w14:textId="62C7CF9F" w:rsidR="003A180F" w:rsidRDefault="003A180F" w:rsidP="003A180F">
      <w:pPr>
        <w:jc w:val="center"/>
        <w:rPr>
          <w:rFonts w:ascii="Arial" w:hAnsi="Arial" w:cs="Arial"/>
          <w:b/>
          <w:bCs/>
          <w:sz w:val="28"/>
          <w:szCs w:val="28"/>
        </w:rPr>
      </w:pPr>
      <w:r w:rsidRPr="00986EAA">
        <w:rPr>
          <w:rFonts w:ascii="Arial" w:hAnsi="Arial" w:cs="Arial"/>
          <w:b/>
          <w:bCs/>
          <w:sz w:val="28"/>
          <w:szCs w:val="28"/>
        </w:rPr>
        <w:t>KPMG Türkiye ve İstanbul Üniversitesi iş birliği ile hazırlanan Lojistik Güven Endeksi,</w:t>
      </w:r>
      <w:r>
        <w:rPr>
          <w:rFonts w:ascii="Arial" w:hAnsi="Arial" w:cs="Arial"/>
          <w:b/>
          <w:bCs/>
          <w:sz w:val="28"/>
          <w:szCs w:val="28"/>
        </w:rPr>
        <w:t xml:space="preserve"> </w:t>
      </w:r>
      <w:r w:rsidRPr="00986EAA">
        <w:rPr>
          <w:rFonts w:ascii="Arial" w:hAnsi="Arial" w:cs="Arial"/>
          <w:b/>
          <w:bCs/>
          <w:sz w:val="28"/>
          <w:szCs w:val="28"/>
        </w:rPr>
        <w:t>2022 yılının ilk çeyreğine kıyasla yüzde 6’lık hafif bir düşüş kayd</w:t>
      </w:r>
      <w:r>
        <w:rPr>
          <w:rFonts w:ascii="Arial" w:hAnsi="Arial" w:cs="Arial"/>
          <w:b/>
          <w:bCs/>
          <w:sz w:val="28"/>
          <w:szCs w:val="28"/>
        </w:rPr>
        <w:t>etse de</w:t>
      </w:r>
      <w:r w:rsidRPr="00986EAA">
        <w:rPr>
          <w:rFonts w:ascii="Arial" w:hAnsi="Arial" w:cs="Arial"/>
          <w:b/>
          <w:bCs/>
          <w:sz w:val="28"/>
          <w:szCs w:val="28"/>
        </w:rPr>
        <w:t xml:space="preserve"> 118,08 olarak ölçülerek pozitif görünümünü </w:t>
      </w:r>
      <w:r>
        <w:rPr>
          <w:rFonts w:ascii="Arial" w:hAnsi="Arial" w:cs="Arial"/>
          <w:b/>
          <w:bCs/>
          <w:sz w:val="28"/>
          <w:szCs w:val="28"/>
        </w:rPr>
        <w:t>sürdürdü</w:t>
      </w:r>
      <w:r w:rsidRPr="00986EAA">
        <w:rPr>
          <w:rFonts w:ascii="Arial" w:hAnsi="Arial" w:cs="Arial"/>
          <w:b/>
          <w:bCs/>
          <w:sz w:val="28"/>
          <w:szCs w:val="28"/>
        </w:rPr>
        <w:t>.</w:t>
      </w:r>
    </w:p>
    <w:p w14:paraId="41EA739E" w14:textId="2674ED7E" w:rsidR="003A180F" w:rsidRDefault="003A180F" w:rsidP="003A180F">
      <w:pPr>
        <w:jc w:val="center"/>
        <w:rPr>
          <w:rFonts w:ascii="Arial" w:hAnsi="Arial" w:cs="Arial"/>
          <w:b/>
          <w:bCs/>
          <w:sz w:val="28"/>
          <w:szCs w:val="28"/>
        </w:rPr>
      </w:pPr>
      <w:r>
        <w:rPr>
          <w:rFonts w:ascii="Arial" w:hAnsi="Arial" w:cs="Arial"/>
          <w:b/>
          <w:bCs/>
          <w:sz w:val="28"/>
          <w:szCs w:val="28"/>
        </w:rPr>
        <w:t>“</w:t>
      </w:r>
      <w:r w:rsidRPr="00986EAA">
        <w:rPr>
          <w:rFonts w:ascii="Arial" w:hAnsi="Arial" w:cs="Arial"/>
          <w:b/>
          <w:bCs/>
          <w:sz w:val="28"/>
          <w:szCs w:val="28"/>
        </w:rPr>
        <w:t xml:space="preserve">2022 yılının ocak - haziran döneminde, </w:t>
      </w:r>
      <w:r>
        <w:rPr>
          <w:rFonts w:ascii="Arial" w:hAnsi="Arial" w:cs="Arial"/>
          <w:b/>
          <w:bCs/>
          <w:sz w:val="28"/>
          <w:szCs w:val="28"/>
        </w:rPr>
        <w:t xml:space="preserve">Türkiye’den </w:t>
      </w:r>
      <w:r w:rsidRPr="00986EAA">
        <w:rPr>
          <w:rFonts w:ascii="Arial" w:hAnsi="Arial" w:cs="Arial"/>
          <w:b/>
          <w:bCs/>
          <w:sz w:val="28"/>
          <w:szCs w:val="28"/>
        </w:rPr>
        <w:t>yapılan uluslararası taşıma sayısı</w:t>
      </w:r>
      <w:r>
        <w:rPr>
          <w:rFonts w:ascii="Arial" w:hAnsi="Arial" w:cs="Arial"/>
          <w:b/>
          <w:bCs/>
          <w:sz w:val="28"/>
          <w:szCs w:val="28"/>
        </w:rPr>
        <w:t>nın</w:t>
      </w:r>
      <w:r w:rsidRPr="00986EAA">
        <w:rPr>
          <w:rFonts w:ascii="Arial" w:hAnsi="Arial" w:cs="Arial"/>
          <w:b/>
          <w:bCs/>
          <w:sz w:val="28"/>
          <w:szCs w:val="28"/>
        </w:rPr>
        <w:t xml:space="preserve"> geçen yılın ilk yarısına kıyasla yüzde 20 artış göstererek 820 bin seferi aştı</w:t>
      </w:r>
      <w:r>
        <w:rPr>
          <w:rFonts w:ascii="Arial" w:hAnsi="Arial" w:cs="Arial"/>
          <w:b/>
          <w:bCs/>
          <w:sz w:val="28"/>
          <w:szCs w:val="28"/>
        </w:rPr>
        <w:t xml:space="preserve">ğına dikkat çeken </w:t>
      </w:r>
      <w:r w:rsidRPr="00986EAA">
        <w:rPr>
          <w:rFonts w:ascii="Arial" w:hAnsi="Arial" w:cs="Arial"/>
          <w:b/>
          <w:bCs/>
          <w:sz w:val="28"/>
          <w:szCs w:val="28"/>
        </w:rPr>
        <w:t>KPMG Türkiye Taşımacılık Sektör Lideri Yavuz Öner</w:t>
      </w:r>
      <w:r>
        <w:rPr>
          <w:rFonts w:ascii="Arial" w:hAnsi="Arial" w:cs="Arial"/>
          <w:b/>
          <w:bCs/>
          <w:sz w:val="28"/>
          <w:szCs w:val="28"/>
        </w:rPr>
        <w:t>,</w:t>
      </w:r>
      <w:r w:rsidRPr="00986EAA">
        <w:rPr>
          <w:rFonts w:ascii="Arial" w:hAnsi="Arial" w:cs="Arial"/>
          <w:b/>
          <w:bCs/>
          <w:sz w:val="28"/>
          <w:szCs w:val="28"/>
        </w:rPr>
        <w:t xml:space="preserve"> Rusya’nın ambargolar </w:t>
      </w:r>
      <w:r>
        <w:rPr>
          <w:rFonts w:ascii="Arial" w:hAnsi="Arial" w:cs="Arial"/>
          <w:b/>
          <w:bCs/>
          <w:sz w:val="28"/>
          <w:szCs w:val="28"/>
        </w:rPr>
        <w:t xml:space="preserve">nedeniyle </w:t>
      </w:r>
      <w:r w:rsidRPr="00986EAA">
        <w:rPr>
          <w:rFonts w:ascii="Arial" w:hAnsi="Arial" w:cs="Arial"/>
          <w:b/>
          <w:bCs/>
          <w:sz w:val="28"/>
          <w:szCs w:val="28"/>
        </w:rPr>
        <w:t>Türkiye’yi transit bir merkez olarak kullanması</w:t>
      </w:r>
      <w:r>
        <w:rPr>
          <w:rFonts w:ascii="Arial" w:hAnsi="Arial" w:cs="Arial"/>
          <w:b/>
          <w:bCs/>
          <w:sz w:val="28"/>
          <w:szCs w:val="28"/>
        </w:rPr>
        <w:t>nın</w:t>
      </w:r>
      <w:r w:rsidRPr="00986EAA">
        <w:rPr>
          <w:rFonts w:ascii="Arial" w:hAnsi="Arial" w:cs="Arial"/>
          <w:b/>
          <w:bCs/>
          <w:sz w:val="28"/>
          <w:szCs w:val="28"/>
        </w:rPr>
        <w:t xml:space="preserve"> bu sayıları olumlu </w:t>
      </w:r>
      <w:r>
        <w:rPr>
          <w:rFonts w:ascii="Arial" w:hAnsi="Arial" w:cs="Arial"/>
          <w:b/>
          <w:bCs/>
          <w:sz w:val="28"/>
          <w:szCs w:val="28"/>
        </w:rPr>
        <w:t>etkilediğini söyledi</w:t>
      </w:r>
      <w:r w:rsidRPr="00986EAA">
        <w:rPr>
          <w:rFonts w:ascii="Arial" w:hAnsi="Arial" w:cs="Arial"/>
          <w:b/>
          <w:bCs/>
          <w:sz w:val="28"/>
          <w:szCs w:val="28"/>
        </w:rPr>
        <w:t>.</w:t>
      </w:r>
    </w:p>
    <w:p w14:paraId="5906EF24" w14:textId="77777777" w:rsidR="003A180F" w:rsidRDefault="003A180F" w:rsidP="00F850E6">
      <w:pPr>
        <w:spacing w:after="0" w:line="300" w:lineRule="auto"/>
        <w:contextualSpacing/>
        <w:jc w:val="both"/>
        <w:rPr>
          <w:rFonts w:ascii="Arial" w:hAnsi="Arial" w:cs="Arial"/>
        </w:rPr>
      </w:pPr>
    </w:p>
    <w:p w14:paraId="5206831C" w14:textId="6124BA2B" w:rsidR="00F850E6" w:rsidRDefault="00F850E6" w:rsidP="00F850E6">
      <w:pPr>
        <w:spacing w:after="0" w:line="300" w:lineRule="auto"/>
        <w:contextualSpacing/>
        <w:jc w:val="both"/>
        <w:rPr>
          <w:rFonts w:ascii="Arial" w:hAnsi="Arial" w:cs="Arial"/>
        </w:rPr>
      </w:pPr>
      <w:r w:rsidRPr="00F850E6">
        <w:rPr>
          <w:rFonts w:ascii="Arial" w:hAnsi="Arial" w:cs="Arial"/>
        </w:rPr>
        <w:t>KPMG Türkiye ile İstanbul Üniversitesi Ulaştırma ve Lojistik Fakültesi iş birliğiyle hazırlanan Lojistik Güven Endeksi 2022 yılının ikinci çeyreği için açıklandı.</w:t>
      </w:r>
    </w:p>
    <w:p w14:paraId="25D0FAC2" w14:textId="77777777" w:rsidR="00F850E6" w:rsidRPr="00F850E6" w:rsidRDefault="00F850E6" w:rsidP="00F850E6">
      <w:pPr>
        <w:spacing w:after="0" w:line="300" w:lineRule="auto"/>
        <w:contextualSpacing/>
        <w:jc w:val="both"/>
        <w:rPr>
          <w:rFonts w:ascii="Arial" w:hAnsi="Arial" w:cs="Arial"/>
        </w:rPr>
      </w:pPr>
    </w:p>
    <w:p w14:paraId="5EE0A482" w14:textId="1A6F90C5" w:rsidR="00F850E6" w:rsidRDefault="00F850E6" w:rsidP="00F850E6">
      <w:pPr>
        <w:spacing w:after="0" w:line="300" w:lineRule="auto"/>
        <w:contextualSpacing/>
        <w:jc w:val="both"/>
        <w:rPr>
          <w:rFonts w:ascii="Arial" w:hAnsi="Arial" w:cs="Arial"/>
        </w:rPr>
      </w:pPr>
      <w:r w:rsidRPr="00F850E6">
        <w:rPr>
          <w:rFonts w:ascii="Arial" w:hAnsi="Arial" w:cs="Arial"/>
        </w:rPr>
        <w:t>2022 yılının ilk çeyreğine kıyasla yüzde 6’l</w:t>
      </w:r>
      <w:r w:rsidR="00E512AF">
        <w:rPr>
          <w:rFonts w:ascii="Arial" w:hAnsi="Arial" w:cs="Arial"/>
        </w:rPr>
        <w:t>ı</w:t>
      </w:r>
      <w:r w:rsidRPr="00F850E6">
        <w:rPr>
          <w:rFonts w:ascii="Arial" w:hAnsi="Arial" w:cs="Arial"/>
        </w:rPr>
        <w:t xml:space="preserve">k hafif bir düşüş kaydeden endeks, 118,08 olarak ölçülerek pozitif görünümünü korudu. Endeks, 2021 yılının ikinci çeyreğiyle karşılaştırıldığında ise yıllık yüzde 13’lük bir düşüşe işaret ediyor. </w:t>
      </w:r>
    </w:p>
    <w:p w14:paraId="2D089464" w14:textId="77777777" w:rsidR="00F850E6" w:rsidRPr="00F850E6" w:rsidRDefault="00F850E6" w:rsidP="00F850E6">
      <w:pPr>
        <w:spacing w:after="0" w:line="300" w:lineRule="auto"/>
        <w:contextualSpacing/>
        <w:jc w:val="both"/>
        <w:rPr>
          <w:rFonts w:ascii="Arial" w:hAnsi="Arial" w:cs="Arial"/>
        </w:rPr>
      </w:pPr>
    </w:p>
    <w:p w14:paraId="6B1404A3" w14:textId="501056A5" w:rsidR="00F850E6" w:rsidRDefault="00F850E6" w:rsidP="00F850E6">
      <w:pPr>
        <w:spacing w:after="0" w:line="300" w:lineRule="auto"/>
        <w:contextualSpacing/>
        <w:jc w:val="both"/>
        <w:rPr>
          <w:rFonts w:ascii="Arial" w:hAnsi="Arial" w:cs="Arial"/>
        </w:rPr>
      </w:pPr>
      <w:r w:rsidRPr="00F850E6">
        <w:rPr>
          <w:rFonts w:ascii="Arial" w:hAnsi="Arial" w:cs="Arial"/>
        </w:rPr>
        <w:t>Lojistik Güven Endeksi, ölçümlerin başladığı 2019 yılının son çeyreğinden bu yana ilk defa 2021 yılının üçüncü çeyreğinde 141,34 olarak en yüksek seviyesine ulaşmıştı. Endeks genel itibarıyla halen pozitif görünümünü korusa da son üç çeyrek</w:t>
      </w:r>
      <w:r w:rsidR="00A73FA9">
        <w:rPr>
          <w:rFonts w:ascii="Arial" w:hAnsi="Arial" w:cs="Arial"/>
        </w:rPr>
        <w:t xml:space="preserve">tir </w:t>
      </w:r>
      <w:r w:rsidRPr="00F850E6">
        <w:rPr>
          <w:rFonts w:ascii="Arial" w:hAnsi="Arial" w:cs="Arial"/>
        </w:rPr>
        <w:t>hafif bir düşüş trendi</w:t>
      </w:r>
      <w:r w:rsidR="00A73FA9">
        <w:rPr>
          <w:rFonts w:ascii="Arial" w:hAnsi="Arial" w:cs="Arial"/>
        </w:rPr>
        <w:t xml:space="preserve"> içerisinde bulunuyor. </w:t>
      </w:r>
      <w:r w:rsidRPr="00F850E6">
        <w:rPr>
          <w:rFonts w:ascii="Arial" w:hAnsi="Arial" w:cs="Arial"/>
        </w:rPr>
        <w:t xml:space="preserve"> </w:t>
      </w:r>
    </w:p>
    <w:p w14:paraId="3084715C" w14:textId="77777777" w:rsidR="00F850E6" w:rsidRPr="00F850E6" w:rsidRDefault="00F850E6" w:rsidP="00F850E6">
      <w:pPr>
        <w:spacing w:after="0" w:line="300" w:lineRule="auto"/>
        <w:contextualSpacing/>
        <w:jc w:val="both"/>
        <w:rPr>
          <w:rFonts w:ascii="Arial" w:hAnsi="Arial" w:cs="Arial"/>
        </w:rPr>
      </w:pPr>
    </w:p>
    <w:p w14:paraId="7A02D341" w14:textId="5E3EB2A8" w:rsidR="00F850E6" w:rsidRDefault="00F850E6" w:rsidP="00F850E6">
      <w:pPr>
        <w:spacing w:after="0" w:line="300" w:lineRule="auto"/>
        <w:contextualSpacing/>
        <w:jc w:val="both"/>
        <w:rPr>
          <w:rFonts w:ascii="Arial" w:hAnsi="Arial" w:cs="Arial"/>
        </w:rPr>
      </w:pPr>
      <w:r w:rsidRPr="00F850E6">
        <w:rPr>
          <w:rFonts w:ascii="Arial" w:hAnsi="Arial" w:cs="Arial"/>
        </w:rPr>
        <w:t xml:space="preserve">Sektörün güncel durumunu gösteren Mevcut Durum Endeksi </w:t>
      </w:r>
      <w:r w:rsidR="00A73FA9">
        <w:rPr>
          <w:rFonts w:ascii="Arial" w:hAnsi="Arial" w:cs="Arial"/>
        </w:rPr>
        <w:t xml:space="preserve">ise </w:t>
      </w:r>
      <w:r w:rsidRPr="00F850E6">
        <w:rPr>
          <w:rFonts w:ascii="Arial" w:hAnsi="Arial" w:cs="Arial"/>
        </w:rPr>
        <w:t>bir önceki çeyreğe kıyasla yüzde 3’lük küçük bir düşüşle 126,80 olarak gerçekleşti. Gelecek Dönem Beklenti Endeksi de 2022’nin ilk çeyreğine göre yüzde 8’lik bir düşüşle 113,73 olarak ölçüldü.</w:t>
      </w:r>
    </w:p>
    <w:p w14:paraId="1257DA71" w14:textId="2404A01B" w:rsidR="00F850E6" w:rsidRDefault="00F850E6" w:rsidP="00F850E6">
      <w:pPr>
        <w:spacing w:after="0" w:line="300" w:lineRule="auto"/>
        <w:contextualSpacing/>
        <w:jc w:val="both"/>
        <w:rPr>
          <w:rFonts w:ascii="Arial" w:hAnsi="Arial" w:cs="Arial"/>
        </w:rPr>
      </w:pPr>
    </w:p>
    <w:p w14:paraId="596F5022" w14:textId="7A6E07BA" w:rsidR="00F850E6" w:rsidRDefault="00F850E6" w:rsidP="00F850E6">
      <w:pPr>
        <w:spacing w:after="0" w:line="300" w:lineRule="auto"/>
        <w:contextualSpacing/>
        <w:jc w:val="both"/>
        <w:rPr>
          <w:rFonts w:ascii="Arial" w:hAnsi="Arial" w:cs="Arial"/>
        </w:rPr>
      </w:pPr>
      <w:r w:rsidRPr="00F850E6">
        <w:rPr>
          <w:rFonts w:ascii="Arial" w:hAnsi="Arial" w:cs="Arial"/>
        </w:rPr>
        <w:t xml:space="preserve">Gelecek Dönem Beklenti Endeksinin alt kırılımlarına bakıldığında, </w:t>
      </w:r>
      <w:proofErr w:type="gramStart"/>
      <w:r w:rsidR="00A73FA9">
        <w:rPr>
          <w:rFonts w:ascii="Arial" w:hAnsi="Arial" w:cs="Arial"/>
        </w:rPr>
        <w:t>t</w:t>
      </w:r>
      <w:r w:rsidRPr="00F850E6">
        <w:rPr>
          <w:rFonts w:ascii="Arial" w:hAnsi="Arial" w:cs="Arial"/>
        </w:rPr>
        <w:t>emmuz -</w:t>
      </w:r>
      <w:proofErr w:type="gramEnd"/>
      <w:r w:rsidRPr="00F850E6">
        <w:rPr>
          <w:rFonts w:ascii="Arial" w:hAnsi="Arial" w:cs="Arial"/>
        </w:rPr>
        <w:t xml:space="preserve"> </w:t>
      </w:r>
      <w:r w:rsidR="00A73FA9">
        <w:rPr>
          <w:rFonts w:ascii="Arial" w:hAnsi="Arial" w:cs="Arial"/>
        </w:rPr>
        <w:t>e</w:t>
      </w:r>
      <w:r w:rsidRPr="00F850E6">
        <w:rPr>
          <w:rFonts w:ascii="Arial" w:hAnsi="Arial" w:cs="Arial"/>
        </w:rPr>
        <w:t>ylül döneminde sektördeki iş hacmi beklentisine ilişkin endeks, çeyrek bazda yüzde 24’lük bir düşüşle 119,61 puana geriledi. Üçüncü çeyrekte sektörün kârlılığına ilişkin endeks de çeyrek bazda yüzde 3’l</w:t>
      </w:r>
      <w:r w:rsidR="00A73FA9">
        <w:rPr>
          <w:rFonts w:ascii="Arial" w:hAnsi="Arial" w:cs="Arial"/>
        </w:rPr>
        <w:t>ü</w:t>
      </w:r>
      <w:r w:rsidRPr="00F850E6">
        <w:rPr>
          <w:rFonts w:ascii="Arial" w:hAnsi="Arial" w:cs="Arial"/>
        </w:rPr>
        <w:t>k bir düşüşle 90,20 puan olarak ölçüldü. Böylelikle kârlılık beklentilerine ilişkin endeks, ikinci çeyrek</w:t>
      </w:r>
      <w:r w:rsidR="00A73FA9">
        <w:rPr>
          <w:rFonts w:ascii="Arial" w:hAnsi="Arial" w:cs="Arial"/>
        </w:rPr>
        <w:t>te</w:t>
      </w:r>
      <w:r w:rsidRPr="00F850E6">
        <w:rPr>
          <w:rFonts w:ascii="Arial" w:hAnsi="Arial" w:cs="Arial"/>
        </w:rPr>
        <w:t xml:space="preserve"> üst üste negatif görünümünü </w:t>
      </w:r>
      <w:r w:rsidR="00A73FA9">
        <w:rPr>
          <w:rFonts w:ascii="Arial" w:hAnsi="Arial" w:cs="Arial"/>
        </w:rPr>
        <w:t>sürdürdü</w:t>
      </w:r>
      <w:r w:rsidRPr="00F850E6">
        <w:rPr>
          <w:rFonts w:ascii="Arial" w:hAnsi="Arial" w:cs="Arial"/>
        </w:rPr>
        <w:t>. Bu durum</w:t>
      </w:r>
      <w:r w:rsidR="00A73FA9">
        <w:rPr>
          <w:rFonts w:ascii="Arial" w:hAnsi="Arial" w:cs="Arial"/>
        </w:rPr>
        <w:t>un</w:t>
      </w:r>
      <w:r w:rsidRPr="00F850E6">
        <w:rPr>
          <w:rFonts w:ascii="Arial" w:hAnsi="Arial" w:cs="Arial"/>
        </w:rPr>
        <w:t>, yakıt maliyetlerinin halen yüksek olmasın</w:t>
      </w:r>
      <w:r w:rsidR="00A73FA9">
        <w:rPr>
          <w:rFonts w:ascii="Arial" w:hAnsi="Arial" w:cs="Arial"/>
        </w:rPr>
        <w:t xml:space="preserve">dan kaynaklandığı tahmin ediliyor. </w:t>
      </w:r>
      <w:r w:rsidRPr="00F850E6">
        <w:rPr>
          <w:rFonts w:ascii="Arial" w:hAnsi="Arial" w:cs="Arial"/>
        </w:rPr>
        <w:t xml:space="preserve">Gelecek üç ayda sektörün insan kaynakları ihtiyacına ilişkin endeks ise yüzde 11’lik bir düşüş göstererek 127,45 puana geriledi. </w:t>
      </w:r>
    </w:p>
    <w:p w14:paraId="470A8C1E" w14:textId="77777777" w:rsidR="00F850E6" w:rsidRPr="00F850E6" w:rsidRDefault="00F850E6" w:rsidP="00F850E6">
      <w:pPr>
        <w:spacing w:after="0" w:line="300" w:lineRule="auto"/>
        <w:contextualSpacing/>
        <w:jc w:val="both"/>
        <w:rPr>
          <w:rFonts w:ascii="Arial" w:hAnsi="Arial" w:cs="Arial"/>
        </w:rPr>
      </w:pPr>
    </w:p>
    <w:p w14:paraId="1E621B5E" w14:textId="1E385A90" w:rsidR="00F850E6" w:rsidRDefault="00F850E6" w:rsidP="00F850E6">
      <w:pPr>
        <w:spacing w:after="0" w:line="300" w:lineRule="auto"/>
        <w:contextualSpacing/>
        <w:jc w:val="both"/>
        <w:rPr>
          <w:rFonts w:ascii="Arial" w:hAnsi="Arial" w:cs="Arial"/>
        </w:rPr>
      </w:pPr>
      <w:r w:rsidRPr="00F850E6">
        <w:rPr>
          <w:rFonts w:ascii="Arial" w:hAnsi="Arial" w:cs="Arial"/>
        </w:rPr>
        <w:t xml:space="preserve">Sektörde neredeyse bütün göstergelerde temkinli düşüş sinyalleri göze çarparken </w:t>
      </w:r>
      <w:r w:rsidR="00A73FA9">
        <w:rPr>
          <w:rFonts w:ascii="Arial" w:hAnsi="Arial" w:cs="Arial"/>
        </w:rPr>
        <w:t>t</w:t>
      </w:r>
      <w:r w:rsidRPr="00F850E6">
        <w:rPr>
          <w:rFonts w:ascii="Arial" w:hAnsi="Arial" w:cs="Arial"/>
        </w:rPr>
        <w:t>emmuz-</w:t>
      </w:r>
      <w:r w:rsidR="00A73FA9">
        <w:rPr>
          <w:rFonts w:ascii="Arial" w:hAnsi="Arial" w:cs="Arial"/>
        </w:rPr>
        <w:t>e</w:t>
      </w:r>
      <w:r w:rsidRPr="00F850E6">
        <w:rPr>
          <w:rFonts w:ascii="Arial" w:hAnsi="Arial" w:cs="Arial"/>
        </w:rPr>
        <w:t xml:space="preserve">ylül dönemi için sektörde şirket birleşmesi ve satın almasına ilişkin beklenti endeksi yaklaşık yüzde 6’lık bir artışla 131,37 puana yükseldi. </w:t>
      </w:r>
    </w:p>
    <w:p w14:paraId="05CB83A0" w14:textId="28691E52" w:rsidR="00F850E6" w:rsidRDefault="00F850E6" w:rsidP="00F850E6">
      <w:pPr>
        <w:spacing w:after="0" w:line="300" w:lineRule="auto"/>
        <w:contextualSpacing/>
        <w:jc w:val="both"/>
        <w:rPr>
          <w:rFonts w:ascii="Arial" w:hAnsi="Arial" w:cs="Arial"/>
        </w:rPr>
      </w:pPr>
    </w:p>
    <w:p w14:paraId="63BCE5F6" w14:textId="04D2BE23" w:rsidR="00FA5BC5" w:rsidRPr="003A180F" w:rsidRDefault="00FA5BC5" w:rsidP="00F850E6">
      <w:pPr>
        <w:spacing w:after="0" w:line="300" w:lineRule="auto"/>
        <w:contextualSpacing/>
        <w:jc w:val="both"/>
        <w:rPr>
          <w:rFonts w:ascii="Arial" w:hAnsi="Arial" w:cs="Arial"/>
          <w:b/>
          <w:bCs/>
        </w:rPr>
      </w:pPr>
      <w:r w:rsidRPr="003A180F">
        <w:rPr>
          <w:rFonts w:ascii="Arial" w:hAnsi="Arial" w:cs="Arial"/>
          <w:b/>
          <w:bCs/>
        </w:rPr>
        <w:t>"Türkiye taşımacılık sektörü uzun vadede olumlu bir tablo çiziyor”</w:t>
      </w:r>
    </w:p>
    <w:p w14:paraId="34C0B805" w14:textId="7F19D81B" w:rsidR="00F850E6" w:rsidRDefault="00F850E6" w:rsidP="00F850E6">
      <w:pPr>
        <w:spacing w:after="0" w:line="300" w:lineRule="auto"/>
        <w:contextualSpacing/>
        <w:jc w:val="both"/>
        <w:rPr>
          <w:rFonts w:ascii="Arial" w:hAnsi="Arial" w:cs="Arial"/>
        </w:rPr>
      </w:pPr>
      <w:r w:rsidRPr="00F850E6">
        <w:rPr>
          <w:rFonts w:ascii="Arial" w:hAnsi="Arial" w:cs="Arial"/>
        </w:rPr>
        <w:t xml:space="preserve">Sektördeki gelişmeleri değerlendiren </w:t>
      </w:r>
      <w:r w:rsidRPr="003A180F">
        <w:rPr>
          <w:rFonts w:ascii="Arial" w:hAnsi="Arial" w:cs="Arial"/>
          <w:b/>
          <w:bCs/>
        </w:rPr>
        <w:t>KPMG Türkiye Taşımacılık Sektör Lideri Yavuz Öner</w:t>
      </w:r>
      <w:r w:rsidRPr="00F850E6">
        <w:rPr>
          <w:rFonts w:ascii="Arial" w:hAnsi="Arial" w:cs="Arial"/>
        </w:rPr>
        <w:t xml:space="preserve"> “Lojistik Güven Endeksi, temkinli düşüş trendini sürdürüyor. Buna karşın, endeks halen 100 puanın üzerinde yer aldığı için sektörde pozitif görünümün korunduğunu söylemek mümkün. Pandeminin etkilerinden sonra Ukrayna</w:t>
      </w:r>
      <w:r w:rsidR="00A73FA9">
        <w:rPr>
          <w:rFonts w:ascii="Arial" w:hAnsi="Arial" w:cs="Arial"/>
        </w:rPr>
        <w:t xml:space="preserve"> </w:t>
      </w:r>
      <w:r w:rsidRPr="00F850E6">
        <w:rPr>
          <w:rFonts w:ascii="Arial" w:hAnsi="Arial" w:cs="Arial"/>
        </w:rPr>
        <w:t>-</w:t>
      </w:r>
      <w:r w:rsidR="00A73FA9">
        <w:rPr>
          <w:rFonts w:ascii="Arial" w:hAnsi="Arial" w:cs="Arial"/>
        </w:rPr>
        <w:t xml:space="preserve"> </w:t>
      </w:r>
      <w:r w:rsidRPr="00F850E6">
        <w:rPr>
          <w:rFonts w:ascii="Arial" w:hAnsi="Arial" w:cs="Arial"/>
        </w:rPr>
        <w:t>Rusya savaşı nedeniyle tedarik zincirinde değişimler yaşandı.</w:t>
      </w:r>
      <w:r w:rsidR="00A73FA9">
        <w:rPr>
          <w:rFonts w:ascii="Arial" w:hAnsi="Arial" w:cs="Arial"/>
        </w:rPr>
        <w:t xml:space="preserve"> </w:t>
      </w:r>
      <w:r w:rsidRPr="00F850E6">
        <w:rPr>
          <w:rFonts w:ascii="Arial" w:hAnsi="Arial" w:cs="Arial"/>
        </w:rPr>
        <w:t xml:space="preserve">Yakıt maliyetleri dünya genelinde yükseldi. Tüm bu dönemsel faktörlere bağlı gerilemelere rağmen, Türkiye taşımacılık sektörünün uzun vadede olumlu bir tablo çizdiği söylenebilir. Ulaştırma ve Altyapı Bakanlığı’nın açıklamalarına göre, 2022 yılının </w:t>
      </w:r>
      <w:r w:rsidR="00A73FA9">
        <w:rPr>
          <w:rFonts w:ascii="Arial" w:hAnsi="Arial" w:cs="Arial"/>
        </w:rPr>
        <w:t>o</w:t>
      </w:r>
      <w:r w:rsidRPr="00F850E6">
        <w:rPr>
          <w:rFonts w:ascii="Arial" w:hAnsi="Arial" w:cs="Arial"/>
        </w:rPr>
        <w:t>cak</w:t>
      </w:r>
      <w:r w:rsidR="00A73FA9">
        <w:rPr>
          <w:rFonts w:ascii="Arial" w:hAnsi="Arial" w:cs="Arial"/>
        </w:rPr>
        <w:t xml:space="preserve"> </w:t>
      </w:r>
      <w:r w:rsidRPr="00F850E6">
        <w:rPr>
          <w:rFonts w:ascii="Arial" w:hAnsi="Arial" w:cs="Arial"/>
        </w:rPr>
        <w:t>-</w:t>
      </w:r>
      <w:r w:rsidR="00A73FA9">
        <w:rPr>
          <w:rFonts w:ascii="Arial" w:hAnsi="Arial" w:cs="Arial"/>
        </w:rPr>
        <w:t xml:space="preserve"> h</w:t>
      </w:r>
      <w:r w:rsidRPr="00F850E6">
        <w:rPr>
          <w:rFonts w:ascii="Arial" w:hAnsi="Arial" w:cs="Arial"/>
        </w:rPr>
        <w:t xml:space="preserve">aziran döneminde, ülkemizden yapılan uluslararası taşıma sayısı geçen yılın ilk yarısına kıyasla yüzde 20 artış göstererek 820 bin seferi aştı. Rusya’nın uygulanan ambargolar sonrası Türkiye’yi transit </w:t>
      </w:r>
      <w:r w:rsidR="00A73FA9">
        <w:rPr>
          <w:rFonts w:ascii="Arial" w:hAnsi="Arial" w:cs="Arial"/>
        </w:rPr>
        <w:t xml:space="preserve">bir merkez </w:t>
      </w:r>
      <w:r w:rsidRPr="00F850E6">
        <w:rPr>
          <w:rFonts w:ascii="Arial" w:hAnsi="Arial" w:cs="Arial"/>
        </w:rPr>
        <w:t>olarak kullanması bu sayıları olumlu etkiliyor. Taşımacılık sektöründe kamu tarafında yoğun bir yatırım gündemi söz konusu ve bu yatırımlarla demiryolunun lojistikteki payının yüzde 22’ye yükseltilmesi hedefleniyor. Taşımacılık sektörünün hizmet ihracatı içerisinde geçtiğimiz yıl 12,6 milyar dolarlık bir payı mevcuttu, bu payın açıklanan devlet destekleriyle birlikte önemli bir artış kaydedeceği öngörülüyor</w:t>
      </w:r>
      <w:r w:rsidR="00A73FA9">
        <w:rPr>
          <w:rFonts w:ascii="Arial" w:hAnsi="Arial" w:cs="Arial"/>
        </w:rPr>
        <w:t>.</w:t>
      </w:r>
      <w:r w:rsidRPr="00F850E6">
        <w:rPr>
          <w:rFonts w:ascii="Arial" w:hAnsi="Arial" w:cs="Arial"/>
        </w:rPr>
        <w:t xml:space="preserve">” yorumunda bulundu. </w:t>
      </w:r>
    </w:p>
    <w:p w14:paraId="70ABB060" w14:textId="77777777" w:rsidR="00F850E6" w:rsidRPr="00F850E6" w:rsidRDefault="00F850E6" w:rsidP="00F850E6">
      <w:pPr>
        <w:spacing w:after="0" w:line="300" w:lineRule="auto"/>
        <w:contextualSpacing/>
        <w:jc w:val="both"/>
        <w:rPr>
          <w:rFonts w:ascii="Arial" w:hAnsi="Arial" w:cs="Arial"/>
        </w:rPr>
      </w:pPr>
    </w:p>
    <w:p w14:paraId="2B425180" w14:textId="0041F369" w:rsidR="00FA5BC5" w:rsidRDefault="00FA5BC5" w:rsidP="00F850E6">
      <w:pPr>
        <w:spacing w:after="0" w:line="300" w:lineRule="auto"/>
        <w:contextualSpacing/>
        <w:jc w:val="both"/>
        <w:rPr>
          <w:rFonts w:ascii="Arial" w:hAnsi="Arial" w:cs="Arial"/>
        </w:rPr>
      </w:pPr>
      <w:r>
        <w:rPr>
          <w:rFonts w:ascii="Arial" w:hAnsi="Arial" w:cs="Arial"/>
        </w:rPr>
        <w:t xml:space="preserve">Türkiye </w:t>
      </w:r>
      <w:r w:rsidR="00F850E6" w:rsidRPr="00F850E6">
        <w:rPr>
          <w:rFonts w:ascii="Arial" w:hAnsi="Arial" w:cs="Arial"/>
        </w:rPr>
        <w:t>Lojistik Güven Endeksi ölçümleri</w:t>
      </w:r>
      <w:r>
        <w:rPr>
          <w:rFonts w:ascii="Arial" w:hAnsi="Arial" w:cs="Arial"/>
        </w:rPr>
        <w:t>nin</w:t>
      </w:r>
      <w:r w:rsidR="00F850E6" w:rsidRPr="00F850E6">
        <w:rPr>
          <w:rFonts w:ascii="Arial" w:hAnsi="Arial" w:cs="Arial"/>
        </w:rPr>
        <w:t xml:space="preserve"> tamamını </w:t>
      </w:r>
      <w:hyperlink r:id="rId11" w:history="1">
        <w:r w:rsidR="00F850E6" w:rsidRPr="00F850E6">
          <w:rPr>
            <w:rStyle w:val="Kpr"/>
            <w:rFonts w:ascii="Arial" w:hAnsi="Arial" w:cs="Arial"/>
          </w:rPr>
          <w:t>bu</w:t>
        </w:r>
        <w:r>
          <w:rPr>
            <w:rStyle w:val="Kpr"/>
            <w:rFonts w:ascii="Arial" w:hAnsi="Arial" w:cs="Arial"/>
          </w:rPr>
          <w:t>radan</w:t>
        </w:r>
      </w:hyperlink>
      <w:r w:rsidR="00F850E6" w:rsidRPr="00F850E6">
        <w:rPr>
          <w:rFonts w:ascii="Arial" w:hAnsi="Arial" w:cs="Arial"/>
        </w:rPr>
        <w:t xml:space="preserve"> inceleyebilirsiniz. </w:t>
      </w:r>
      <w:r>
        <w:rPr>
          <w:rFonts w:ascii="Arial" w:hAnsi="Arial" w:cs="Arial"/>
        </w:rPr>
        <w:t xml:space="preserve">Ayrıca firmalar </w:t>
      </w:r>
      <w:hyperlink r:id="rId12" w:history="1">
        <w:r w:rsidRPr="00FA5BC5">
          <w:rPr>
            <w:rStyle w:val="Kpr"/>
            <w:rFonts w:ascii="Arial" w:hAnsi="Arial" w:cs="Arial"/>
          </w:rPr>
          <w:t>buradaki</w:t>
        </w:r>
      </w:hyperlink>
      <w:r>
        <w:rPr>
          <w:rFonts w:ascii="Arial" w:hAnsi="Arial" w:cs="Arial"/>
        </w:rPr>
        <w:t xml:space="preserve"> </w:t>
      </w:r>
      <w:r w:rsidRPr="00FA5BC5">
        <w:rPr>
          <w:rFonts w:ascii="Arial" w:hAnsi="Arial" w:cs="Arial"/>
        </w:rPr>
        <w:t xml:space="preserve">formu </w:t>
      </w:r>
      <w:r>
        <w:rPr>
          <w:rFonts w:ascii="Arial" w:hAnsi="Arial" w:cs="Arial"/>
        </w:rPr>
        <w:t xml:space="preserve">doldurup </w:t>
      </w:r>
      <w:r w:rsidRPr="00FA5BC5">
        <w:rPr>
          <w:rFonts w:ascii="Arial" w:hAnsi="Arial" w:cs="Arial"/>
        </w:rPr>
        <w:t xml:space="preserve">veri tabanına kayıt </w:t>
      </w:r>
      <w:r>
        <w:rPr>
          <w:rFonts w:ascii="Arial" w:hAnsi="Arial" w:cs="Arial"/>
        </w:rPr>
        <w:t xml:space="preserve">olarak araştırmaya katkıda bulunabiliyor. </w:t>
      </w:r>
    </w:p>
    <w:p w14:paraId="21106805" w14:textId="09618A74" w:rsidR="00F850E6" w:rsidRDefault="00F30598" w:rsidP="00A12402">
      <w:pPr>
        <w:spacing w:after="0" w:line="300" w:lineRule="auto"/>
        <w:contextualSpacing/>
        <w:jc w:val="both"/>
        <w:rPr>
          <w:rFonts w:ascii="Arial" w:hAnsi="Arial" w:cs="Arial"/>
        </w:rPr>
      </w:pPr>
      <w:r>
        <w:rPr>
          <w:noProof/>
        </w:rPr>
        <w:drawing>
          <wp:inline distT="0" distB="0" distL="0" distR="0" wp14:anchorId="196A9BE0" wp14:editId="4B06AF77">
            <wp:extent cx="5760720" cy="2840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840355"/>
                    </a:xfrm>
                    <a:prstGeom prst="rect">
                      <a:avLst/>
                    </a:prstGeom>
                    <a:noFill/>
                    <a:ln>
                      <a:noFill/>
                    </a:ln>
                  </pic:spPr>
                </pic:pic>
              </a:graphicData>
            </a:graphic>
          </wp:inline>
        </w:drawing>
      </w:r>
    </w:p>
    <w:p w14:paraId="53188609" w14:textId="487EBF81" w:rsidR="007F2A23" w:rsidRPr="009F641F" w:rsidRDefault="007F2A23" w:rsidP="007F2A23">
      <w:pPr>
        <w:spacing w:after="0" w:line="300" w:lineRule="auto"/>
        <w:contextualSpacing/>
        <w:jc w:val="both"/>
        <w:rPr>
          <w:rFonts w:ascii="Arial" w:hAnsi="Arial" w:cs="Arial"/>
        </w:rPr>
      </w:pPr>
    </w:p>
    <w:p w14:paraId="7BEB7218" w14:textId="2E94AC66"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rPr>
        <w:t xml:space="preserve">Bilgi için: </w:t>
      </w:r>
      <w:r w:rsidRPr="009F641F">
        <w:rPr>
          <w:rStyle w:val="tabchar"/>
          <w:rFonts w:asciiTheme="minorHAnsi" w:hAnsiTheme="minorHAnsi" w:cstheme="minorHAnsi"/>
          <w:sz w:val="18"/>
          <w:szCs w:val="18"/>
        </w:rPr>
        <w:tab/>
      </w:r>
      <w:r w:rsidRPr="009F641F">
        <w:rPr>
          <w:rStyle w:val="eop"/>
          <w:rFonts w:asciiTheme="minorHAnsi" w:hAnsiTheme="minorHAnsi" w:cstheme="minorHAnsi"/>
          <w:sz w:val="18"/>
          <w:szCs w:val="18"/>
        </w:rPr>
        <w:t> </w:t>
      </w:r>
    </w:p>
    <w:p w14:paraId="1284FF54"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 Moral Aru</w:t>
      </w:r>
      <w:r w:rsidRPr="009F641F">
        <w:rPr>
          <w:rStyle w:val="eop"/>
          <w:rFonts w:asciiTheme="minorHAnsi" w:hAnsiTheme="minorHAnsi" w:cstheme="minorHAnsi"/>
          <w:color w:val="000000"/>
          <w:sz w:val="18"/>
          <w:szCs w:val="18"/>
        </w:rPr>
        <w:t> </w:t>
      </w:r>
    </w:p>
    <w:p w14:paraId="1343EFB1"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0533 921 43 53</w:t>
      </w:r>
      <w:r w:rsidRPr="009F641F">
        <w:rPr>
          <w:rStyle w:val="eop"/>
          <w:rFonts w:asciiTheme="minorHAnsi" w:hAnsiTheme="minorHAnsi" w:cstheme="minorHAnsi"/>
          <w:color w:val="000000"/>
          <w:sz w:val="18"/>
          <w:szCs w:val="18"/>
        </w:rPr>
        <w:t> </w:t>
      </w:r>
    </w:p>
    <w:p w14:paraId="304F194A"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cerenm@marjinal.com.tr</w:t>
      </w:r>
      <w:r w:rsidRPr="009F641F">
        <w:rPr>
          <w:rStyle w:val="eop"/>
          <w:rFonts w:asciiTheme="minorHAnsi" w:hAnsiTheme="minorHAnsi" w:cstheme="minorHAnsi"/>
          <w:color w:val="000000"/>
          <w:sz w:val="18"/>
          <w:szCs w:val="18"/>
        </w:rPr>
        <w:t> </w:t>
      </w:r>
    </w:p>
    <w:p w14:paraId="658A0A5E"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eop"/>
          <w:rFonts w:asciiTheme="minorHAnsi" w:hAnsiTheme="minorHAnsi" w:cstheme="minorHAnsi"/>
          <w:sz w:val="18"/>
          <w:szCs w:val="18"/>
        </w:rPr>
        <w:t> </w:t>
      </w:r>
    </w:p>
    <w:p w14:paraId="7BBC93DB" w14:textId="77777777" w:rsidR="001B55F3" w:rsidRPr="009F641F" w:rsidRDefault="001B55F3" w:rsidP="001B55F3">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u w:val="single"/>
        </w:rPr>
        <w:t>KPMG Hakkında</w:t>
      </w:r>
      <w:r w:rsidRPr="009F641F">
        <w:rPr>
          <w:rStyle w:val="eop"/>
          <w:rFonts w:asciiTheme="minorHAnsi" w:hAnsiTheme="minorHAnsi" w:cstheme="minorHAnsi"/>
          <w:sz w:val="18"/>
          <w:szCs w:val="18"/>
        </w:rPr>
        <w:t> </w:t>
      </w:r>
    </w:p>
    <w:p w14:paraId="3359F04C" w14:textId="03FA13BD" w:rsidR="00D322B8" w:rsidRPr="009F641F" w:rsidRDefault="001B55F3" w:rsidP="007D1E9B">
      <w:pPr>
        <w:pStyle w:val="paragraph"/>
        <w:spacing w:before="0" w:beforeAutospacing="0" w:after="0" w:afterAutospacing="0"/>
        <w:jc w:val="both"/>
        <w:textAlignment w:val="baseline"/>
        <w:rPr>
          <w:rFonts w:ascii="Arial" w:hAnsi="Arial" w:cs="Arial"/>
        </w:rPr>
      </w:pPr>
      <w:r w:rsidRPr="009F641F">
        <w:rPr>
          <w:rStyle w:val="normaltextrun"/>
          <w:rFonts w:asciiTheme="minorHAnsi" w:hAnsiTheme="minorHAnsi" w:cstheme="minorHAnsi"/>
          <w:color w:val="000000"/>
          <w:sz w:val="18"/>
          <w:szCs w:val="18"/>
        </w:rPr>
        <w:lastRenderedPageBreak/>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proofErr w:type="spellStart"/>
      <w:r w:rsidRPr="009F641F">
        <w:rPr>
          <w:rStyle w:val="spellingerror"/>
          <w:rFonts w:asciiTheme="minorHAnsi" w:hAnsiTheme="minorHAnsi" w:cstheme="minorHAnsi"/>
          <w:color w:val="000000"/>
          <w:sz w:val="18"/>
          <w:szCs w:val="18"/>
        </w:rPr>
        <w:t>Lighthouse</w:t>
      </w:r>
      <w:proofErr w:type="spellEnd"/>
      <w:r w:rsidRPr="009F641F">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4" w:tgtFrame="_blank" w:history="1">
        <w:r w:rsidRPr="009F641F">
          <w:rPr>
            <w:rStyle w:val="normaltextrun"/>
            <w:rFonts w:asciiTheme="minorHAnsi" w:hAnsiTheme="minorHAnsi" w:cstheme="minorHAnsi"/>
            <w:color w:val="0563C1"/>
            <w:sz w:val="18"/>
            <w:szCs w:val="18"/>
            <w:u w:val="single"/>
          </w:rPr>
          <w:t>www.kpmg.com.tr</w:t>
        </w:r>
      </w:hyperlink>
      <w:r w:rsidRPr="009F641F">
        <w:rPr>
          <w:rStyle w:val="normaltextrun"/>
          <w:rFonts w:asciiTheme="minorHAnsi" w:hAnsiTheme="minorHAnsi" w:cstheme="minorHAnsi"/>
          <w:color w:val="000000"/>
          <w:sz w:val="18"/>
          <w:szCs w:val="18"/>
        </w:rPr>
        <w:t> adresine başvurabilirsiniz.</w:t>
      </w:r>
      <w:r w:rsidRPr="009F641F">
        <w:rPr>
          <w:rStyle w:val="eop"/>
          <w:rFonts w:asciiTheme="minorHAnsi" w:hAnsiTheme="minorHAnsi" w:cstheme="minorHAnsi"/>
          <w:color w:val="000000"/>
          <w:sz w:val="18"/>
          <w:szCs w:val="18"/>
        </w:rPr>
        <w:t> </w:t>
      </w:r>
    </w:p>
    <w:p w14:paraId="62516F6D" w14:textId="77777777" w:rsidR="00511A4F" w:rsidRPr="009F641F" w:rsidRDefault="00511A4F" w:rsidP="00FB099A">
      <w:pPr>
        <w:rPr>
          <w:rFonts w:ascii="Arial" w:hAnsi="Arial" w:cs="Arial"/>
        </w:rPr>
      </w:pPr>
    </w:p>
    <w:p w14:paraId="2699C430" w14:textId="2F228AE0" w:rsidR="00AD1559" w:rsidRPr="009F641F"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9F641F" w:rsidRDefault="00376CAF" w:rsidP="00FB099A">
      <w:pPr>
        <w:rPr>
          <w:rFonts w:ascii="Arial" w:eastAsia="Times New Roman" w:hAnsi="Arial" w:cs="Arial"/>
          <w:color w:val="000000"/>
        </w:rPr>
      </w:pPr>
    </w:p>
    <w:p w14:paraId="2AB1866D" w14:textId="1B96F09F" w:rsidR="00376CAF" w:rsidRPr="009F641F" w:rsidRDefault="00376CAF" w:rsidP="00376CAF">
      <w:pPr>
        <w:rPr>
          <w:rFonts w:ascii="Arial" w:hAnsi="Arial" w:cs="Arial"/>
        </w:rPr>
      </w:pPr>
    </w:p>
    <w:sectPr w:rsidR="00376CAF" w:rsidRPr="009F641F" w:rsidSect="00D322B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EF8A" w14:textId="77777777" w:rsidR="00E7359F" w:rsidRDefault="00E7359F" w:rsidP="00D322B8">
      <w:pPr>
        <w:spacing w:after="0" w:line="240" w:lineRule="auto"/>
      </w:pPr>
      <w:r>
        <w:separator/>
      </w:r>
    </w:p>
  </w:endnote>
  <w:endnote w:type="continuationSeparator" w:id="0">
    <w:p w14:paraId="3FFC1243" w14:textId="77777777" w:rsidR="00E7359F" w:rsidRDefault="00E7359F" w:rsidP="00D322B8">
      <w:pPr>
        <w:spacing w:after="0" w:line="240" w:lineRule="auto"/>
      </w:pPr>
      <w:r>
        <w:continuationSeparator/>
      </w:r>
    </w:p>
  </w:endnote>
  <w:endnote w:type="continuationNotice" w:id="1">
    <w:p w14:paraId="1C8A8B39" w14:textId="77777777" w:rsidR="00E7359F" w:rsidRDefault="00E73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B702" w14:textId="77777777" w:rsidR="000F0B71" w:rsidRDefault="000F0B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DB67" w14:textId="77777777" w:rsidR="00E7359F" w:rsidRDefault="00E7359F" w:rsidP="00D322B8">
      <w:pPr>
        <w:spacing w:after="0" w:line="240" w:lineRule="auto"/>
      </w:pPr>
      <w:r>
        <w:separator/>
      </w:r>
    </w:p>
  </w:footnote>
  <w:footnote w:type="continuationSeparator" w:id="0">
    <w:p w14:paraId="029E3D3A" w14:textId="77777777" w:rsidR="00E7359F" w:rsidRDefault="00E7359F" w:rsidP="00D322B8">
      <w:pPr>
        <w:spacing w:after="0" w:line="240" w:lineRule="auto"/>
      </w:pPr>
      <w:r>
        <w:continuationSeparator/>
      </w:r>
    </w:p>
  </w:footnote>
  <w:footnote w:type="continuationNotice" w:id="1">
    <w:p w14:paraId="0502CEA6" w14:textId="77777777" w:rsidR="00E7359F" w:rsidRDefault="00E73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70"/>
    <w:multiLevelType w:val="hybridMultilevel"/>
    <w:tmpl w:val="DF9E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04636">
    <w:abstractNumId w:val="1"/>
  </w:num>
  <w:num w:numId="2" w16cid:durableId="1292052657">
    <w:abstractNumId w:val="3"/>
  </w:num>
  <w:num w:numId="3" w16cid:durableId="1065226027">
    <w:abstractNumId w:val="2"/>
  </w:num>
  <w:num w:numId="4" w16cid:durableId="1365600311">
    <w:abstractNumId w:val="4"/>
  </w:num>
  <w:num w:numId="5" w16cid:durableId="56769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9A"/>
    <w:rsid w:val="000040FF"/>
    <w:rsid w:val="000271D2"/>
    <w:rsid w:val="000357D1"/>
    <w:rsid w:val="000859AF"/>
    <w:rsid w:val="000C46F9"/>
    <w:rsid w:val="000F0B71"/>
    <w:rsid w:val="001007D9"/>
    <w:rsid w:val="00113973"/>
    <w:rsid w:val="0013228F"/>
    <w:rsid w:val="00137590"/>
    <w:rsid w:val="0017112D"/>
    <w:rsid w:val="00177A98"/>
    <w:rsid w:val="00190920"/>
    <w:rsid w:val="001B55F3"/>
    <w:rsid w:val="001C7EB0"/>
    <w:rsid w:val="001D4ED3"/>
    <w:rsid w:val="002004FC"/>
    <w:rsid w:val="00202FA3"/>
    <w:rsid w:val="002368E4"/>
    <w:rsid w:val="00281D53"/>
    <w:rsid w:val="002C1784"/>
    <w:rsid w:val="002C69A1"/>
    <w:rsid w:val="002E1634"/>
    <w:rsid w:val="00300A12"/>
    <w:rsid w:val="00320E15"/>
    <w:rsid w:val="003719FA"/>
    <w:rsid w:val="00373C39"/>
    <w:rsid w:val="00376117"/>
    <w:rsid w:val="00376CAF"/>
    <w:rsid w:val="003A180F"/>
    <w:rsid w:val="003C439A"/>
    <w:rsid w:val="003F5B88"/>
    <w:rsid w:val="004136C3"/>
    <w:rsid w:val="0047202C"/>
    <w:rsid w:val="004A399D"/>
    <w:rsid w:val="004D784B"/>
    <w:rsid w:val="00501047"/>
    <w:rsid w:val="00511A4F"/>
    <w:rsid w:val="005A0087"/>
    <w:rsid w:val="005C2E52"/>
    <w:rsid w:val="005D527D"/>
    <w:rsid w:val="005E0700"/>
    <w:rsid w:val="005F0E8D"/>
    <w:rsid w:val="005F3EF0"/>
    <w:rsid w:val="005F78AF"/>
    <w:rsid w:val="00614992"/>
    <w:rsid w:val="00634D08"/>
    <w:rsid w:val="006523FA"/>
    <w:rsid w:val="00664709"/>
    <w:rsid w:val="00691774"/>
    <w:rsid w:val="00693178"/>
    <w:rsid w:val="00695227"/>
    <w:rsid w:val="006B46D0"/>
    <w:rsid w:val="006C764C"/>
    <w:rsid w:val="00706D99"/>
    <w:rsid w:val="00737D9D"/>
    <w:rsid w:val="00745D55"/>
    <w:rsid w:val="007B007F"/>
    <w:rsid w:val="007D16C4"/>
    <w:rsid w:val="007D1E9B"/>
    <w:rsid w:val="007D3441"/>
    <w:rsid w:val="007F2A23"/>
    <w:rsid w:val="007F7017"/>
    <w:rsid w:val="0080066F"/>
    <w:rsid w:val="00812B22"/>
    <w:rsid w:val="00863745"/>
    <w:rsid w:val="00863817"/>
    <w:rsid w:val="00877FE7"/>
    <w:rsid w:val="008D3988"/>
    <w:rsid w:val="008D4DF2"/>
    <w:rsid w:val="008F31BC"/>
    <w:rsid w:val="009073F9"/>
    <w:rsid w:val="00912EF3"/>
    <w:rsid w:val="00917AD1"/>
    <w:rsid w:val="0093489B"/>
    <w:rsid w:val="00946E34"/>
    <w:rsid w:val="009478DC"/>
    <w:rsid w:val="00955B7B"/>
    <w:rsid w:val="00963450"/>
    <w:rsid w:val="0097526A"/>
    <w:rsid w:val="00986EAA"/>
    <w:rsid w:val="009B6511"/>
    <w:rsid w:val="009F641F"/>
    <w:rsid w:val="00A02C7D"/>
    <w:rsid w:val="00A12402"/>
    <w:rsid w:val="00A50F72"/>
    <w:rsid w:val="00A64F65"/>
    <w:rsid w:val="00A73FA9"/>
    <w:rsid w:val="00A76CA9"/>
    <w:rsid w:val="00A97A31"/>
    <w:rsid w:val="00AB3D2C"/>
    <w:rsid w:val="00AD1559"/>
    <w:rsid w:val="00AD337D"/>
    <w:rsid w:val="00AD425A"/>
    <w:rsid w:val="00AF5D95"/>
    <w:rsid w:val="00B11717"/>
    <w:rsid w:val="00B76183"/>
    <w:rsid w:val="00B83881"/>
    <w:rsid w:val="00B90A10"/>
    <w:rsid w:val="00B93D14"/>
    <w:rsid w:val="00BA1F99"/>
    <w:rsid w:val="00BA2B2C"/>
    <w:rsid w:val="00BB0308"/>
    <w:rsid w:val="00BC72CA"/>
    <w:rsid w:val="00BD5E0A"/>
    <w:rsid w:val="00BE042F"/>
    <w:rsid w:val="00BF5F40"/>
    <w:rsid w:val="00C05EAB"/>
    <w:rsid w:val="00C2683A"/>
    <w:rsid w:val="00C42D03"/>
    <w:rsid w:val="00C77633"/>
    <w:rsid w:val="00CC0C79"/>
    <w:rsid w:val="00CC3541"/>
    <w:rsid w:val="00CC6905"/>
    <w:rsid w:val="00D16F7C"/>
    <w:rsid w:val="00D23C11"/>
    <w:rsid w:val="00D31A91"/>
    <w:rsid w:val="00D322B8"/>
    <w:rsid w:val="00D76498"/>
    <w:rsid w:val="00D778F5"/>
    <w:rsid w:val="00D811CA"/>
    <w:rsid w:val="00DC1226"/>
    <w:rsid w:val="00DD02D5"/>
    <w:rsid w:val="00DD1909"/>
    <w:rsid w:val="00E348B2"/>
    <w:rsid w:val="00E512AF"/>
    <w:rsid w:val="00E533B4"/>
    <w:rsid w:val="00E7359F"/>
    <w:rsid w:val="00E73E62"/>
    <w:rsid w:val="00E913C6"/>
    <w:rsid w:val="00E95096"/>
    <w:rsid w:val="00EA7982"/>
    <w:rsid w:val="00EE4F0C"/>
    <w:rsid w:val="00F14548"/>
    <w:rsid w:val="00F30598"/>
    <w:rsid w:val="00F43905"/>
    <w:rsid w:val="00F52343"/>
    <w:rsid w:val="00F55341"/>
    <w:rsid w:val="00F850E6"/>
    <w:rsid w:val="00F9029E"/>
    <w:rsid w:val="00FA2FCD"/>
    <w:rsid w:val="00FA5BC5"/>
    <w:rsid w:val="00FB099A"/>
    <w:rsid w:val="00FC5AB3"/>
    <w:rsid w:val="00FD3636"/>
    <w:rsid w:val="00FE158F"/>
    <w:rsid w:val="00FF7D9C"/>
    <w:rsid w:val="04A32E60"/>
    <w:rsid w:val="089774E9"/>
    <w:rsid w:val="0CCC2DFF"/>
    <w:rsid w:val="1677EFBD"/>
    <w:rsid w:val="1F19A075"/>
    <w:rsid w:val="5C042AE0"/>
    <w:rsid w:val="5DB3C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202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customStyle="1" w:styleId="UnresolvedMention1">
    <w:name w:val="Unresolved Mention1"/>
    <w:basedOn w:val="VarsaylanParagrafYazTipi"/>
    <w:uiPriority w:val="99"/>
    <w:semiHidden/>
    <w:unhideWhenUsed/>
    <w:rsid w:val="00BA1F99"/>
    <w:rPr>
      <w:color w:val="605E5C"/>
      <w:shd w:val="clear" w:color="auto" w:fill="E1DFDD"/>
    </w:rPr>
  </w:style>
  <w:style w:type="paragraph" w:customStyle="1" w:styleId="paragraph">
    <w:name w:val="paragraph"/>
    <w:basedOn w:val="Normal"/>
    <w:rsid w:val="001B5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B55F3"/>
  </w:style>
  <w:style w:type="character" w:customStyle="1" w:styleId="tabchar">
    <w:name w:val="tabchar"/>
    <w:basedOn w:val="VarsaylanParagrafYazTipi"/>
    <w:rsid w:val="001B55F3"/>
  </w:style>
  <w:style w:type="character" w:customStyle="1" w:styleId="eop">
    <w:name w:val="eop"/>
    <w:basedOn w:val="VarsaylanParagrafYazTipi"/>
    <w:rsid w:val="001B55F3"/>
  </w:style>
  <w:style w:type="character" w:customStyle="1" w:styleId="spellingerror">
    <w:name w:val="spellingerror"/>
    <w:basedOn w:val="VarsaylanParagrafYazTipi"/>
    <w:rsid w:val="001B55F3"/>
  </w:style>
  <w:style w:type="character" w:styleId="zmlenmeyenBahsetme">
    <w:name w:val="Unresolved Mention"/>
    <w:basedOn w:val="VarsaylanParagrafYazTipi"/>
    <w:uiPriority w:val="99"/>
    <w:semiHidden/>
    <w:unhideWhenUsed/>
    <w:rsid w:val="001B55F3"/>
    <w:rPr>
      <w:color w:val="605E5C"/>
      <w:shd w:val="clear" w:color="auto" w:fill="E1DFDD"/>
    </w:rPr>
  </w:style>
  <w:style w:type="table" w:styleId="TabloKlavuzu">
    <w:name w:val="Table Grid"/>
    <w:basedOn w:val="NormalTablo"/>
    <w:uiPriority w:val="39"/>
    <w:rsid w:val="008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202FA3"/>
    <w:rPr>
      <w:rFonts w:asciiTheme="majorHAnsi" w:eastAsiaTheme="majorEastAsia" w:hAnsiTheme="majorHAnsi" w:cstheme="majorBidi"/>
      <w:color w:val="2F5496" w:themeColor="accent1" w:themeShade="BF"/>
      <w:sz w:val="26"/>
      <w:szCs w:val="26"/>
    </w:rPr>
  </w:style>
  <w:style w:type="character" w:styleId="zlenenKpr">
    <w:name w:val="FollowedHyperlink"/>
    <w:basedOn w:val="VarsaylanParagrafYazTipi"/>
    <w:uiPriority w:val="99"/>
    <w:semiHidden/>
    <w:unhideWhenUsed/>
    <w:rsid w:val="00202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616372521">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3905085">
      <w:bodyDiv w:val="1"/>
      <w:marLeft w:val="0"/>
      <w:marRight w:val="0"/>
      <w:marTop w:val="0"/>
      <w:marBottom w:val="0"/>
      <w:divBdr>
        <w:top w:val="none" w:sz="0" w:space="0" w:color="auto"/>
        <w:left w:val="none" w:sz="0" w:space="0" w:color="auto"/>
        <w:bottom w:val="none" w:sz="0" w:space="0" w:color="auto"/>
        <w:right w:val="none" w:sz="0" w:space="0" w:color="auto"/>
      </w:divBdr>
      <w:divsChild>
        <w:div w:id="2082099716">
          <w:marLeft w:val="0"/>
          <w:marRight w:val="0"/>
          <w:marTop w:val="0"/>
          <w:marBottom w:val="0"/>
          <w:divBdr>
            <w:top w:val="none" w:sz="0" w:space="0" w:color="auto"/>
            <w:left w:val="none" w:sz="0" w:space="0" w:color="auto"/>
            <w:bottom w:val="none" w:sz="0" w:space="0" w:color="auto"/>
            <w:right w:val="none" w:sz="0" w:space="0" w:color="auto"/>
          </w:divBdr>
        </w:div>
        <w:div w:id="238291473">
          <w:marLeft w:val="0"/>
          <w:marRight w:val="0"/>
          <w:marTop w:val="0"/>
          <w:marBottom w:val="0"/>
          <w:divBdr>
            <w:top w:val="none" w:sz="0" w:space="0" w:color="auto"/>
            <w:left w:val="none" w:sz="0" w:space="0" w:color="auto"/>
            <w:bottom w:val="none" w:sz="0" w:space="0" w:color="auto"/>
            <w:right w:val="none" w:sz="0" w:space="0" w:color="auto"/>
          </w:divBdr>
        </w:div>
        <w:div w:id="1036854505">
          <w:marLeft w:val="0"/>
          <w:marRight w:val="0"/>
          <w:marTop w:val="0"/>
          <w:marBottom w:val="0"/>
          <w:divBdr>
            <w:top w:val="none" w:sz="0" w:space="0" w:color="auto"/>
            <w:left w:val="none" w:sz="0" w:space="0" w:color="auto"/>
            <w:bottom w:val="none" w:sz="0" w:space="0" w:color="auto"/>
            <w:right w:val="none" w:sz="0" w:space="0" w:color="auto"/>
          </w:divBdr>
        </w:div>
        <w:div w:id="162203053">
          <w:marLeft w:val="0"/>
          <w:marRight w:val="0"/>
          <w:marTop w:val="0"/>
          <w:marBottom w:val="0"/>
          <w:divBdr>
            <w:top w:val="none" w:sz="0" w:space="0" w:color="auto"/>
            <w:left w:val="none" w:sz="0" w:space="0" w:color="auto"/>
            <w:bottom w:val="none" w:sz="0" w:space="0" w:color="auto"/>
            <w:right w:val="none" w:sz="0" w:space="0" w:color="auto"/>
          </w:divBdr>
        </w:div>
        <w:div w:id="927734067">
          <w:marLeft w:val="0"/>
          <w:marRight w:val="0"/>
          <w:marTop w:val="0"/>
          <w:marBottom w:val="0"/>
          <w:divBdr>
            <w:top w:val="none" w:sz="0" w:space="0" w:color="auto"/>
            <w:left w:val="none" w:sz="0" w:space="0" w:color="auto"/>
            <w:bottom w:val="none" w:sz="0" w:space="0" w:color="auto"/>
            <w:right w:val="none" w:sz="0" w:space="0" w:color="auto"/>
          </w:divBdr>
        </w:div>
        <w:div w:id="1390347504">
          <w:marLeft w:val="0"/>
          <w:marRight w:val="0"/>
          <w:marTop w:val="0"/>
          <w:marBottom w:val="0"/>
          <w:divBdr>
            <w:top w:val="none" w:sz="0" w:space="0" w:color="auto"/>
            <w:left w:val="none" w:sz="0" w:space="0" w:color="auto"/>
            <w:bottom w:val="none" w:sz="0" w:space="0" w:color="auto"/>
            <w:right w:val="none" w:sz="0" w:space="0" w:color="auto"/>
          </w:divBdr>
        </w:div>
        <w:div w:id="100731223">
          <w:marLeft w:val="0"/>
          <w:marRight w:val="0"/>
          <w:marTop w:val="0"/>
          <w:marBottom w:val="0"/>
          <w:divBdr>
            <w:top w:val="none" w:sz="0" w:space="0" w:color="auto"/>
            <w:left w:val="none" w:sz="0" w:space="0" w:color="auto"/>
            <w:bottom w:val="none" w:sz="0" w:space="0" w:color="auto"/>
            <w:right w:val="none" w:sz="0" w:space="0" w:color="auto"/>
          </w:divBdr>
        </w:div>
      </w:divsChild>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e.ist/basv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e.i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pmg.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7EEE9-E2CC-4F9D-B4C2-870F3A1B06B1}">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5C48F258-1A9C-4FEE-BFC4-25BD576619F7}">
  <ds:schemaRefs>
    <ds:schemaRef ds:uri="http://schemas.openxmlformats.org/officeDocument/2006/bibliography"/>
  </ds:schemaRefs>
</ds:datastoreItem>
</file>

<file path=customXml/itemProps3.xml><?xml version="1.0" encoding="utf-8"?>
<ds:datastoreItem xmlns:ds="http://schemas.openxmlformats.org/officeDocument/2006/customXml" ds:itemID="{5714276B-4BFD-4050-BE40-AC94A9A7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A5539-B5DB-4264-8B7E-5662E82D2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4338</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3</cp:revision>
  <dcterms:created xsi:type="dcterms:W3CDTF">2022-08-25T14:22:00Z</dcterms:created>
  <dcterms:modified xsi:type="dcterms:W3CDTF">2022-08-26T07:07:00Z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