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1AEA" w14:textId="77777777" w:rsidR="00D17FE5" w:rsidRDefault="00AB727E" w:rsidP="00D17FE5">
      <w:pPr>
        <w:shd w:val="clear" w:color="auto" w:fill="FFFFFF"/>
        <w:spacing w:after="150" w:line="240" w:lineRule="auto"/>
        <w:rPr>
          <w:rFonts w:ascii="Tahoma" w:eastAsia="Tahoma" w:hAnsi="Tahoma" w:cs="Tahoma"/>
          <w:b/>
          <w:sz w:val="24"/>
          <w:szCs w:val="24"/>
        </w:rPr>
      </w:pPr>
      <w:r>
        <w:rPr>
          <w:rFonts w:ascii="Tahoma" w:hAnsi="Tahoma" w:cs="Tahoma"/>
          <w:noProof/>
          <w:sz w:val="24"/>
          <w:szCs w:val="24"/>
          <w:lang w:eastAsia="tr-TR"/>
        </w:rPr>
        <w:drawing>
          <wp:anchor distT="0" distB="0" distL="114300" distR="114300" simplePos="0" relativeHeight="251657216" behindDoc="1" locked="0" layoutInCell="1" allowOverlap="1" wp14:anchorId="782A8D24" wp14:editId="1375A4CD">
            <wp:simplePos x="0" y="0"/>
            <wp:positionH relativeFrom="column">
              <wp:posOffset>-107315</wp:posOffset>
            </wp:positionH>
            <wp:positionV relativeFrom="paragraph">
              <wp:posOffset>-221615</wp:posOffset>
            </wp:positionV>
            <wp:extent cx="2419985" cy="548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2154" b="41804"/>
                    <a:stretch/>
                  </pic:blipFill>
                  <pic:spPr bwMode="auto">
                    <a:xfrm>
                      <a:off x="0" y="0"/>
                      <a:ext cx="2419985" cy="548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F98203" w14:textId="77777777" w:rsidR="00D17FE5" w:rsidRDefault="00D17FE5" w:rsidP="00D17FE5">
      <w:pPr>
        <w:rPr>
          <w:rFonts w:ascii="Tahoma" w:eastAsia="Tahoma" w:hAnsi="Tahoma" w:cs="Tahoma"/>
          <w:b/>
          <w:u w:val="single"/>
        </w:rPr>
      </w:pPr>
    </w:p>
    <w:p w14:paraId="25FD826F" w14:textId="5213FFA0" w:rsidR="00D17FE5" w:rsidRDefault="00C54DCD" w:rsidP="00D17FE5">
      <w:pPr>
        <w:rPr>
          <w:rFonts w:ascii="Tahoma" w:eastAsia="Tahoma" w:hAnsi="Tahoma" w:cs="Tahoma"/>
          <w:b/>
          <w:u w:val="single"/>
        </w:rPr>
      </w:pPr>
      <w:r>
        <w:rPr>
          <w:rFonts w:ascii="Tahoma" w:eastAsia="Tahoma" w:hAnsi="Tahoma" w:cs="Tahoma"/>
          <w:b/>
          <w:u w:val="single"/>
        </w:rPr>
        <w:t>BASIN BÜLTENİ</w:t>
      </w:r>
      <w:r>
        <w:rPr>
          <w:rFonts w:ascii="Tahoma" w:eastAsia="Tahoma" w:hAnsi="Tahoma" w:cs="Tahoma"/>
          <w:b/>
          <w:u w:val="single"/>
        </w:rPr>
        <w:tab/>
      </w:r>
      <w:r>
        <w:rPr>
          <w:rFonts w:ascii="Tahoma" w:eastAsia="Tahoma" w:hAnsi="Tahoma" w:cs="Tahoma"/>
          <w:b/>
          <w:u w:val="single"/>
        </w:rPr>
        <w:tab/>
      </w:r>
      <w:r>
        <w:rPr>
          <w:rFonts w:ascii="Tahoma" w:eastAsia="Tahoma" w:hAnsi="Tahoma" w:cs="Tahoma"/>
          <w:b/>
          <w:u w:val="single"/>
        </w:rPr>
        <w:tab/>
      </w:r>
      <w:r>
        <w:rPr>
          <w:rFonts w:ascii="Tahoma" w:eastAsia="Tahoma" w:hAnsi="Tahoma" w:cs="Tahoma"/>
          <w:b/>
          <w:u w:val="single"/>
        </w:rPr>
        <w:tab/>
      </w:r>
      <w:r>
        <w:rPr>
          <w:rFonts w:ascii="Tahoma" w:eastAsia="Tahoma" w:hAnsi="Tahoma" w:cs="Tahoma"/>
          <w:b/>
          <w:u w:val="single"/>
        </w:rPr>
        <w:tab/>
      </w:r>
      <w:r>
        <w:rPr>
          <w:rFonts w:ascii="Tahoma" w:eastAsia="Tahoma" w:hAnsi="Tahoma" w:cs="Tahoma"/>
          <w:b/>
          <w:u w:val="single"/>
        </w:rPr>
        <w:tab/>
      </w:r>
      <w:r>
        <w:rPr>
          <w:rFonts w:ascii="Tahoma" w:eastAsia="Tahoma" w:hAnsi="Tahoma" w:cs="Tahoma"/>
          <w:b/>
          <w:u w:val="single"/>
        </w:rPr>
        <w:tab/>
      </w:r>
      <w:r w:rsidR="00DA4ACE">
        <w:rPr>
          <w:rFonts w:ascii="Tahoma" w:eastAsia="Tahoma" w:hAnsi="Tahoma" w:cs="Tahoma"/>
          <w:b/>
          <w:u w:val="single"/>
        </w:rPr>
        <w:t xml:space="preserve">      </w:t>
      </w:r>
      <w:r>
        <w:rPr>
          <w:rFonts w:ascii="Tahoma" w:eastAsia="Tahoma" w:hAnsi="Tahoma" w:cs="Tahoma"/>
          <w:b/>
          <w:u w:val="single"/>
        </w:rPr>
        <w:t xml:space="preserve">  </w:t>
      </w:r>
      <w:r w:rsidR="00180458">
        <w:rPr>
          <w:rFonts w:ascii="Tahoma" w:eastAsia="Tahoma" w:hAnsi="Tahoma" w:cs="Tahoma"/>
          <w:b/>
          <w:u w:val="single"/>
        </w:rPr>
        <w:t xml:space="preserve">  </w:t>
      </w:r>
      <w:r>
        <w:rPr>
          <w:rFonts w:ascii="Tahoma" w:eastAsia="Tahoma" w:hAnsi="Tahoma" w:cs="Tahoma"/>
          <w:b/>
          <w:u w:val="single"/>
        </w:rPr>
        <w:t xml:space="preserve"> </w:t>
      </w:r>
      <w:r w:rsidR="00D17FE5">
        <w:rPr>
          <w:rFonts w:ascii="Tahoma" w:eastAsia="Tahoma" w:hAnsi="Tahoma" w:cs="Tahoma"/>
          <w:b/>
          <w:u w:val="single"/>
        </w:rPr>
        <w:t xml:space="preserve"> </w:t>
      </w:r>
      <w:r w:rsidR="007A2B51">
        <w:rPr>
          <w:rFonts w:ascii="Tahoma" w:eastAsia="Tahoma" w:hAnsi="Tahoma" w:cs="Tahoma"/>
          <w:b/>
          <w:u w:val="single"/>
        </w:rPr>
        <w:t>23</w:t>
      </w:r>
      <w:r w:rsidR="00D17FE5">
        <w:rPr>
          <w:rFonts w:ascii="Tahoma" w:eastAsia="Tahoma" w:hAnsi="Tahoma" w:cs="Tahoma"/>
          <w:b/>
          <w:u w:val="single"/>
        </w:rPr>
        <w:t xml:space="preserve"> </w:t>
      </w:r>
      <w:r w:rsidR="006558A6">
        <w:rPr>
          <w:rFonts w:ascii="Tahoma" w:eastAsia="Tahoma" w:hAnsi="Tahoma" w:cs="Tahoma"/>
          <w:b/>
          <w:u w:val="single"/>
        </w:rPr>
        <w:t>Aralık 2021</w:t>
      </w:r>
    </w:p>
    <w:p w14:paraId="0981B1E5" w14:textId="2220FCE5" w:rsidR="002709BF" w:rsidRPr="002709BF" w:rsidRDefault="005C79A8" w:rsidP="002709BF">
      <w:pPr>
        <w:jc w:val="center"/>
        <w:rPr>
          <w:rFonts w:ascii="Tahoma" w:hAnsi="Tahoma" w:cs="Tahoma"/>
          <w:b/>
          <w:sz w:val="30"/>
          <w:szCs w:val="30"/>
        </w:rPr>
      </w:pPr>
      <w:r>
        <w:rPr>
          <w:rFonts w:ascii="Tahoma" w:hAnsi="Tahoma" w:cs="Tahoma"/>
          <w:b/>
          <w:sz w:val="30"/>
          <w:szCs w:val="30"/>
        </w:rPr>
        <w:t>Uzmanlar b</w:t>
      </w:r>
      <w:r w:rsidR="00BC29FE">
        <w:rPr>
          <w:rFonts w:ascii="Tahoma" w:hAnsi="Tahoma" w:cs="Tahoma"/>
          <w:b/>
          <w:sz w:val="30"/>
          <w:szCs w:val="30"/>
        </w:rPr>
        <w:t>lok</w:t>
      </w:r>
      <w:r w:rsidR="000C6A8C">
        <w:rPr>
          <w:rFonts w:ascii="Tahoma" w:hAnsi="Tahoma" w:cs="Tahoma"/>
          <w:b/>
          <w:sz w:val="30"/>
          <w:szCs w:val="30"/>
        </w:rPr>
        <w:t xml:space="preserve"> </w:t>
      </w:r>
      <w:r w:rsidR="00BC29FE">
        <w:rPr>
          <w:rFonts w:ascii="Tahoma" w:hAnsi="Tahoma" w:cs="Tahoma"/>
          <w:b/>
          <w:sz w:val="30"/>
          <w:szCs w:val="30"/>
        </w:rPr>
        <w:t>zinciri</w:t>
      </w:r>
      <w:r>
        <w:rPr>
          <w:rFonts w:ascii="Tahoma" w:hAnsi="Tahoma" w:cs="Tahoma"/>
          <w:b/>
          <w:sz w:val="30"/>
          <w:szCs w:val="30"/>
        </w:rPr>
        <w:t xml:space="preserve">nin </w:t>
      </w:r>
      <w:r w:rsidR="00BC29FE">
        <w:rPr>
          <w:rFonts w:ascii="Tahoma" w:hAnsi="Tahoma" w:cs="Tahoma"/>
          <w:b/>
          <w:sz w:val="30"/>
          <w:szCs w:val="30"/>
        </w:rPr>
        <w:t>e</w:t>
      </w:r>
      <w:r w:rsidR="00EA67A1">
        <w:rPr>
          <w:rFonts w:ascii="Tahoma" w:hAnsi="Tahoma" w:cs="Tahoma"/>
          <w:b/>
          <w:sz w:val="30"/>
          <w:szCs w:val="30"/>
        </w:rPr>
        <w:t>nerji</w:t>
      </w:r>
      <w:r w:rsidR="00BC29FE">
        <w:rPr>
          <w:rFonts w:ascii="Tahoma" w:hAnsi="Tahoma" w:cs="Tahoma"/>
          <w:b/>
          <w:sz w:val="30"/>
          <w:szCs w:val="30"/>
        </w:rPr>
        <w:t xml:space="preserve"> sektörüne</w:t>
      </w:r>
      <w:r w:rsidR="00EA67A1">
        <w:rPr>
          <w:rFonts w:ascii="Tahoma" w:hAnsi="Tahoma" w:cs="Tahoma"/>
          <w:b/>
          <w:sz w:val="30"/>
          <w:szCs w:val="30"/>
        </w:rPr>
        <w:t xml:space="preserve"> </w:t>
      </w:r>
      <w:r w:rsidR="00BC29FE">
        <w:rPr>
          <w:rFonts w:ascii="Tahoma" w:hAnsi="Tahoma" w:cs="Tahoma"/>
          <w:b/>
          <w:sz w:val="30"/>
          <w:szCs w:val="30"/>
        </w:rPr>
        <w:t xml:space="preserve">yönelik </w:t>
      </w:r>
      <w:r>
        <w:rPr>
          <w:rFonts w:ascii="Tahoma" w:hAnsi="Tahoma" w:cs="Tahoma"/>
          <w:b/>
          <w:sz w:val="30"/>
          <w:szCs w:val="30"/>
        </w:rPr>
        <w:t>uygulamalarını masaya yatıracak</w:t>
      </w:r>
      <w:r w:rsidR="00BC29FE">
        <w:rPr>
          <w:rFonts w:ascii="Tahoma" w:hAnsi="Tahoma" w:cs="Tahoma"/>
          <w:b/>
          <w:sz w:val="30"/>
          <w:szCs w:val="30"/>
        </w:rPr>
        <w:t xml:space="preserve"> </w:t>
      </w:r>
    </w:p>
    <w:p w14:paraId="063D3F0E" w14:textId="5BAD918B" w:rsidR="00BC29FE" w:rsidRDefault="00BC29FE" w:rsidP="00902589">
      <w:pPr>
        <w:jc w:val="center"/>
        <w:rPr>
          <w:rFonts w:ascii="Tahoma" w:hAnsi="Tahoma" w:cs="Tahoma"/>
          <w:b/>
          <w:sz w:val="24"/>
          <w:szCs w:val="24"/>
        </w:rPr>
      </w:pPr>
      <w:r>
        <w:rPr>
          <w:rFonts w:ascii="Tahoma" w:hAnsi="Tahoma" w:cs="Tahoma"/>
          <w:b/>
          <w:sz w:val="24"/>
          <w:szCs w:val="24"/>
        </w:rPr>
        <w:t xml:space="preserve">Bir </w:t>
      </w:r>
      <w:r w:rsidR="002709BF" w:rsidRPr="008D6AC0">
        <w:rPr>
          <w:rFonts w:ascii="Tahoma" w:hAnsi="Tahoma" w:cs="Tahoma"/>
          <w:b/>
          <w:sz w:val="24"/>
          <w:szCs w:val="24"/>
        </w:rPr>
        <w:t>Türkiye Bilişim Vakfı</w:t>
      </w:r>
      <w:r w:rsidR="00B57CBF" w:rsidRPr="008D6AC0">
        <w:rPr>
          <w:rFonts w:ascii="Tahoma" w:hAnsi="Tahoma" w:cs="Tahoma"/>
          <w:b/>
          <w:sz w:val="24"/>
          <w:szCs w:val="24"/>
        </w:rPr>
        <w:t xml:space="preserve"> </w:t>
      </w:r>
      <w:r w:rsidRPr="008D6AC0">
        <w:rPr>
          <w:rFonts w:ascii="Tahoma" w:hAnsi="Tahoma" w:cs="Tahoma"/>
          <w:b/>
          <w:sz w:val="24"/>
          <w:szCs w:val="24"/>
        </w:rPr>
        <w:t>inisiyatifi</w:t>
      </w:r>
      <w:r w:rsidR="00B57CBF" w:rsidRPr="008D6AC0">
        <w:rPr>
          <w:rFonts w:ascii="Tahoma" w:hAnsi="Tahoma" w:cs="Tahoma"/>
          <w:b/>
          <w:sz w:val="24"/>
          <w:szCs w:val="24"/>
        </w:rPr>
        <w:t xml:space="preserve"> olan </w:t>
      </w:r>
      <w:r w:rsidR="00423B2D" w:rsidRPr="008D6AC0">
        <w:rPr>
          <w:rFonts w:ascii="Tahoma" w:hAnsi="Tahoma" w:cs="Tahoma"/>
          <w:b/>
          <w:sz w:val="24"/>
          <w:szCs w:val="24"/>
        </w:rPr>
        <w:t>Blockchain Türkiye Platformu</w:t>
      </w:r>
      <w:r w:rsidR="002202E1">
        <w:rPr>
          <w:rFonts w:ascii="Tahoma" w:hAnsi="Tahoma" w:cs="Tahoma"/>
          <w:b/>
          <w:sz w:val="24"/>
          <w:szCs w:val="24"/>
        </w:rPr>
        <w:t xml:space="preserve">’nun </w:t>
      </w:r>
      <w:r>
        <w:rPr>
          <w:rFonts w:ascii="Tahoma" w:hAnsi="Tahoma" w:cs="Tahoma"/>
          <w:b/>
          <w:sz w:val="24"/>
          <w:szCs w:val="24"/>
        </w:rPr>
        <w:t xml:space="preserve">24 Aralık Cuma günü düzenleyeceği  </w:t>
      </w:r>
      <w:r w:rsidRPr="00A479E9">
        <w:rPr>
          <w:rFonts w:ascii="Tahoma" w:hAnsi="Tahoma" w:cs="Tahoma"/>
          <w:b/>
          <w:sz w:val="24"/>
          <w:szCs w:val="24"/>
        </w:rPr>
        <w:t>“Enerji Sektöründe Blockchain Kullanım Alanları ve Ekosistem”</w:t>
      </w:r>
      <w:r>
        <w:rPr>
          <w:rFonts w:ascii="Tahoma" w:hAnsi="Tahoma" w:cs="Tahoma"/>
          <w:b/>
          <w:sz w:val="24"/>
          <w:szCs w:val="24"/>
        </w:rPr>
        <w:t xml:space="preserve"> webinarında, enerji sektöründe</w:t>
      </w:r>
      <w:r w:rsidRPr="008D6AC0">
        <w:rPr>
          <w:rFonts w:ascii="Tahoma" w:hAnsi="Tahoma" w:cs="Tahoma"/>
          <w:b/>
          <w:sz w:val="24"/>
          <w:szCs w:val="24"/>
        </w:rPr>
        <w:t xml:space="preserve"> blok</w:t>
      </w:r>
      <w:r w:rsidR="000C6A8C">
        <w:rPr>
          <w:rFonts w:ascii="Tahoma" w:hAnsi="Tahoma" w:cs="Tahoma"/>
          <w:b/>
          <w:sz w:val="24"/>
          <w:szCs w:val="24"/>
        </w:rPr>
        <w:t xml:space="preserve"> </w:t>
      </w:r>
      <w:r w:rsidRPr="008D6AC0">
        <w:rPr>
          <w:rFonts w:ascii="Tahoma" w:hAnsi="Tahoma" w:cs="Tahoma"/>
          <w:b/>
          <w:sz w:val="24"/>
          <w:szCs w:val="24"/>
        </w:rPr>
        <w:t xml:space="preserve">zinciri </w:t>
      </w:r>
      <w:r>
        <w:rPr>
          <w:rFonts w:ascii="Tahoma" w:hAnsi="Tahoma" w:cs="Tahoma"/>
          <w:b/>
          <w:sz w:val="24"/>
          <w:szCs w:val="24"/>
        </w:rPr>
        <w:t>tabanlı kullanım senaryoları ele alınacak.</w:t>
      </w:r>
    </w:p>
    <w:p w14:paraId="3DD20215" w14:textId="6867DC1B" w:rsidR="002709BF" w:rsidRPr="00763F9A" w:rsidRDefault="005C3764" w:rsidP="00763F9A">
      <w:pPr>
        <w:rPr>
          <w:rFonts w:ascii="Tahoma" w:hAnsi="Tahoma" w:cs="Tahoma"/>
        </w:rPr>
      </w:pPr>
      <w:r w:rsidRPr="00763F9A">
        <w:rPr>
          <w:rFonts w:ascii="Tahoma" w:hAnsi="Tahoma" w:cs="Tahoma"/>
        </w:rPr>
        <w:t>Türkiye Bilişim Vakfı (TBV) liderliğinde Türkiye’de sürdürülebilir bir blok</w:t>
      </w:r>
      <w:r w:rsidR="000C6A8C">
        <w:rPr>
          <w:rFonts w:ascii="Tahoma" w:hAnsi="Tahoma" w:cs="Tahoma"/>
        </w:rPr>
        <w:t xml:space="preserve"> </w:t>
      </w:r>
      <w:r w:rsidRPr="00763F9A">
        <w:rPr>
          <w:rFonts w:ascii="Tahoma" w:hAnsi="Tahoma" w:cs="Tahoma"/>
        </w:rPr>
        <w:t xml:space="preserve">zinciri ekosistemi oluşturmayı hedefleyen </w:t>
      </w:r>
      <w:r w:rsidR="00D07A54" w:rsidRPr="00763F9A">
        <w:rPr>
          <w:rFonts w:ascii="Tahoma" w:hAnsi="Tahoma" w:cs="Tahoma"/>
        </w:rPr>
        <w:t>Blockchain Türkiye Platformu,</w:t>
      </w:r>
      <w:r w:rsidRPr="00763F9A">
        <w:rPr>
          <w:rFonts w:ascii="Tahoma" w:hAnsi="Tahoma" w:cs="Tahoma"/>
        </w:rPr>
        <w:t xml:space="preserve"> </w:t>
      </w:r>
      <w:r w:rsidR="00D07A54" w:rsidRPr="00763F9A">
        <w:rPr>
          <w:rFonts w:ascii="Tahoma" w:hAnsi="Tahoma" w:cs="Tahoma"/>
        </w:rPr>
        <w:t>e</w:t>
      </w:r>
      <w:r w:rsidR="006558A6" w:rsidRPr="00763F9A">
        <w:rPr>
          <w:rFonts w:ascii="Tahoma" w:hAnsi="Tahoma" w:cs="Tahoma"/>
        </w:rPr>
        <w:t xml:space="preserve">nerji sektöründe </w:t>
      </w:r>
      <w:r w:rsidR="00D07A54" w:rsidRPr="00763F9A">
        <w:rPr>
          <w:rFonts w:ascii="Tahoma" w:hAnsi="Tahoma" w:cs="Tahoma"/>
        </w:rPr>
        <w:t>b</w:t>
      </w:r>
      <w:r w:rsidR="006558A6" w:rsidRPr="00763F9A">
        <w:rPr>
          <w:rFonts w:ascii="Tahoma" w:hAnsi="Tahoma" w:cs="Tahoma"/>
        </w:rPr>
        <w:t>lokzinciri</w:t>
      </w:r>
      <w:r w:rsidR="00D07A54" w:rsidRPr="00763F9A">
        <w:rPr>
          <w:rFonts w:ascii="Tahoma" w:hAnsi="Tahoma" w:cs="Tahoma"/>
        </w:rPr>
        <w:t xml:space="preserve"> kullanımı</w:t>
      </w:r>
      <w:r w:rsidR="00A479E9">
        <w:rPr>
          <w:rFonts w:ascii="Tahoma" w:hAnsi="Tahoma" w:cs="Tahoma"/>
        </w:rPr>
        <w:t xml:space="preserve"> </w:t>
      </w:r>
      <w:r w:rsidR="00D07A54" w:rsidRPr="00763F9A">
        <w:rPr>
          <w:rFonts w:ascii="Tahoma" w:hAnsi="Tahoma" w:cs="Tahoma"/>
        </w:rPr>
        <w:t>ve</w:t>
      </w:r>
      <w:r w:rsidR="006558A6" w:rsidRPr="00763F9A">
        <w:rPr>
          <w:rFonts w:ascii="Tahoma" w:hAnsi="Tahoma" w:cs="Tahoma"/>
        </w:rPr>
        <w:t xml:space="preserve"> uygulamaları</w:t>
      </w:r>
      <w:r w:rsidR="00D07A54" w:rsidRPr="00763F9A">
        <w:rPr>
          <w:rFonts w:ascii="Tahoma" w:hAnsi="Tahoma" w:cs="Tahoma"/>
        </w:rPr>
        <w:t>na yönelik çalışmalarını sürdürüyor</w:t>
      </w:r>
      <w:r w:rsidR="00C84054" w:rsidRPr="00763F9A">
        <w:rPr>
          <w:rFonts w:ascii="Tahoma" w:hAnsi="Tahoma" w:cs="Tahoma"/>
        </w:rPr>
        <w:t>.</w:t>
      </w:r>
      <w:r w:rsidR="002709BF" w:rsidRPr="00763F9A">
        <w:rPr>
          <w:rFonts w:ascii="Tahoma" w:hAnsi="Tahoma" w:cs="Tahoma"/>
        </w:rPr>
        <w:t xml:space="preserve"> </w:t>
      </w:r>
      <w:r w:rsidR="00D07A54" w:rsidRPr="00763F9A">
        <w:rPr>
          <w:rFonts w:ascii="Tahoma" w:hAnsi="Tahoma" w:cs="Tahoma"/>
        </w:rPr>
        <w:t xml:space="preserve">Blockchain Türkiye Platformu </w:t>
      </w:r>
      <w:r w:rsidR="006558A6" w:rsidRPr="00763F9A">
        <w:rPr>
          <w:rFonts w:ascii="Tahoma" w:hAnsi="Tahoma" w:cs="Tahoma"/>
        </w:rPr>
        <w:t>Enerji</w:t>
      </w:r>
      <w:r w:rsidR="00D07A54" w:rsidRPr="00763F9A">
        <w:rPr>
          <w:rFonts w:ascii="Tahoma" w:hAnsi="Tahoma" w:cs="Tahoma"/>
        </w:rPr>
        <w:t xml:space="preserve"> Çalışma Grubu tarafından 24 Aralık’ta düzenlenecek olan “Enerji Sektöründe Blockchain Kullanım Alanları ve Ekosistem” webinarında blok</w:t>
      </w:r>
      <w:r w:rsidR="000C6A8C">
        <w:rPr>
          <w:rFonts w:ascii="Tahoma" w:hAnsi="Tahoma" w:cs="Tahoma"/>
        </w:rPr>
        <w:t xml:space="preserve"> </w:t>
      </w:r>
      <w:r w:rsidR="00D07A54" w:rsidRPr="00763F9A">
        <w:rPr>
          <w:rFonts w:ascii="Tahoma" w:hAnsi="Tahoma" w:cs="Tahoma"/>
        </w:rPr>
        <w:t xml:space="preserve">zinciri uygulamalarının enerji sektörüne </w:t>
      </w:r>
      <w:r w:rsidR="008C308B" w:rsidRPr="00763F9A">
        <w:rPr>
          <w:rFonts w:ascii="Tahoma" w:hAnsi="Tahoma" w:cs="Tahoma"/>
        </w:rPr>
        <w:t xml:space="preserve">sağlayacağı katkılar uzmanlar, düzenleyiciler ve sektör profesyonellerinin katılımıyla masaya yatırılacak. </w:t>
      </w:r>
      <w:r w:rsidR="00D07A54" w:rsidRPr="00763F9A">
        <w:rPr>
          <w:rFonts w:ascii="Tahoma" w:hAnsi="Tahoma" w:cs="Tahoma"/>
        </w:rPr>
        <w:t xml:space="preserve">  </w:t>
      </w:r>
    </w:p>
    <w:p w14:paraId="4B838996" w14:textId="33543CEE" w:rsidR="00376E77" w:rsidRPr="00763F9A" w:rsidRDefault="00376E77" w:rsidP="00763F9A">
      <w:pPr>
        <w:rPr>
          <w:rFonts w:ascii="Tahoma" w:hAnsi="Tahoma" w:cs="Tahoma"/>
        </w:rPr>
      </w:pPr>
      <w:r w:rsidRPr="00763F9A">
        <w:rPr>
          <w:rFonts w:ascii="Tahoma" w:hAnsi="Tahoma" w:cs="Tahoma"/>
        </w:rPr>
        <w:t>KPMG Türkiye Şirket Ortağı</w:t>
      </w:r>
      <w:r w:rsidR="000C6A8C">
        <w:rPr>
          <w:rFonts w:ascii="Tahoma" w:hAnsi="Tahoma" w:cs="Tahoma"/>
        </w:rPr>
        <w:t xml:space="preserve">, </w:t>
      </w:r>
      <w:r w:rsidRPr="00763F9A">
        <w:rPr>
          <w:rFonts w:ascii="Tahoma" w:hAnsi="Tahoma" w:cs="Tahoma"/>
        </w:rPr>
        <w:t>Veri</w:t>
      </w:r>
      <w:r w:rsidR="000C6A8C">
        <w:rPr>
          <w:rFonts w:ascii="Tahoma" w:hAnsi="Tahoma" w:cs="Tahoma"/>
        </w:rPr>
        <w:t xml:space="preserve">, </w:t>
      </w:r>
      <w:r w:rsidRPr="00763F9A">
        <w:rPr>
          <w:rFonts w:ascii="Tahoma" w:hAnsi="Tahoma" w:cs="Tahoma"/>
        </w:rPr>
        <w:t xml:space="preserve">Analitik ve Dijital Lideri Gökhan Mataracı’nın </w:t>
      </w:r>
      <w:r w:rsidR="00A479E9">
        <w:rPr>
          <w:rFonts w:ascii="Tahoma" w:hAnsi="Tahoma" w:cs="Tahoma"/>
        </w:rPr>
        <w:t>moderatörlüğünde</w:t>
      </w:r>
      <w:r w:rsidRPr="00763F9A">
        <w:rPr>
          <w:rFonts w:ascii="Tahoma" w:hAnsi="Tahoma" w:cs="Tahoma"/>
        </w:rPr>
        <w:t xml:space="preserve"> düzenlenecek webinarda Enerjisa Enerji Dağıtık Üretim ve E-Mobilite Grup Müdürü Mustafa Daldal ve Koç Sistem Kıdemli Pazar Geliştirme Yöneticisi -Ürün Sahibi Hakan Ekşioğlu konuşmacı olarak yer alacak. </w:t>
      </w:r>
    </w:p>
    <w:p w14:paraId="3FF8A5B3" w14:textId="6E808582" w:rsidR="007F31C2" w:rsidRPr="00763F9A" w:rsidRDefault="007F31C2" w:rsidP="00A479E9">
      <w:pPr>
        <w:tabs>
          <w:tab w:val="left" w:pos="3825"/>
        </w:tabs>
        <w:spacing w:before="200"/>
        <w:rPr>
          <w:rFonts w:ascii="Tahoma" w:hAnsi="Tahoma" w:cs="Tahoma"/>
        </w:rPr>
      </w:pPr>
      <w:r w:rsidRPr="00763F9A">
        <w:rPr>
          <w:rFonts w:ascii="Tahoma" w:hAnsi="Tahoma" w:cs="Tahoma"/>
        </w:rPr>
        <w:t>Blok</w:t>
      </w:r>
      <w:r w:rsidR="000C6A8C">
        <w:rPr>
          <w:rFonts w:ascii="Tahoma" w:hAnsi="Tahoma" w:cs="Tahoma"/>
        </w:rPr>
        <w:t xml:space="preserve"> </w:t>
      </w:r>
      <w:r w:rsidRPr="00763F9A">
        <w:rPr>
          <w:rFonts w:ascii="Tahoma" w:hAnsi="Tahoma" w:cs="Tahoma"/>
        </w:rPr>
        <w:t xml:space="preserve">zinciri tabanlı enerji kullanım senaryolarının hız, şeffaflık ve güven oluşturmanın yanı sıra </w:t>
      </w:r>
      <w:r w:rsidR="0077558B" w:rsidRPr="00763F9A">
        <w:rPr>
          <w:rFonts w:ascii="Tahoma" w:hAnsi="Tahoma" w:cs="Tahoma"/>
        </w:rPr>
        <w:t>maliyetleri</w:t>
      </w:r>
      <w:r w:rsidRPr="00763F9A">
        <w:rPr>
          <w:rFonts w:ascii="Tahoma" w:hAnsi="Tahoma" w:cs="Tahoma"/>
        </w:rPr>
        <w:t xml:space="preserve"> de azalttığını vurgulayan Gökhan Mataracı, şu açıklamayı yaptı: “Blok</w:t>
      </w:r>
      <w:r w:rsidR="000C6A8C">
        <w:rPr>
          <w:rFonts w:ascii="Tahoma" w:hAnsi="Tahoma" w:cs="Tahoma"/>
        </w:rPr>
        <w:t xml:space="preserve"> </w:t>
      </w:r>
      <w:r w:rsidRPr="00763F9A">
        <w:rPr>
          <w:rFonts w:ascii="Tahoma" w:hAnsi="Tahoma" w:cs="Tahoma"/>
        </w:rPr>
        <w:t>zinciri, akıllı sözleşme yapıs</w:t>
      </w:r>
      <w:r w:rsidR="00763F9A" w:rsidRPr="00763F9A">
        <w:rPr>
          <w:rFonts w:ascii="Tahoma" w:hAnsi="Tahoma" w:cs="Tahoma"/>
        </w:rPr>
        <w:t>ı</w:t>
      </w:r>
      <w:r w:rsidRPr="00763F9A">
        <w:rPr>
          <w:rFonts w:ascii="Tahoma" w:hAnsi="Tahoma" w:cs="Tahoma"/>
        </w:rPr>
        <w:t xml:space="preserve"> sayesinde aracıları ortadan kaldırma, şeffaf ve değiştirilemez kayıtlar sağlama, yüksek güvenlik önemleri ve işlemleri otomatikleştirebilme yeteneği </w:t>
      </w:r>
      <w:r w:rsidR="00763F9A" w:rsidRPr="00763F9A">
        <w:rPr>
          <w:rFonts w:ascii="Tahoma" w:hAnsi="Tahoma" w:cs="Tahoma"/>
        </w:rPr>
        <w:t xml:space="preserve">sunarak </w:t>
      </w:r>
      <w:r w:rsidRPr="00763F9A">
        <w:rPr>
          <w:rFonts w:ascii="Tahoma" w:hAnsi="Tahoma" w:cs="Tahoma"/>
        </w:rPr>
        <w:t>enerji sektöründe önemli bir araç olma potansiyelini taşıyor. Blockchain Türkiye Platformu Enerji Çalışma Grubu olarak</w:t>
      </w:r>
      <w:r w:rsidR="00902589">
        <w:rPr>
          <w:rFonts w:ascii="Tahoma" w:hAnsi="Tahoma" w:cs="Tahoma"/>
        </w:rPr>
        <w:t>,</w:t>
      </w:r>
      <w:r w:rsidRPr="00763F9A">
        <w:rPr>
          <w:rFonts w:ascii="Tahoma" w:hAnsi="Tahoma" w:cs="Tahoma"/>
        </w:rPr>
        <w:t xml:space="preserve"> </w:t>
      </w:r>
      <w:r w:rsidR="00763F9A" w:rsidRPr="00763F9A">
        <w:rPr>
          <w:rFonts w:ascii="Tahoma" w:hAnsi="Tahoma" w:cs="Tahoma"/>
        </w:rPr>
        <w:t xml:space="preserve">şeffaflığın önemli bir değer ve ihtiyaç olduğu enerji sektöründe işlem kayıtlarının ve güncelleştirmelerinin merkeziyetsiz bir yapıya kavuşmasına yönelik yöntem ve uygulamalar üzerinde çalışmaya devam ediyoruz.” </w:t>
      </w:r>
    </w:p>
    <w:p w14:paraId="583C9A5C" w14:textId="3BB176A2" w:rsidR="00E35D33" w:rsidRPr="00763F9A" w:rsidRDefault="00763F9A" w:rsidP="00763F9A">
      <w:pPr>
        <w:rPr>
          <w:rFonts w:ascii="Tahoma" w:hAnsi="Tahoma" w:cs="Tahoma"/>
        </w:rPr>
      </w:pPr>
      <w:r w:rsidRPr="00763F9A">
        <w:rPr>
          <w:rFonts w:ascii="Tahoma" w:hAnsi="Tahoma" w:cs="Tahoma"/>
        </w:rPr>
        <w:t>Enerji Sektöründe Blockchain Kullanım Alanları ve Ekosistem</w:t>
      </w:r>
      <w:r w:rsidRPr="00763F9A" w:rsidDel="00376E77">
        <w:rPr>
          <w:rFonts w:ascii="Tahoma" w:hAnsi="Tahoma" w:cs="Tahoma"/>
        </w:rPr>
        <w:t xml:space="preserve"> </w:t>
      </w:r>
      <w:r w:rsidR="000C6A8C">
        <w:rPr>
          <w:rFonts w:ascii="Tahoma" w:hAnsi="Tahoma" w:cs="Tahoma"/>
        </w:rPr>
        <w:t>w</w:t>
      </w:r>
      <w:r w:rsidR="002709BF" w:rsidRPr="00763F9A">
        <w:rPr>
          <w:rFonts w:ascii="Tahoma" w:hAnsi="Tahoma" w:cs="Tahoma"/>
        </w:rPr>
        <w:t>ebinar</w:t>
      </w:r>
      <w:r>
        <w:rPr>
          <w:rFonts w:ascii="Tahoma" w:hAnsi="Tahoma" w:cs="Tahoma"/>
        </w:rPr>
        <w:t>ı</w:t>
      </w:r>
      <w:r w:rsidR="003F4D21" w:rsidRPr="007A2B51">
        <w:rPr>
          <w:rFonts w:ascii="Tahoma" w:hAnsi="Tahoma" w:cs="Tahoma"/>
        </w:rPr>
        <w:t xml:space="preserve">, </w:t>
      </w:r>
      <w:r w:rsidR="006558A6" w:rsidRPr="007A2B51">
        <w:rPr>
          <w:rFonts w:ascii="Tahoma" w:hAnsi="Tahoma" w:cs="Tahoma"/>
        </w:rPr>
        <w:t>24 Aralık Cuma</w:t>
      </w:r>
      <w:r w:rsidR="002709BF" w:rsidRPr="007A2B51">
        <w:rPr>
          <w:rFonts w:ascii="Tahoma" w:hAnsi="Tahoma" w:cs="Tahoma"/>
        </w:rPr>
        <w:t xml:space="preserve"> günü saat </w:t>
      </w:r>
      <w:r w:rsidR="00807A3B" w:rsidRPr="007A2B51">
        <w:rPr>
          <w:rFonts w:ascii="Tahoma" w:hAnsi="Tahoma" w:cs="Tahoma"/>
        </w:rPr>
        <w:t>14</w:t>
      </w:r>
      <w:r w:rsidR="00E57DF0" w:rsidRPr="007A2B51">
        <w:rPr>
          <w:rFonts w:ascii="Tahoma" w:hAnsi="Tahoma" w:cs="Tahoma"/>
        </w:rPr>
        <w:t>.00</w:t>
      </w:r>
      <w:r w:rsidR="00C10795" w:rsidRPr="007A2B51">
        <w:rPr>
          <w:rFonts w:ascii="Tahoma" w:hAnsi="Tahoma" w:cs="Tahoma"/>
        </w:rPr>
        <w:t>’da</w:t>
      </w:r>
      <w:r w:rsidR="002709BF" w:rsidRPr="00763F9A">
        <w:rPr>
          <w:rFonts w:ascii="Tahoma" w:hAnsi="Tahoma" w:cs="Tahoma"/>
        </w:rPr>
        <w:t xml:space="preserve"> </w:t>
      </w:r>
      <w:hyperlink r:id="rId6" w:history="1">
        <w:r w:rsidR="003F4D21" w:rsidRPr="00763F9A">
          <w:rPr>
            <w:rStyle w:val="Kpr"/>
            <w:rFonts w:ascii="Tahoma" w:hAnsi="Tahoma" w:cs="Tahoma"/>
          </w:rPr>
          <w:t>BCTR Youtube kanalı</w:t>
        </w:r>
      </w:hyperlink>
      <w:r w:rsidR="003F4D21" w:rsidRPr="00763F9A">
        <w:rPr>
          <w:rFonts w:ascii="Tahoma" w:hAnsi="Tahoma" w:cs="Tahoma"/>
        </w:rPr>
        <w:t> üzerinden canlı yayı</w:t>
      </w:r>
      <w:r w:rsidR="00902589">
        <w:rPr>
          <w:rFonts w:ascii="Tahoma" w:hAnsi="Tahoma" w:cs="Tahoma"/>
        </w:rPr>
        <w:t>n</w:t>
      </w:r>
      <w:r w:rsidR="003F4D21" w:rsidRPr="00763F9A">
        <w:rPr>
          <w:rFonts w:ascii="Tahoma" w:hAnsi="Tahoma" w:cs="Tahoma"/>
        </w:rPr>
        <w:t>lanacak.</w:t>
      </w:r>
    </w:p>
    <w:p w14:paraId="3F5D0B04" w14:textId="77777777" w:rsidR="00EA67A1" w:rsidRPr="003F4D21" w:rsidRDefault="00EA67A1" w:rsidP="008D6AC0">
      <w:pPr>
        <w:jc w:val="both"/>
        <w:rPr>
          <w:rFonts w:ascii="Tahoma" w:hAnsi="Tahoma" w:cs="Tahoma"/>
          <w:sz w:val="24"/>
          <w:szCs w:val="24"/>
        </w:rPr>
      </w:pPr>
    </w:p>
    <w:p w14:paraId="57420EB6" w14:textId="77777777" w:rsidR="00E35D33" w:rsidRDefault="00E35D33" w:rsidP="00E35D33">
      <w:pPr>
        <w:jc w:val="both"/>
        <w:rPr>
          <w:rFonts w:ascii="Tahoma" w:eastAsia="Tahoma" w:hAnsi="Tahoma" w:cs="Tahoma"/>
          <w:b/>
          <w:sz w:val="18"/>
          <w:szCs w:val="18"/>
          <w:u w:val="single"/>
        </w:rPr>
      </w:pPr>
      <w:r>
        <w:rPr>
          <w:rFonts w:ascii="Tahoma" w:eastAsia="Tahoma" w:hAnsi="Tahoma" w:cs="Tahoma"/>
          <w:b/>
          <w:sz w:val="18"/>
          <w:szCs w:val="18"/>
          <w:u w:val="single"/>
        </w:rPr>
        <w:t>KPMG Hakkında</w:t>
      </w:r>
    </w:p>
    <w:p w14:paraId="1C3B4A57" w14:textId="77777777" w:rsidR="00E35D33" w:rsidRPr="00B43C88" w:rsidRDefault="00E35D33" w:rsidP="00E35D33">
      <w:pPr>
        <w:jc w:val="both"/>
        <w:rPr>
          <w:rFonts w:ascii="Tahoma" w:hAnsi="Tahoma" w:cs="Tahoma"/>
          <w:color w:val="000000" w:themeColor="text1"/>
          <w:sz w:val="18"/>
          <w:szCs w:val="18"/>
        </w:rPr>
      </w:pPr>
      <w:r w:rsidRPr="00B43C88">
        <w:rPr>
          <w:rFonts w:ascii="Tahoma" w:hAnsi="Tahoma" w:cs="Tahoma"/>
          <w:color w:val="000000" w:themeColor="text1"/>
          <w:sz w:val="18"/>
          <w:szCs w:val="18"/>
        </w:rPr>
        <w:t xml:space="preserve">Denetim, vergi ve danışmanlık hizmetleri sunan ve sektöründeki en büyük dört uluslararası şirketten biri olan KPMG, geçmişi 1867 yılına dayanan, üye firmalar ağı sistemiyle </w:t>
      </w:r>
      <w:r>
        <w:rPr>
          <w:rFonts w:ascii="Tahoma" w:hAnsi="Tahoma" w:cs="Tahoma"/>
          <w:color w:val="000000" w:themeColor="text1"/>
          <w:sz w:val="18"/>
          <w:szCs w:val="18"/>
        </w:rPr>
        <w:t>147 ülkede</w:t>
      </w:r>
      <w:r w:rsidRPr="00B43C88">
        <w:rPr>
          <w:rFonts w:ascii="Tahoma" w:hAnsi="Tahoma" w:cs="Tahoma"/>
          <w:color w:val="000000" w:themeColor="text1"/>
          <w:sz w:val="18"/>
          <w:szCs w:val="18"/>
        </w:rPr>
        <w:t xml:space="preserve"> 2</w:t>
      </w:r>
      <w:r>
        <w:rPr>
          <w:rFonts w:ascii="Tahoma" w:hAnsi="Tahoma" w:cs="Tahoma"/>
          <w:color w:val="000000" w:themeColor="text1"/>
          <w:sz w:val="18"/>
          <w:szCs w:val="18"/>
        </w:rPr>
        <w:t>20</w:t>
      </w:r>
      <w:r w:rsidRPr="00B43C88">
        <w:rPr>
          <w:rFonts w:ascii="Tahoma" w:hAnsi="Tahoma" w:cs="Tahoma"/>
          <w:color w:val="000000" w:themeColor="text1"/>
          <w:sz w:val="18"/>
          <w:szCs w:val="18"/>
        </w:rPr>
        <w:t xml:space="preserve"> binin üzerinde çalışanıyla finansal hizmetler, tüketici ürünleri, otomotiv, endüstriyel sektörlerden, gıda, perakende, enerji, telekomünikasyon, kimya gibi pek çok sektöre danışmanlık hizmeti veriyor. KPMG Türkiye ise İstanbul merk</w:t>
      </w:r>
      <w:r w:rsidR="00757939">
        <w:rPr>
          <w:rFonts w:ascii="Tahoma" w:hAnsi="Tahoma" w:cs="Tahoma"/>
          <w:color w:val="000000" w:themeColor="text1"/>
          <w:sz w:val="18"/>
          <w:szCs w:val="18"/>
        </w:rPr>
        <w:t xml:space="preserve">ez ofisinin yanı sıra Ankara , </w:t>
      </w:r>
      <w:r w:rsidRPr="00B43C88">
        <w:rPr>
          <w:rFonts w:ascii="Tahoma" w:hAnsi="Tahoma" w:cs="Tahoma"/>
          <w:color w:val="000000" w:themeColor="text1"/>
          <w:sz w:val="18"/>
          <w:szCs w:val="18"/>
        </w:rPr>
        <w:t>İzmir</w:t>
      </w:r>
      <w:r w:rsidR="00757939">
        <w:rPr>
          <w:rFonts w:ascii="Tahoma" w:hAnsi="Tahoma" w:cs="Tahoma"/>
          <w:color w:val="000000" w:themeColor="text1"/>
          <w:sz w:val="18"/>
          <w:szCs w:val="18"/>
        </w:rPr>
        <w:t xml:space="preserve"> ve Bursa</w:t>
      </w:r>
      <w:r w:rsidRPr="00B43C88">
        <w:rPr>
          <w:rFonts w:ascii="Tahoma" w:hAnsi="Tahoma" w:cs="Tahoma"/>
          <w:color w:val="000000" w:themeColor="text1"/>
          <w:sz w:val="18"/>
          <w:szCs w:val="18"/>
        </w:rPr>
        <w:t xml:space="preserve"> ofisleriyle, 1982 yılından beri </w:t>
      </w:r>
      <w:r>
        <w:rPr>
          <w:rFonts w:ascii="Tahoma" w:hAnsi="Tahoma" w:cs="Tahoma"/>
          <w:color w:val="000000" w:themeColor="text1"/>
          <w:sz w:val="18"/>
          <w:szCs w:val="18"/>
        </w:rPr>
        <w:t>1</w:t>
      </w:r>
      <w:r w:rsidRPr="00B43C88">
        <w:rPr>
          <w:rFonts w:ascii="Tahoma" w:hAnsi="Tahoma" w:cs="Tahoma"/>
          <w:color w:val="000000" w:themeColor="text1"/>
          <w:sz w:val="18"/>
          <w:szCs w:val="18"/>
        </w:rPr>
        <w:t xml:space="preserve">700 çalışanıyla her sektörden </w:t>
      </w:r>
      <w:r>
        <w:rPr>
          <w:rFonts w:ascii="Tahoma" w:hAnsi="Tahoma" w:cs="Tahoma"/>
          <w:color w:val="000000" w:themeColor="text1"/>
          <w:sz w:val="18"/>
          <w:szCs w:val="18"/>
        </w:rPr>
        <w:t>4</w:t>
      </w:r>
      <w:r w:rsidRPr="00B43C88">
        <w:rPr>
          <w:rFonts w:ascii="Tahoma" w:hAnsi="Tahoma" w:cs="Tahoma"/>
          <w:color w:val="000000" w:themeColor="text1"/>
          <w:sz w:val="18"/>
          <w:szCs w:val="18"/>
        </w:rPr>
        <w:t>000’</w:t>
      </w:r>
      <w:r>
        <w:rPr>
          <w:rFonts w:ascii="Tahoma" w:hAnsi="Tahoma" w:cs="Tahoma"/>
          <w:color w:val="000000" w:themeColor="text1"/>
          <w:sz w:val="18"/>
          <w:szCs w:val="18"/>
        </w:rPr>
        <w:t>i</w:t>
      </w:r>
      <w:r w:rsidRPr="00B43C88">
        <w:rPr>
          <w:rFonts w:ascii="Tahoma" w:hAnsi="Tahoma" w:cs="Tahoma"/>
          <w:color w:val="000000" w:themeColor="text1"/>
          <w:sz w:val="18"/>
          <w:szCs w:val="18"/>
        </w:rPr>
        <w:t xml:space="preserve">n üzerinde firmaya sektörler özelinde hizmet verirken, rekabette ihtiyaç duydukları endüstriyel trendler hakkında değer yaratan çözümler sunuyor. Detaylı bilgi için </w:t>
      </w:r>
      <w:hyperlink r:id="rId7" w:history="1">
        <w:r w:rsidRPr="00B43C88">
          <w:rPr>
            <w:rStyle w:val="Kpr"/>
            <w:rFonts w:ascii="Tahoma" w:hAnsi="Tahoma" w:cs="Tahoma"/>
            <w:color w:val="000000" w:themeColor="text1"/>
            <w:sz w:val="18"/>
            <w:szCs w:val="18"/>
          </w:rPr>
          <w:t>www.kpmg.com.tr</w:t>
        </w:r>
      </w:hyperlink>
      <w:r w:rsidRPr="00B43C88">
        <w:rPr>
          <w:rFonts w:ascii="Tahoma" w:hAnsi="Tahoma" w:cs="Tahoma"/>
          <w:color w:val="000000" w:themeColor="text1"/>
          <w:sz w:val="18"/>
          <w:szCs w:val="18"/>
        </w:rPr>
        <w:t xml:space="preserve"> adresine başvurabilirsiniz.</w:t>
      </w:r>
    </w:p>
    <w:p w14:paraId="299FA680" w14:textId="77777777" w:rsidR="00B25C38" w:rsidRDefault="00B25C38" w:rsidP="00B25C38">
      <w:pPr>
        <w:jc w:val="both"/>
        <w:rPr>
          <w:rFonts w:ascii="Tahoma" w:hAnsi="Tahoma" w:cs="Tahoma"/>
          <w:b/>
          <w:bCs/>
          <w:color w:val="000000" w:themeColor="text1"/>
          <w:sz w:val="18"/>
          <w:szCs w:val="18"/>
          <w:u w:val="single"/>
        </w:rPr>
      </w:pPr>
      <w:r>
        <w:rPr>
          <w:rFonts w:ascii="Tahoma" w:hAnsi="Tahoma" w:cs="Tahoma"/>
          <w:b/>
          <w:bCs/>
          <w:color w:val="000000" w:themeColor="text1"/>
          <w:sz w:val="18"/>
          <w:szCs w:val="18"/>
          <w:u w:val="single"/>
        </w:rPr>
        <w:lastRenderedPageBreak/>
        <w:t>BCTR Hakkında</w:t>
      </w:r>
    </w:p>
    <w:p w14:paraId="6CC34D7F" w14:textId="77777777" w:rsidR="00B25C38" w:rsidRDefault="00B25C38" w:rsidP="00B25C38">
      <w:pPr>
        <w:pStyle w:val="NormalWeb"/>
        <w:spacing w:before="0" w:beforeAutospacing="0" w:after="390" w:afterAutospacing="0"/>
        <w:rPr>
          <w:rFonts w:ascii="Tahoma" w:hAnsi="Tahoma" w:cs="Tahoma"/>
          <w:color w:val="000000" w:themeColor="text1"/>
          <w:sz w:val="18"/>
          <w:szCs w:val="18"/>
          <w:lang w:eastAsia="en-US"/>
        </w:rPr>
      </w:pPr>
      <w:r>
        <w:rPr>
          <w:rFonts w:ascii="Tahoma" w:hAnsi="Tahoma" w:cs="Tahoma"/>
          <w:b/>
          <w:bCs/>
          <w:color w:val="000000" w:themeColor="text1"/>
          <w:sz w:val="18"/>
          <w:szCs w:val="18"/>
          <w:lang w:eastAsia="en-US"/>
        </w:rPr>
        <w:t>Blockchain</w:t>
      </w:r>
      <w:r>
        <w:rPr>
          <w:rFonts w:ascii="Tahoma" w:hAnsi="Tahoma" w:cs="Tahoma"/>
          <w:color w:val="000000" w:themeColor="text1"/>
          <w:sz w:val="18"/>
          <w:szCs w:val="18"/>
          <w:lang w:eastAsia="en-US"/>
        </w:rPr>
        <w:t> teknolojisi başta iş dünyası olmak üzere, kamu ve bireysel yaşam üzerinde köklü etkilere sahip olma gücünü taşımaktadır. Bu güç sadece araç olarak yenilikçi bir teknoloji olmanın ötesinde düşünce yapısını ve iş süreçlerini yeniden tanımlamayı gerektirmektedir. </w:t>
      </w:r>
      <w:r>
        <w:rPr>
          <w:rFonts w:ascii="Tahoma" w:hAnsi="Tahoma" w:cs="Tahoma"/>
          <w:b/>
          <w:bCs/>
          <w:color w:val="000000" w:themeColor="text1"/>
          <w:sz w:val="18"/>
          <w:szCs w:val="18"/>
          <w:lang w:eastAsia="en-US"/>
        </w:rPr>
        <w:t>Blockchain Türkiye Platformu,</w:t>
      </w:r>
      <w:r>
        <w:rPr>
          <w:rFonts w:ascii="Tahoma" w:hAnsi="Tahoma" w:cs="Tahoma"/>
          <w:color w:val="000000" w:themeColor="text1"/>
          <w:sz w:val="18"/>
          <w:szCs w:val="18"/>
          <w:lang w:eastAsia="en-US"/>
        </w:rPr>
        <w:t xml:space="preserve"> 2018 yılında</w:t>
      </w:r>
      <w:r>
        <w:rPr>
          <w:rFonts w:ascii="Tahoma" w:hAnsi="Tahoma" w:cs="Tahoma"/>
          <w:b/>
          <w:bCs/>
          <w:color w:val="000000" w:themeColor="text1"/>
          <w:sz w:val="18"/>
          <w:szCs w:val="18"/>
          <w:lang w:eastAsia="en-US"/>
        </w:rPr>
        <w:t xml:space="preserve"> Türkiye Bilişim Vakfı (TBV) </w:t>
      </w:r>
      <w:r>
        <w:rPr>
          <w:rFonts w:ascii="Tahoma" w:hAnsi="Tahoma" w:cs="Tahoma"/>
          <w:color w:val="000000" w:themeColor="text1"/>
          <w:sz w:val="18"/>
          <w:szCs w:val="18"/>
          <w:lang w:eastAsia="en-US"/>
        </w:rPr>
        <w:t>liderliğinde ticari kaygılardan uzak bir çizgide ve bağımsız bir yapıda kurulmuştur. Platformun hedefi, Türkiye’de sürdürülebilir blockchain ekosistemi oluşturarak, bu teknoloji ile yeni dönem iş yapış biçimlerinin önündeki zorlukların giderilmesine yönelik bir paylaşım platformu oluşturmaktır.</w:t>
      </w:r>
    </w:p>
    <w:p w14:paraId="1B80E88A" w14:textId="77777777" w:rsidR="00E35D33" w:rsidRDefault="00E35D33" w:rsidP="00E35D33">
      <w:pPr>
        <w:pBdr>
          <w:top w:val="nil"/>
          <w:left w:val="nil"/>
          <w:bottom w:val="nil"/>
          <w:right w:val="nil"/>
          <w:between w:val="nil"/>
        </w:pBdr>
        <w:spacing w:after="0" w:line="240" w:lineRule="auto"/>
        <w:jc w:val="both"/>
        <w:rPr>
          <w:rFonts w:ascii="Tahoma" w:eastAsia="Tahoma" w:hAnsi="Tahoma" w:cs="Tahoma"/>
          <w:color w:val="000000"/>
        </w:rPr>
      </w:pPr>
    </w:p>
    <w:p w14:paraId="2A29A6FE" w14:textId="5F6994A4" w:rsidR="00BC29FE" w:rsidRPr="00A479E9" w:rsidRDefault="00E35D33" w:rsidP="00BC29FE">
      <w:pPr>
        <w:pBdr>
          <w:top w:val="nil"/>
          <w:left w:val="nil"/>
          <w:bottom w:val="nil"/>
          <w:right w:val="nil"/>
          <w:between w:val="nil"/>
        </w:pBdr>
        <w:spacing w:after="0" w:line="240" w:lineRule="auto"/>
        <w:jc w:val="both"/>
        <w:rPr>
          <w:rFonts w:ascii="Tahoma" w:eastAsia="Tahoma" w:hAnsi="Tahoma" w:cs="Tahoma"/>
          <w:b/>
          <w:color w:val="000000" w:themeColor="text1"/>
          <w:sz w:val="18"/>
          <w:szCs w:val="18"/>
        </w:rPr>
      </w:pPr>
      <w:r w:rsidRPr="0013611F">
        <w:rPr>
          <w:rFonts w:ascii="Tahoma" w:eastAsia="Tahoma" w:hAnsi="Tahoma" w:cs="Tahoma"/>
          <w:b/>
          <w:color w:val="FF0000"/>
          <w:sz w:val="18"/>
          <w:szCs w:val="18"/>
        </w:rPr>
        <w:t xml:space="preserve">Bilgi İçin: </w:t>
      </w:r>
      <w:r w:rsidR="00BC29FE" w:rsidRPr="00A479E9">
        <w:rPr>
          <w:rFonts w:ascii="Tahoma" w:eastAsia="Tahoma" w:hAnsi="Tahoma" w:cs="Tahoma"/>
          <w:b/>
          <w:color w:val="000000" w:themeColor="text1"/>
          <w:sz w:val="18"/>
          <w:szCs w:val="18"/>
        </w:rPr>
        <w:tab/>
      </w:r>
    </w:p>
    <w:p w14:paraId="1AF82B3A" w14:textId="1BD7B2F3" w:rsidR="00BC29FE" w:rsidRDefault="00BC29FE" w:rsidP="00BC29FE">
      <w:pPr>
        <w:pBdr>
          <w:top w:val="nil"/>
          <w:left w:val="nil"/>
          <w:bottom w:val="nil"/>
          <w:right w:val="nil"/>
          <w:between w:val="nil"/>
        </w:pBdr>
        <w:spacing w:after="0" w:line="240" w:lineRule="auto"/>
        <w:jc w:val="both"/>
        <w:rPr>
          <w:rFonts w:ascii="Tahoma" w:eastAsia="Tahoma" w:hAnsi="Tahoma" w:cs="Tahoma"/>
          <w:b/>
          <w:color w:val="000000" w:themeColor="text1"/>
          <w:sz w:val="18"/>
          <w:szCs w:val="18"/>
        </w:rPr>
      </w:pPr>
      <w:r>
        <w:rPr>
          <w:rFonts w:ascii="Tahoma" w:eastAsia="Tahoma" w:hAnsi="Tahoma" w:cs="Tahoma"/>
          <w:b/>
          <w:color w:val="000000" w:themeColor="text1"/>
          <w:sz w:val="18"/>
          <w:szCs w:val="18"/>
        </w:rPr>
        <w:t>Ceren Moral</w:t>
      </w:r>
      <w:r w:rsidR="007A2B51">
        <w:rPr>
          <w:rFonts w:ascii="Tahoma" w:eastAsia="Tahoma" w:hAnsi="Tahoma" w:cs="Tahoma"/>
          <w:b/>
          <w:color w:val="000000" w:themeColor="text1"/>
          <w:sz w:val="18"/>
          <w:szCs w:val="18"/>
        </w:rPr>
        <w:t xml:space="preserve"> Aru</w:t>
      </w:r>
    </w:p>
    <w:p w14:paraId="6AED8352" w14:textId="6B282CDD" w:rsidR="00D65086" w:rsidRPr="00A479E9" w:rsidRDefault="00D65086" w:rsidP="00BC29FE">
      <w:pPr>
        <w:pBdr>
          <w:top w:val="nil"/>
          <w:left w:val="nil"/>
          <w:bottom w:val="nil"/>
          <w:right w:val="nil"/>
          <w:between w:val="nil"/>
        </w:pBdr>
        <w:spacing w:after="0" w:line="240" w:lineRule="auto"/>
        <w:jc w:val="both"/>
        <w:rPr>
          <w:rFonts w:ascii="Tahoma" w:eastAsia="Tahoma" w:hAnsi="Tahoma" w:cs="Tahoma"/>
          <w:b/>
          <w:color w:val="000000" w:themeColor="text1"/>
          <w:sz w:val="18"/>
          <w:szCs w:val="18"/>
        </w:rPr>
      </w:pPr>
      <w:r>
        <w:rPr>
          <w:rFonts w:ascii="Tahoma" w:eastAsia="Tahoma" w:hAnsi="Tahoma" w:cs="Tahoma"/>
          <w:b/>
          <w:color w:val="000000" w:themeColor="text1"/>
          <w:sz w:val="18"/>
          <w:szCs w:val="18"/>
        </w:rPr>
        <w:t>0533 921 43 53</w:t>
      </w:r>
    </w:p>
    <w:p w14:paraId="5A84D3DE" w14:textId="3CF00E1E" w:rsidR="00BC29FE" w:rsidRPr="00A479E9" w:rsidRDefault="00BC29FE" w:rsidP="00BC29FE">
      <w:pPr>
        <w:pBdr>
          <w:top w:val="nil"/>
          <w:left w:val="nil"/>
          <w:bottom w:val="nil"/>
          <w:right w:val="nil"/>
          <w:between w:val="nil"/>
        </w:pBdr>
        <w:spacing w:after="0" w:line="240" w:lineRule="auto"/>
        <w:jc w:val="both"/>
        <w:rPr>
          <w:rFonts w:ascii="Tahoma" w:eastAsia="Tahoma" w:hAnsi="Tahoma" w:cs="Tahoma"/>
          <w:b/>
          <w:color w:val="000000" w:themeColor="text1"/>
          <w:sz w:val="18"/>
          <w:szCs w:val="18"/>
        </w:rPr>
      </w:pPr>
      <w:r>
        <w:rPr>
          <w:rFonts w:ascii="Tahoma" w:eastAsia="Tahoma" w:hAnsi="Tahoma" w:cs="Tahoma"/>
          <w:b/>
          <w:color w:val="000000" w:themeColor="text1"/>
          <w:sz w:val="18"/>
          <w:szCs w:val="18"/>
        </w:rPr>
        <w:t>cerenm@marjinal.com.tr</w:t>
      </w:r>
    </w:p>
    <w:p w14:paraId="6899F096" w14:textId="77777777" w:rsidR="00E35D33" w:rsidRDefault="00E35D33" w:rsidP="00E35D33"/>
    <w:p w14:paraId="74AF9483" w14:textId="112339D0" w:rsidR="00F41854" w:rsidRPr="005B79F3" w:rsidRDefault="00F41854" w:rsidP="00F41854">
      <w:pPr>
        <w:jc w:val="both"/>
        <w:rPr>
          <w:rFonts w:ascii="Tahoma" w:hAnsi="Tahoma" w:cs="Tahoma"/>
          <w:lang w:eastAsia="tr-TR"/>
        </w:rPr>
      </w:pPr>
      <w:r w:rsidRPr="005B79F3">
        <w:rPr>
          <w:rFonts w:ascii="Tahoma" w:hAnsi="Tahoma" w:cs="Tahoma"/>
          <w:lang w:eastAsia="tr-TR"/>
        </w:rPr>
        <w:t xml:space="preserve">                 </w:t>
      </w:r>
    </w:p>
    <w:p w14:paraId="0EE1669F" w14:textId="77777777" w:rsidR="00D17FE5" w:rsidRPr="000665B6" w:rsidRDefault="00D17FE5" w:rsidP="00E35D33">
      <w:pPr>
        <w:rPr>
          <w:rFonts w:ascii="Tahoma" w:eastAsia="Tahoma" w:hAnsi="Tahoma" w:cs="Tahoma"/>
          <w:color w:val="000000"/>
          <w:sz w:val="24"/>
          <w:szCs w:val="24"/>
        </w:rPr>
      </w:pPr>
    </w:p>
    <w:sectPr w:rsidR="00D17FE5" w:rsidRPr="00066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312BC"/>
    <w:multiLevelType w:val="hybridMultilevel"/>
    <w:tmpl w:val="E260FC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B6"/>
    <w:rsid w:val="00013EC0"/>
    <w:rsid w:val="000258E4"/>
    <w:rsid w:val="000665B6"/>
    <w:rsid w:val="00082233"/>
    <w:rsid w:val="000C6A8C"/>
    <w:rsid w:val="001011E8"/>
    <w:rsid w:val="0013611F"/>
    <w:rsid w:val="00180458"/>
    <w:rsid w:val="002202E1"/>
    <w:rsid w:val="00243C9E"/>
    <w:rsid w:val="00270682"/>
    <w:rsid w:val="002709BF"/>
    <w:rsid w:val="00286FF6"/>
    <w:rsid w:val="00376E77"/>
    <w:rsid w:val="003A1A46"/>
    <w:rsid w:val="003D602A"/>
    <w:rsid w:val="003E7311"/>
    <w:rsid w:val="003F46B6"/>
    <w:rsid w:val="003F4D21"/>
    <w:rsid w:val="0042173D"/>
    <w:rsid w:val="00423B2D"/>
    <w:rsid w:val="0042597E"/>
    <w:rsid w:val="00454EB8"/>
    <w:rsid w:val="00465B52"/>
    <w:rsid w:val="00481141"/>
    <w:rsid w:val="004C74F5"/>
    <w:rsid w:val="004F2986"/>
    <w:rsid w:val="005C3764"/>
    <w:rsid w:val="005C79A8"/>
    <w:rsid w:val="0060125F"/>
    <w:rsid w:val="00604D02"/>
    <w:rsid w:val="00616FD0"/>
    <w:rsid w:val="00637F45"/>
    <w:rsid w:val="006558A6"/>
    <w:rsid w:val="00681CDB"/>
    <w:rsid w:val="006938E3"/>
    <w:rsid w:val="006D4D6C"/>
    <w:rsid w:val="00721FE7"/>
    <w:rsid w:val="00757939"/>
    <w:rsid w:val="00763F9A"/>
    <w:rsid w:val="0077558B"/>
    <w:rsid w:val="007A2B51"/>
    <w:rsid w:val="007B5E87"/>
    <w:rsid w:val="007E16F4"/>
    <w:rsid w:val="007F31C2"/>
    <w:rsid w:val="0080230A"/>
    <w:rsid w:val="00807A3B"/>
    <w:rsid w:val="00860ED9"/>
    <w:rsid w:val="0089216F"/>
    <w:rsid w:val="008A21C5"/>
    <w:rsid w:val="008A4507"/>
    <w:rsid w:val="008C308B"/>
    <w:rsid w:val="008C7548"/>
    <w:rsid w:val="008D6AC0"/>
    <w:rsid w:val="00902589"/>
    <w:rsid w:val="009077AD"/>
    <w:rsid w:val="009224D2"/>
    <w:rsid w:val="00927A66"/>
    <w:rsid w:val="0094085E"/>
    <w:rsid w:val="00997030"/>
    <w:rsid w:val="009B70C4"/>
    <w:rsid w:val="009C0C56"/>
    <w:rsid w:val="00A150F8"/>
    <w:rsid w:val="00A479E9"/>
    <w:rsid w:val="00A50CA8"/>
    <w:rsid w:val="00A65C92"/>
    <w:rsid w:val="00AA2A03"/>
    <w:rsid w:val="00AB727E"/>
    <w:rsid w:val="00AE3220"/>
    <w:rsid w:val="00B018C8"/>
    <w:rsid w:val="00B25C38"/>
    <w:rsid w:val="00B45B3B"/>
    <w:rsid w:val="00B57CBF"/>
    <w:rsid w:val="00B75DE5"/>
    <w:rsid w:val="00BA59C6"/>
    <w:rsid w:val="00BB0860"/>
    <w:rsid w:val="00BC29FE"/>
    <w:rsid w:val="00BF3FD7"/>
    <w:rsid w:val="00C10795"/>
    <w:rsid w:val="00C54DCD"/>
    <w:rsid w:val="00C7314C"/>
    <w:rsid w:val="00C84054"/>
    <w:rsid w:val="00C90FB6"/>
    <w:rsid w:val="00CC77C8"/>
    <w:rsid w:val="00D07A54"/>
    <w:rsid w:val="00D17FE5"/>
    <w:rsid w:val="00D40FAC"/>
    <w:rsid w:val="00D65086"/>
    <w:rsid w:val="00D92F62"/>
    <w:rsid w:val="00DA4ACE"/>
    <w:rsid w:val="00DF2921"/>
    <w:rsid w:val="00E1699A"/>
    <w:rsid w:val="00E35D33"/>
    <w:rsid w:val="00E57DF0"/>
    <w:rsid w:val="00E77487"/>
    <w:rsid w:val="00E84BE7"/>
    <w:rsid w:val="00EA67A1"/>
    <w:rsid w:val="00EA75B1"/>
    <w:rsid w:val="00EB49BA"/>
    <w:rsid w:val="00ED115D"/>
    <w:rsid w:val="00F20DD7"/>
    <w:rsid w:val="00F259F5"/>
    <w:rsid w:val="00F41854"/>
    <w:rsid w:val="00F85D2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1A4B"/>
  <w15:docId w15:val="{D97829C2-9971-5F43-AC81-EB76DE96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D17FE5"/>
    <w:rPr>
      <w:color w:val="0000FF"/>
      <w:u w:val="single"/>
    </w:rPr>
  </w:style>
  <w:style w:type="character" w:styleId="AklamaBavurusu">
    <w:name w:val="annotation reference"/>
    <w:basedOn w:val="VarsaylanParagrafYazTipi"/>
    <w:uiPriority w:val="99"/>
    <w:semiHidden/>
    <w:unhideWhenUsed/>
    <w:rsid w:val="00BF3FD7"/>
    <w:rPr>
      <w:sz w:val="16"/>
      <w:szCs w:val="16"/>
    </w:rPr>
  </w:style>
  <w:style w:type="paragraph" w:styleId="AklamaMetni">
    <w:name w:val="annotation text"/>
    <w:basedOn w:val="Normal"/>
    <w:link w:val="AklamaMetniChar"/>
    <w:uiPriority w:val="99"/>
    <w:semiHidden/>
    <w:unhideWhenUsed/>
    <w:rsid w:val="00BF3F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3FD7"/>
    <w:rPr>
      <w:sz w:val="20"/>
      <w:szCs w:val="20"/>
    </w:rPr>
  </w:style>
  <w:style w:type="paragraph" w:styleId="AklamaKonusu">
    <w:name w:val="annotation subject"/>
    <w:basedOn w:val="AklamaMetni"/>
    <w:next w:val="AklamaMetni"/>
    <w:link w:val="AklamaKonusuChar"/>
    <w:uiPriority w:val="99"/>
    <w:semiHidden/>
    <w:unhideWhenUsed/>
    <w:rsid w:val="00BF3FD7"/>
    <w:rPr>
      <w:b/>
      <w:bCs/>
    </w:rPr>
  </w:style>
  <w:style w:type="character" w:customStyle="1" w:styleId="AklamaKonusuChar">
    <w:name w:val="Açıklama Konusu Char"/>
    <w:basedOn w:val="AklamaMetniChar"/>
    <w:link w:val="AklamaKonusu"/>
    <w:uiPriority w:val="99"/>
    <w:semiHidden/>
    <w:rsid w:val="00BF3FD7"/>
    <w:rPr>
      <w:b/>
      <w:bCs/>
      <w:sz w:val="20"/>
      <w:szCs w:val="20"/>
    </w:rPr>
  </w:style>
  <w:style w:type="paragraph" w:styleId="BalonMetni">
    <w:name w:val="Balloon Text"/>
    <w:basedOn w:val="Normal"/>
    <w:link w:val="BalonMetniChar"/>
    <w:uiPriority w:val="99"/>
    <w:semiHidden/>
    <w:unhideWhenUsed/>
    <w:rsid w:val="00BF3F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3FD7"/>
    <w:rPr>
      <w:rFonts w:ascii="Segoe UI" w:hAnsi="Segoe UI" w:cs="Segoe UI"/>
      <w:sz w:val="18"/>
      <w:szCs w:val="18"/>
    </w:rPr>
  </w:style>
  <w:style w:type="paragraph" w:styleId="ListeParagraf">
    <w:name w:val="List Paragraph"/>
    <w:basedOn w:val="Normal"/>
    <w:uiPriority w:val="34"/>
    <w:qFormat/>
    <w:rsid w:val="00180458"/>
    <w:pPr>
      <w:ind w:left="720"/>
      <w:contextualSpacing/>
    </w:pPr>
  </w:style>
  <w:style w:type="character" w:styleId="Gl">
    <w:name w:val="Strong"/>
    <w:basedOn w:val="VarsaylanParagrafYazTipi"/>
    <w:uiPriority w:val="22"/>
    <w:qFormat/>
    <w:rsid w:val="003F4D21"/>
    <w:rPr>
      <w:b/>
      <w:bCs/>
    </w:rPr>
  </w:style>
  <w:style w:type="character" w:styleId="zlenenKpr">
    <w:name w:val="FollowedHyperlink"/>
    <w:basedOn w:val="VarsaylanParagrafYazTipi"/>
    <w:uiPriority w:val="99"/>
    <w:semiHidden/>
    <w:unhideWhenUsed/>
    <w:rsid w:val="008D6AC0"/>
    <w:rPr>
      <w:color w:val="800080" w:themeColor="followedHyperlink"/>
      <w:u w:val="single"/>
    </w:rPr>
  </w:style>
  <w:style w:type="paragraph" w:styleId="NormalWeb">
    <w:name w:val="Normal (Web)"/>
    <w:basedOn w:val="Normal"/>
    <w:uiPriority w:val="99"/>
    <w:semiHidden/>
    <w:unhideWhenUsed/>
    <w:rsid w:val="00B25C38"/>
    <w:pPr>
      <w:spacing w:before="100" w:beforeAutospacing="1" w:after="100" w:afterAutospacing="1" w:line="240" w:lineRule="auto"/>
    </w:pPr>
    <w:rPr>
      <w:rFonts w:ascii="Calibri" w:hAnsi="Calibri" w:cs="Calibri"/>
      <w:lang w:eastAsia="tr-TR"/>
    </w:rPr>
  </w:style>
  <w:style w:type="paragraph" w:styleId="Dzeltme">
    <w:name w:val="Revision"/>
    <w:hidden/>
    <w:uiPriority w:val="99"/>
    <w:semiHidden/>
    <w:rsid w:val="00082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583">
      <w:bodyDiv w:val="1"/>
      <w:marLeft w:val="0"/>
      <w:marRight w:val="0"/>
      <w:marTop w:val="0"/>
      <w:marBottom w:val="0"/>
      <w:divBdr>
        <w:top w:val="none" w:sz="0" w:space="0" w:color="auto"/>
        <w:left w:val="none" w:sz="0" w:space="0" w:color="auto"/>
        <w:bottom w:val="none" w:sz="0" w:space="0" w:color="auto"/>
        <w:right w:val="none" w:sz="0" w:space="0" w:color="auto"/>
      </w:divBdr>
    </w:div>
    <w:div w:id="395907122">
      <w:bodyDiv w:val="1"/>
      <w:marLeft w:val="0"/>
      <w:marRight w:val="0"/>
      <w:marTop w:val="0"/>
      <w:marBottom w:val="0"/>
      <w:divBdr>
        <w:top w:val="none" w:sz="0" w:space="0" w:color="auto"/>
        <w:left w:val="none" w:sz="0" w:space="0" w:color="auto"/>
        <w:bottom w:val="none" w:sz="0" w:space="0" w:color="auto"/>
        <w:right w:val="none" w:sz="0" w:space="0" w:color="auto"/>
      </w:divBdr>
    </w:div>
    <w:div w:id="618881453">
      <w:bodyDiv w:val="1"/>
      <w:marLeft w:val="0"/>
      <w:marRight w:val="0"/>
      <w:marTop w:val="0"/>
      <w:marBottom w:val="0"/>
      <w:divBdr>
        <w:top w:val="none" w:sz="0" w:space="0" w:color="auto"/>
        <w:left w:val="none" w:sz="0" w:space="0" w:color="auto"/>
        <w:bottom w:val="none" w:sz="0" w:space="0" w:color="auto"/>
        <w:right w:val="none" w:sz="0" w:space="0" w:color="auto"/>
      </w:divBdr>
    </w:div>
    <w:div w:id="885526154">
      <w:bodyDiv w:val="1"/>
      <w:marLeft w:val="0"/>
      <w:marRight w:val="0"/>
      <w:marTop w:val="0"/>
      <w:marBottom w:val="0"/>
      <w:divBdr>
        <w:top w:val="none" w:sz="0" w:space="0" w:color="auto"/>
        <w:left w:val="none" w:sz="0" w:space="0" w:color="auto"/>
        <w:bottom w:val="none" w:sz="0" w:space="0" w:color="auto"/>
        <w:right w:val="none" w:sz="0" w:space="0" w:color="auto"/>
      </w:divBdr>
    </w:div>
    <w:div w:id="952370317">
      <w:bodyDiv w:val="1"/>
      <w:marLeft w:val="0"/>
      <w:marRight w:val="0"/>
      <w:marTop w:val="0"/>
      <w:marBottom w:val="0"/>
      <w:divBdr>
        <w:top w:val="none" w:sz="0" w:space="0" w:color="auto"/>
        <w:left w:val="none" w:sz="0" w:space="0" w:color="auto"/>
        <w:bottom w:val="none" w:sz="0" w:space="0" w:color="auto"/>
        <w:right w:val="none" w:sz="0" w:space="0" w:color="auto"/>
      </w:divBdr>
    </w:div>
    <w:div w:id="1408457657">
      <w:bodyDiv w:val="1"/>
      <w:marLeft w:val="0"/>
      <w:marRight w:val="0"/>
      <w:marTop w:val="0"/>
      <w:marBottom w:val="0"/>
      <w:divBdr>
        <w:top w:val="none" w:sz="0" w:space="0" w:color="auto"/>
        <w:left w:val="none" w:sz="0" w:space="0" w:color="auto"/>
        <w:bottom w:val="none" w:sz="0" w:space="0" w:color="auto"/>
        <w:right w:val="none" w:sz="0" w:space="0" w:color="auto"/>
      </w:divBdr>
    </w:div>
    <w:div w:id="1594437696">
      <w:bodyDiv w:val="1"/>
      <w:marLeft w:val="0"/>
      <w:marRight w:val="0"/>
      <w:marTop w:val="0"/>
      <w:marBottom w:val="0"/>
      <w:divBdr>
        <w:top w:val="none" w:sz="0" w:space="0" w:color="auto"/>
        <w:left w:val="none" w:sz="0" w:space="0" w:color="auto"/>
        <w:bottom w:val="none" w:sz="0" w:space="0" w:color="auto"/>
        <w:right w:val="none" w:sz="0" w:space="0" w:color="auto"/>
      </w:divBdr>
    </w:div>
    <w:div w:id="1711685906">
      <w:bodyDiv w:val="1"/>
      <w:marLeft w:val="0"/>
      <w:marRight w:val="0"/>
      <w:marTop w:val="0"/>
      <w:marBottom w:val="0"/>
      <w:divBdr>
        <w:top w:val="none" w:sz="0" w:space="0" w:color="auto"/>
        <w:left w:val="none" w:sz="0" w:space="0" w:color="auto"/>
        <w:bottom w:val="none" w:sz="0" w:space="0" w:color="auto"/>
        <w:right w:val="none" w:sz="0" w:space="0" w:color="auto"/>
      </w:divBdr>
    </w:div>
    <w:div w:id="19631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pmg.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c/BlockchainT%C3%BCrkiyePlatformu?sub_confirmation=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558</Words>
  <Characters>3186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Ceren Moral</cp:lastModifiedBy>
  <cp:revision>9</cp:revision>
  <dcterms:created xsi:type="dcterms:W3CDTF">2021-12-21T13:13:00Z</dcterms:created>
  <dcterms:modified xsi:type="dcterms:W3CDTF">2021-12-23T11:08:00Z</dcterms:modified>
</cp:coreProperties>
</file>