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7918" w14:textId="79886E51" w:rsidR="00D322B8" w:rsidRPr="00353D49" w:rsidRDefault="00D322B8" w:rsidP="00D322B8">
      <w:pPr>
        <w:rPr>
          <w:rFonts w:ascii="Tahoma" w:eastAsia="Tahoma" w:hAnsi="Tahoma" w:cs="Tahoma"/>
          <w:b/>
          <w:u w:val="single"/>
        </w:rPr>
      </w:pPr>
      <w:r w:rsidRPr="00353D49">
        <w:rPr>
          <w:rFonts w:ascii="Tahoma" w:eastAsia="Tahoma" w:hAnsi="Tahoma" w:cs="Tahoma"/>
          <w:b/>
          <w:u w:val="single"/>
        </w:rPr>
        <w:t>BASIN BÜLTENİ</w:t>
      </w:r>
      <w:r w:rsidRPr="00353D49">
        <w:rPr>
          <w:rFonts w:ascii="Tahoma" w:eastAsia="Tahoma" w:hAnsi="Tahoma" w:cs="Tahoma"/>
          <w:b/>
          <w:u w:val="single"/>
        </w:rPr>
        <w:tab/>
      </w:r>
      <w:r w:rsidRPr="00353D49">
        <w:rPr>
          <w:rFonts w:ascii="Tahoma" w:eastAsia="Tahoma" w:hAnsi="Tahoma" w:cs="Tahoma"/>
          <w:b/>
          <w:u w:val="single"/>
        </w:rPr>
        <w:tab/>
      </w:r>
      <w:r w:rsidRPr="00353D49">
        <w:rPr>
          <w:rFonts w:ascii="Tahoma" w:eastAsia="Tahoma" w:hAnsi="Tahoma" w:cs="Tahoma"/>
          <w:b/>
          <w:u w:val="single"/>
        </w:rPr>
        <w:tab/>
      </w:r>
      <w:r w:rsidRPr="00353D49">
        <w:rPr>
          <w:rFonts w:ascii="Tahoma" w:eastAsia="Tahoma" w:hAnsi="Tahoma" w:cs="Tahoma"/>
          <w:b/>
          <w:u w:val="single"/>
        </w:rPr>
        <w:tab/>
      </w:r>
      <w:r w:rsidRPr="00353D49">
        <w:rPr>
          <w:rFonts w:ascii="Tahoma" w:eastAsia="Tahoma" w:hAnsi="Tahoma" w:cs="Tahoma"/>
          <w:b/>
          <w:u w:val="single"/>
        </w:rPr>
        <w:tab/>
        <w:t xml:space="preserve">                                   </w:t>
      </w:r>
      <w:r>
        <w:rPr>
          <w:rFonts w:ascii="Tahoma" w:eastAsia="Tahoma" w:hAnsi="Tahoma" w:cs="Tahoma"/>
          <w:b/>
          <w:u w:val="single"/>
        </w:rPr>
        <w:t xml:space="preserve">         </w:t>
      </w:r>
      <w:r w:rsidR="005B1116" w:rsidRPr="005B1116">
        <w:rPr>
          <w:rFonts w:ascii="Tahoma" w:eastAsia="Tahoma" w:hAnsi="Tahoma" w:cs="Tahoma"/>
          <w:b/>
          <w:u w:val="single"/>
        </w:rPr>
        <w:t>10</w:t>
      </w:r>
      <w:r w:rsidRPr="005B1116">
        <w:rPr>
          <w:rFonts w:ascii="Tahoma" w:eastAsia="Tahoma" w:hAnsi="Tahoma" w:cs="Tahoma"/>
          <w:b/>
          <w:u w:val="single"/>
        </w:rPr>
        <w:t>.</w:t>
      </w:r>
      <w:r w:rsidR="001B55F3" w:rsidRPr="005B1116">
        <w:rPr>
          <w:rFonts w:ascii="Tahoma" w:eastAsia="Tahoma" w:hAnsi="Tahoma" w:cs="Tahoma"/>
          <w:b/>
          <w:u w:val="single"/>
        </w:rPr>
        <w:t>0</w:t>
      </w:r>
      <w:r w:rsidR="005B1116" w:rsidRPr="005B1116">
        <w:rPr>
          <w:rFonts w:ascii="Tahoma" w:eastAsia="Tahoma" w:hAnsi="Tahoma" w:cs="Tahoma"/>
          <w:b/>
          <w:u w:val="single"/>
        </w:rPr>
        <w:t>8</w:t>
      </w:r>
      <w:r w:rsidRPr="005B1116">
        <w:rPr>
          <w:rFonts w:ascii="Tahoma" w:eastAsia="Tahoma" w:hAnsi="Tahoma" w:cs="Tahoma"/>
          <w:b/>
          <w:u w:val="single"/>
        </w:rPr>
        <w:t>.2022</w:t>
      </w:r>
    </w:p>
    <w:p w14:paraId="335CEAF7" w14:textId="77777777" w:rsidR="00D322B8" w:rsidRDefault="00D322B8" w:rsidP="00FB099A">
      <w:pPr>
        <w:rPr>
          <w:rFonts w:ascii="Arial" w:hAnsi="Arial" w:cs="Arial"/>
          <w:b/>
          <w:bCs/>
        </w:rPr>
      </w:pPr>
    </w:p>
    <w:p w14:paraId="319F780C" w14:textId="3D61F6A7" w:rsidR="000C46F9" w:rsidRPr="001B55F3" w:rsidRDefault="00113973" w:rsidP="004A399D">
      <w:pPr>
        <w:spacing w:after="0" w:line="300" w:lineRule="auto"/>
        <w:contextualSpacing/>
        <w:jc w:val="center"/>
        <w:rPr>
          <w:rFonts w:ascii="Arial" w:hAnsi="Arial" w:cs="Arial"/>
          <w:b/>
          <w:bCs/>
          <w:sz w:val="40"/>
          <w:szCs w:val="40"/>
          <w:highlight w:val="yellow"/>
        </w:rPr>
      </w:pPr>
      <w:r w:rsidRPr="00113973">
        <w:rPr>
          <w:rFonts w:ascii="Arial" w:hAnsi="Arial" w:cs="Arial"/>
          <w:b/>
          <w:bCs/>
          <w:sz w:val="40"/>
          <w:szCs w:val="40"/>
        </w:rPr>
        <w:t>Girişim yatırımları belirsizlikler nedeniyle küresel çapta geriledi</w:t>
      </w:r>
    </w:p>
    <w:p w14:paraId="0704C3D2" w14:textId="77777777" w:rsidR="00D322B8" w:rsidRPr="001B55F3" w:rsidRDefault="00D322B8" w:rsidP="00D322B8">
      <w:pPr>
        <w:spacing w:after="0" w:line="300" w:lineRule="auto"/>
        <w:contextualSpacing/>
        <w:jc w:val="both"/>
        <w:rPr>
          <w:rFonts w:ascii="Arial" w:hAnsi="Arial" w:cs="Arial"/>
          <w:highlight w:val="yellow"/>
        </w:rPr>
      </w:pPr>
    </w:p>
    <w:p w14:paraId="4893DA5F" w14:textId="344ECD7E" w:rsidR="00FB099A" w:rsidRPr="004A399D" w:rsidRDefault="00376117" w:rsidP="00955B7B">
      <w:pPr>
        <w:spacing w:after="0" w:line="300" w:lineRule="auto"/>
        <w:contextualSpacing/>
        <w:jc w:val="center"/>
        <w:rPr>
          <w:rFonts w:ascii="Arial" w:hAnsi="Arial" w:cs="Arial"/>
          <w:b/>
          <w:bCs/>
          <w:sz w:val="28"/>
          <w:szCs w:val="28"/>
        </w:rPr>
      </w:pPr>
      <w:proofErr w:type="spellStart"/>
      <w:r>
        <w:rPr>
          <w:rFonts w:ascii="Arial" w:hAnsi="Arial" w:cs="Arial"/>
          <w:b/>
          <w:bCs/>
          <w:sz w:val="28"/>
          <w:szCs w:val="28"/>
        </w:rPr>
        <w:t>KPMG’nin</w:t>
      </w:r>
      <w:proofErr w:type="spellEnd"/>
      <w:r>
        <w:rPr>
          <w:rFonts w:ascii="Arial" w:hAnsi="Arial" w:cs="Arial"/>
          <w:b/>
          <w:bCs/>
          <w:sz w:val="28"/>
          <w:szCs w:val="28"/>
        </w:rPr>
        <w:t xml:space="preserve"> yayımladığı </w:t>
      </w:r>
      <w:r w:rsidRPr="00376117">
        <w:rPr>
          <w:rFonts w:ascii="Arial" w:hAnsi="Arial" w:cs="Arial"/>
          <w:b/>
          <w:bCs/>
          <w:sz w:val="28"/>
          <w:szCs w:val="28"/>
        </w:rPr>
        <w:t>“</w:t>
      </w:r>
      <w:proofErr w:type="spellStart"/>
      <w:r w:rsidRPr="00376117">
        <w:rPr>
          <w:rFonts w:ascii="Arial" w:hAnsi="Arial" w:cs="Arial"/>
          <w:b/>
          <w:bCs/>
          <w:sz w:val="28"/>
          <w:szCs w:val="28"/>
        </w:rPr>
        <w:t>Venture</w:t>
      </w:r>
      <w:proofErr w:type="spellEnd"/>
      <w:r w:rsidRPr="00376117">
        <w:rPr>
          <w:rFonts w:ascii="Arial" w:hAnsi="Arial" w:cs="Arial"/>
          <w:b/>
          <w:bCs/>
          <w:sz w:val="28"/>
          <w:szCs w:val="28"/>
        </w:rPr>
        <w:t xml:space="preserve"> </w:t>
      </w:r>
      <w:proofErr w:type="spellStart"/>
      <w:r w:rsidRPr="00376117">
        <w:rPr>
          <w:rFonts w:ascii="Arial" w:hAnsi="Arial" w:cs="Arial"/>
          <w:b/>
          <w:bCs/>
          <w:sz w:val="28"/>
          <w:szCs w:val="28"/>
        </w:rPr>
        <w:t>Pulse</w:t>
      </w:r>
      <w:proofErr w:type="spellEnd"/>
      <w:r w:rsidRPr="00376117">
        <w:rPr>
          <w:rFonts w:ascii="Arial" w:hAnsi="Arial" w:cs="Arial"/>
          <w:b/>
          <w:bCs/>
          <w:sz w:val="28"/>
          <w:szCs w:val="28"/>
        </w:rPr>
        <w:t xml:space="preserve">” </w:t>
      </w:r>
      <w:r>
        <w:rPr>
          <w:rFonts w:ascii="Arial" w:hAnsi="Arial" w:cs="Arial"/>
          <w:b/>
          <w:bCs/>
          <w:sz w:val="28"/>
          <w:szCs w:val="28"/>
        </w:rPr>
        <w:t xml:space="preserve">raporuna göre Ukrayna’da yaşanan savaş, yüksek enflasyon ve artan faiz oranlarının neden olduğu belirsizlik ortamında 2022 yılının 2. çeyreğinde küresel çapta girişimlere yapılan yatırımlar azaldı. Raporda </w:t>
      </w:r>
      <w:r w:rsidR="00137590" w:rsidRPr="00137590">
        <w:rPr>
          <w:rFonts w:ascii="Arial" w:hAnsi="Arial" w:cs="Arial"/>
          <w:b/>
          <w:bCs/>
          <w:sz w:val="28"/>
          <w:szCs w:val="28"/>
        </w:rPr>
        <w:t xml:space="preserve">jeopolitik ve makroekonomik belirsizliklerin sayısı göz önüne alındığında, </w:t>
      </w:r>
      <w:r w:rsidR="00955B7B">
        <w:rPr>
          <w:rFonts w:ascii="Arial" w:hAnsi="Arial" w:cs="Arial"/>
          <w:b/>
          <w:bCs/>
          <w:sz w:val="28"/>
          <w:szCs w:val="28"/>
        </w:rPr>
        <w:t xml:space="preserve">mevcut belirsizliğin 3. çeyrekte de devam edeceği öngörülüyor. </w:t>
      </w:r>
    </w:p>
    <w:p w14:paraId="78FFFAB0" w14:textId="77777777" w:rsidR="00D322B8" w:rsidRPr="000C46F9" w:rsidRDefault="00D322B8" w:rsidP="004A399D">
      <w:pPr>
        <w:spacing w:after="0" w:line="300" w:lineRule="auto"/>
        <w:contextualSpacing/>
        <w:jc w:val="both"/>
        <w:rPr>
          <w:rFonts w:ascii="Arial" w:hAnsi="Arial" w:cs="Arial"/>
        </w:rPr>
      </w:pPr>
    </w:p>
    <w:p w14:paraId="43112E58" w14:textId="67AAC9E0" w:rsidR="001B55F3" w:rsidRDefault="004A399D" w:rsidP="004A399D">
      <w:pPr>
        <w:spacing w:after="0" w:line="300" w:lineRule="auto"/>
        <w:contextualSpacing/>
        <w:jc w:val="both"/>
        <w:rPr>
          <w:rFonts w:ascii="Arial" w:hAnsi="Arial" w:cs="Arial"/>
        </w:rPr>
      </w:pPr>
      <w:r w:rsidRPr="04A32E60">
        <w:rPr>
          <w:rFonts w:ascii="Arial" w:hAnsi="Arial" w:cs="Arial"/>
        </w:rPr>
        <w:t>KPMG</w:t>
      </w:r>
      <w:r w:rsidR="001B55F3" w:rsidRPr="04A32E60">
        <w:rPr>
          <w:rFonts w:ascii="Arial" w:hAnsi="Arial" w:cs="Arial"/>
        </w:rPr>
        <w:t xml:space="preserve"> hazırladığı</w:t>
      </w:r>
      <w:r w:rsidRPr="04A32E60">
        <w:rPr>
          <w:rFonts w:ascii="Arial" w:hAnsi="Arial" w:cs="Arial"/>
        </w:rPr>
        <w:t xml:space="preserve"> </w:t>
      </w:r>
      <w:r w:rsidR="001B55F3" w:rsidRPr="04A32E60">
        <w:rPr>
          <w:rFonts w:ascii="Arial" w:hAnsi="Arial" w:cs="Arial"/>
        </w:rPr>
        <w:t>“</w:t>
      </w:r>
      <w:proofErr w:type="spellStart"/>
      <w:r w:rsidR="001B55F3" w:rsidRPr="04A32E60">
        <w:rPr>
          <w:rFonts w:ascii="Arial" w:hAnsi="Arial" w:cs="Arial"/>
        </w:rPr>
        <w:t>Venture</w:t>
      </w:r>
      <w:proofErr w:type="spellEnd"/>
      <w:r w:rsidR="001B55F3" w:rsidRPr="04A32E60">
        <w:rPr>
          <w:rFonts w:ascii="Arial" w:hAnsi="Arial" w:cs="Arial"/>
        </w:rPr>
        <w:t xml:space="preserve"> </w:t>
      </w:r>
      <w:proofErr w:type="spellStart"/>
      <w:r w:rsidR="001B55F3" w:rsidRPr="04A32E60">
        <w:rPr>
          <w:rFonts w:ascii="Arial" w:hAnsi="Arial" w:cs="Arial"/>
        </w:rPr>
        <w:t>Pulse</w:t>
      </w:r>
      <w:proofErr w:type="spellEnd"/>
      <w:r w:rsidR="001B55F3" w:rsidRPr="04A32E60">
        <w:rPr>
          <w:rFonts w:ascii="Arial" w:hAnsi="Arial" w:cs="Arial"/>
        </w:rPr>
        <w:t xml:space="preserve">” raporunda 2022 yılının 2. çeyreğinde </w:t>
      </w:r>
      <w:r w:rsidR="00113973" w:rsidRPr="04A32E60">
        <w:rPr>
          <w:rFonts w:ascii="Arial" w:hAnsi="Arial" w:cs="Arial"/>
        </w:rPr>
        <w:t xml:space="preserve">küresel </w:t>
      </w:r>
      <w:r w:rsidR="001B55F3" w:rsidRPr="04A32E60">
        <w:rPr>
          <w:rFonts w:ascii="Arial" w:hAnsi="Arial" w:cs="Arial"/>
        </w:rPr>
        <w:t>girişim</w:t>
      </w:r>
      <w:r w:rsidR="001007D9" w:rsidRPr="04A32E60">
        <w:rPr>
          <w:rFonts w:ascii="Arial" w:hAnsi="Arial" w:cs="Arial"/>
        </w:rPr>
        <w:t xml:space="preserve"> </w:t>
      </w:r>
      <w:r w:rsidR="001B55F3" w:rsidRPr="04A32E60">
        <w:rPr>
          <w:rFonts w:ascii="Arial" w:hAnsi="Arial" w:cs="Arial"/>
        </w:rPr>
        <w:t xml:space="preserve">yatırımlarını inceledi. </w:t>
      </w:r>
      <w:r w:rsidR="00D778F5" w:rsidRPr="04A32E60">
        <w:rPr>
          <w:rFonts w:ascii="Arial" w:hAnsi="Arial" w:cs="Arial"/>
        </w:rPr>
        <w:t xml:space="preserve">Dünya çapında </w:t>
      </w:r>
      <w:r w:rsidR="001007D9" w:rsidRPr="04A32E60">
        <w:rPr>
          <w:rFonts w:ascii="Arial" w:hAnsi="Arial" w:cs="Arial"/>
        </w:rPr>
        <w:t xml:space="preserve">girişim dünyasının </w:t>
      </w:r>
      <w:r w:rsidR="00D778F5" w:rsidRPr="04A32E60">
        <w:rPr>
          <w:rFonts w:ascii="Arial" w:hAnsi="Arial" w:cs="Arial"/>
        </w:rPr>
        <w:t>karşılaştığı başlıca trendleri, zorlukları ve fırsatları vurgulayan üç aylık rapora göre devam eden jeopolitik belirsizlikler, tedarik zinciri sorunları ve artan enflasyon ve faiz oranları gibi faktörler nedeniyle küresel girişim yatırımları azaldı.</w:t>
      </w:r>
    </w:p>
    <w:p w14:paraId="00A49C0D" w14:textId="77777777" w:rsidR="00D778F5" w:rsidRDefault="00D778F5" w:rsidP="004A399D">
      <w:pPr>
        <w:spacing w:after="0" w:line="300" w:lineRule="auto"/>
        <w:contextualSpacing/>
        <w:jc w:val="both"/>
        <w:rPr>
          <w:rFonts w:ascii="Arial" w:hAnsi="Arial" w:cs="Arial"/>
        </w:rPr>
      </w:pPr>
    </w:p>
    <w:p w14:paraId="4C9D4053" w14:textId="1E68001F" w:rsidR="00113973" w:rsidRDefault="00E533B4" w:rsidP="007D16C4">
      <w:pPr>
        <w:spacing w:after="0" w:line="300" w:lineRule="auto"/>
        <w:contextualSpacing/>
        <w:jc w:val="both"/>
        <w:rPr>
          <w:rFonts w:ascii="Arial" w:hAnsi="Arial" w:cs="Arial"/>
        </w:rPr>
      </w:pPr>
      <w:r w:rsidRPr="001F682E">
        <w:rPr>
          <w:rFonts w:ascii="Arial" w:hAnsi="Arial" w:cs="Arial"/>
        </w:rPr>
        <w:t>2021 yılının son çeyreğinde 207 milyar dolara ulaşan küresel girişim yatırımları bu yılın ilk çeyreğinde 165 milyar dolara gerilemesinin ardından ikinci çeyrekte düşüşünü sürdürerek 120 milyar dolara kadar geriledi.</w:t>
      </w:r>
      <w:r w:rsidRPr="00E533B4">
        <w:rPr>
          <w:rFonts w:ascii="Arial" w:hAnsi="Arial" w:cs="Arial"/>
        </w:rPr>
        <w:t xml:space="preserve"> İkinci çeyrekte Amerika, Avrupa ve Asya'da yatırım miktarı düş</w:t>
      </w:r>
      <w:r>
        <w:rPr>
          <w:rFonts w:ascii="Arial" w:hAnsi="Arial" w:cs="Arial"/>
        </w:rPr>
        <w:t xml:space="preserve">se de </w:t>
      </w:r>
      <w:r w:rsidRPr="00E533B4">
        <w:rPr>
          <w:rFonts w:ascii="Arial" w:hAnsi="Arial" w:cs="Arial"/>
        </w:rPr>
        <w:t xml:space="preserve">1 milyar doların üzerinde üç anlaşmanın </w:t>
      </w:r>
      <w:r>
        <w:rPr>
          <w:rFonts w:ascii="Arial" w:hAnsi="Arial" w:cs="Arial"/>
        </w:rPr>
        <w:t xml:space="preserve">gerçekleştiği </w:t>
      </w:r>
      <w:r w:rsidRPr="00E533B4">
        <w:rPr>
          <w:rFonts w:ascii="Arial" w:hAnsi="Arial" w:cs="Arial"/>
        </w:rPr>
        <w:t>ABD'</w:t>
      </w:r>
      <w:r>
        <w:rPr>
          <w:rFonts w:ascii="Arial" w:hAnsi="Arial" w:cs="Arial"/>
        </w:rPr>
        <w:t xml:space="preserve">nin girişim dünyası </w:t>
      </w:r>
      <w:r w:rsidRPr="00E533B4">
        <w:rPr>
          <w:rFonts w:ascii="Arial" w:hAnsi="Arial" w:cs="Arial"/>
        </w:rPr>
        <w:t>dayanıklılığı</w:t>
      </w:r>
      <w:r>
        <w:rPr>
          <w:rFonts w:ascii="Arial" w:hAnsi="Arial" w:cs="Arial"/>
        </w:rPr>
        <w:t xml:space="preserve">nı bir kez daha gösterdi. ABD merkezli </w:t>
      </w:r>
      <w:proofErr w:type="spellStart"/>
      <w:r w:rsidRPr="00E533B4">
        <w:rPr>
          <w:rFonts w:ascii="Arial" w:hAnsi="Arial" w:cs="Arial"/>
        </w:rPr>
        <w:t>Epic</w:t>
      </w:r>
      <w:proofErr w:type="spellEnd"/>
      <w:r w:rsidRPr="00E533B4">
        <w:rPr>
          <w:rFonts w:ascii="Arial" w:hAnsi="Arial" w:cs="Arial"/>
        </w:rPr>
        <w:t xml:space="preserve"> Games 2 milyar dolar, </w:t>
      </w:r>
      <w:proofErr w:type="spellStart"/>
      <w:r w:rsidRPr="00E533B4">
        <w:rPr>
          <w:rFonts w:ascii="Arial" w:hAnsi="Arial" w:cs="Arial"/>
        </w:rPr>
        <w:t>SpaceX</w:t>
      </w:r>
      <w:proofErr w:type="spellEnd"/>
      <w:r w:rsidRPr="00E533B4">
        <w:rPr>
          <w:rFonts w:ascii="Arial" w:hAnsi="Arial" w:cs="Arial"/>
        </w:rPr>
        <w:t xml:space="preserve"> 1,7 milyar dolar ve </w:t>
      </w:r>
      <w:proofErr w:type="spellStart"/>
      <w:r w:rsidRPr="00E533B4">
        <w:rPr>
          <w:rFonts w:ascii="Arial" w:hAnsi="Arial" w:cs="Arial"/>
        </w:rPr>
        <w:t>GoPuff</w:t>
      </w:r>
      <w:proofErr w:type="spellEnd"/>
      <w:r w:rsidRPr="00E533B4">
        <w:rPr>
          <w:rFonts w:ascii="Arial" w:hAnsi="Arial" w:cs="Arial"/>
        </w:rPr>
        <w:t xml:space="preserve"> 1,5 milyar dolarl</w:t>
      </w:r>
      <w:r>
        <w:rPr>
          <w:rFonts w:ascii="Arial" w:hAnsi="Arial" w:cs="Arial"/>
        </w:rPr>
        <w:t xml:space="preserve">ık yatırımlar aldı. </w:t>
      </w:r>
      <w:r w:rsidRPr="00E533B4">
        <w:rPr>
          <w:rFonts w:ascii="Arial" w:hAnsi="Arial" w:cs="Arial"/>
        </w:rPr>
        <w:t>ABD dışında</w:t>
      </w:r>
      <w:r>
        <w:rPr>
          <w:rFonts w:ascii="Arial" w:hAnsi="Arial" w:cs="Arial"/>
        </w:rPr>
        <w:t xml:space="preserve"> en fazla yatırım ise Almanya merkezli </w:t>
      </w:r>
      <w:proofErr w:type="spellStart"/>
      <w:r w:rsidR="007D16C4" w:rsidRPr="007D16C4">
        <w:rPr>
          <w:rFonts w:ascii="Arial" w:hAnsi="Arial" w:cs="Arial"/>
        </w:rPr>
        <w:t>Trade</w:t>
      </w:r>
      <w:proofErr w:type="spellEnd"/>
      <w:r w:rsidR="007D16C4" w:rsidRPr="007D16C4">
        <w:rPr>
          <w:rFonts w:ascii="Arial" w:hAnsi="Arial" w:cs="Arial"/>
        </w:rPr>
        <w:t xml:space="preserve"> </w:t>
      </w:r>
      <w:proofErr w:type="spellStart"/>
      <w:r w:rsidR="007D16C4" w:rsidRPr="007D16C4">
        <w:rPr>
          <w:rFonts w:ascii="Arial" w:hAnsi="Arial" w:cs="Arial"/>
        </w:rPr>
        <w:t>Republic</w:t>
      </w:r>
      <w:r w:rsidR="007D16C4">
        <w:rPr>
          <w:rFonts w:ascii="Arial" w:hAnsi="Arial" w:cs="Arial"/>
        </w:rPr>
        <w:t>’in</w:t>
      </w:r>
      <w:proofErr w:type="spellEnd"/>
      <w:r w:rsidR="007D16C4">
        <w:rPr>
          <w:rFonts w:ascii="Arial" w:hAnsi="Arial" w:cs="Arial"/>
        </w:rPr>
        <w:t xml:space="preserve"> aldığı </w:t>
      </w:r>
      <w:r w:rsidRPr="00E533B4">
        <w:rPr>
          <w:rFonts w:ascii="Arial" w:hAnsi="Arial" w:cs="Arial"/>
        </w:rPr>
        <w:t xml:space="preserve">1,15 milyar dolarlık </w:t>
      </w:r>
      <w:r w:rsidR="007D16C4">
        <w:rPr>
          <w:rFonts w:ascii="Arial" w:hAnsi="Arial" w:cs="Arial"/>
        </w:rPr>
        <w:t xml:space="preserve">yatırım oldu. Bunu </w:t>
      </w:r>
      <w:r w:rsidRPr="00E533B4">
        <w:rPr>
          <w:rFonts w:ascii="Arial" w:hAnsi="Arial" w:cs="Arial"/>
        </w:rPr>
        <w:t xml:space="preserve">Hindistan merkezli </w:t>
      </w:r>
      <w:proofErr w:type="spellStart"/>
      <w:r w:rsidRPr="00E533B4">
        <w:rPr>
          <w:rFonts w:ascii="Arial" w:hAnsi="Arial" w:cs="Arial"/>
        </w:rPr>
        <w:t>Dailyhunt'un</w:t>
      </w:r>
      <w:proofErr w:type="spellEnd"/>
      <w:r w:rsidRPr="00E533B4">
        <w:rPr>
          <w:rFonts w:ascii="Arial" w:hAnsi="Arial" w:cs="Arial"/>
        </w:rPr>
        <w:t xml:space="preserve"> 805 milyon dolarlık, Birleşik Arap Emirlikleri</w:t>
      </w:r>
      <w:r w:rsidR="007D16C4">
        <w:rPr>
          <w:rFonts w:ascii="Arial" w:hAnsi="Arial" w:cs="Arial"/>
        </w:rPr>
        <w:t xml:space="preserve"> merkezli</w:t>
      </w:r>
      <w:r w:rsidRPr="00E533B4">
        <w:rPr>
          <w:rFonts w:ascii="Arial" w:hAnsi="Arial" w:cs="Arial"/>
        </w:rPr>
        <w:t xml:space="preserve"> </w:t>
      </w:r>
      <w:proofErr w:type="spellStart"/>
      <w:r w:rsidRPr="00E533B4">
        <w:rPr>
          <w:rFonts w:ascii="Arial" w:hAnsi="Arial" w:cs="Arial"/>
        </w:rPr>
        <w:t>Kitopiin'in</w:t>
      </w:r>
      <w:proofErr w:type="spellEnd"/>
      <w:r w:rsidRPr="00E533B4">
        <w:rPr>
          <w:rFonts w:ascii="Arial" w:hAnsi="Arial" w:cs="Arial"/>
        </w:rPr>
        <w:t xml:space="preserve"> 714 milyon dolarlık ve İsviçre merkezli </w:t>
      </w:r>
      <w:proofErr w:type="spellStart"/>
      <w:r w:rsidRPr="00E533B4">
        <w:rPr>
          <w:rFonts w:ascii="Arial" w:hAnsi="Arial" w:cs="Arial"/>
        </w:rPr>
        <w:t>Climeworks'ün</w:t>
      </w:r>
      <w:proofErr w:type="spellEnd"/>
      <w:r w:rsidRPr="00E533B4">
        <w:rPr>
          <w:rFonts w:ascii="Arial" w:hAnsi="Arial" w:cs="Arial"/>
        </w:rPr>
        <w:t xml:space="preserve"> 650 milyon dolarlık </w:t>
      </w:r>
      <w:r w:rsidR="007D16C4">
        <w:rPr>
          <w:rFonts w:ascii="Arial" w:hAnsi="Arial" w:cs="Arial"/>
        </w:rPr>
        <w:t>yatırımları takip etti.</w:t>
      </w:r>
    </w:p>
    <w:p w14:paraId="16D9628E" w14:textId="2CA6AB64" w:rsidR="00ED793F" w:rsidRDefault="00ED793F" w:rsidP="007D16C4">
      <w:pPr>
        <w:spacing w:after="0" w:line="300" w:lineRule="auto"/>
        <w:contextualSpacing/>
        <w:jc w:val="both"/>
        <w:rPr>
          <w:rFonts w:ascii="Arial" w:hAnsi="Arial" w:cs="Arial"/>
        </w:rPr>
      </w:pPr>
    </w:p>
    <w:p w14:paraId="1109F1F3" w14:textId="6F1E00B1" w:rsidR="00ED793F" w:rsidRDefault="00ED793F" w:rsidP="007D16C4">
      <w:pPr>
        <w:spacing w:after="0" w:line="300" w:lineRule="auto"/>
        <w:contextualSpacing/>
        <w:jc w:val="both"/>
        <w:rPr>
          <w:rFonts w:ascii="Arial" w:hAnsi="Arial" w:cs="Arial"/>
        </w:rPr>
      </w:pPr>
      <w:r>
        <w:rPr>
          <w:rFonts w:ascii="Arial" w:hAnsi="Arial" w:cs="Arial"/>
        </w:rPr>
        <w:t xml:space="preserve">Raporu değerlendiren KPMG Türkiye </w:t>
      </w:r>
      <w:r w:rsidRPr="00ED793F">
        <w:rPr>
          <w:rFonts w:ascii="Arial" w:hAnsi="Arial" w:cs="Arial"/>
        </w:rPr>
        <w:t>Birleşme ve Satın Alma Danışmanlığı Şirket Ortağı</w:t>
      </w:r>
      <w:r>
        <w:rPr>
          <w:rFonts w:ascii="Arial" w:hAnsi="Arial" w:cs="Arial"/>
        </w:rPr>
        <w:t xml:space="preserve"> Gökhan Kaçmaz; “Jeopolitik belirsizlikler ve küresel VC pazarının işlem hacmi ve sayısında yaşadığı düşüşle birlikte, teknoloji şirketleri zorlu bir dönemden geçiyor. </w:t>
      </w:r>
      <w:r w:rsidR="001F682E">
        <w:rPr>
          <w:rFonts w:ascii="Arial" w:hAnsi="Arial" w:cs="Arial"/>
        </w:rPr>
        <w:t xml:space="preserve">Değerlemelerdeki düşüş ve teknoloji şirketlerinin piyasalarda zayıf performans göstermesi, ikinci çeyrekte halka arz faaliyetlerinde bir yavaşlamaya neden oldu. </w:t>
      </w:r>
      <w:r>
        <w:rPr>
          <w:rFonts w:ascii="Arial" w:hAnsi="Arial" w:cs="Arial"/>
        </w:rPr>
        <w:t>Yatırımcıların, portföy şirketlerine nakitlerini korumaları yönünde talimat verdiğini gözlemliyoruz. 2022 yılının üçüncü çeyreği için de benzer bir görünüm söz konusu</w:t>
      </w:r>
      <w:r w:rsidR="00E83E4D">
        <w:rPr>
          <w:rFonts w:ascii="Arial" w:hAnsi="Arial" w:cs="Arial"/>
        </w:rPr>
        <w:t xml:space="preserve">, karlılık </w:t>
      </w:r>
      <w:proofErr w:type="spellStart"/>
      <w:r w:rsidR="00E83E4D">
        <w:rPr>
          <w:rFonts w:ascii="Arial" w:hAnsi="Arial" w:cs="Arial"/>
        </w:rPr>
        <w:t>startup’lar</w:t>
      </w:r>
      <w:proofErr w:type="spellEnd"/>
      <w:r w:rsidR="00E83E4D">
        <w:rPr>
          <w:rFonts w:ascii="Arial" w:hAnsi="Arial" w:cs="Arial"/>
        </w:rPr>
        <w:t xml:space="preserve"> için kritik önemde,” yorumunda bulundu. </w:t>
      </w:r>
    </w:p>
    <w:p w14:paraId="483BFE80" w14:textId="77777777" w:rsidR="00ED793F" w:rsidRDefault="00ED793F" w:rsidP="007D16C4">
      <w:pPr>
        <w:spacing w:after="0" w:line="300" w:lineRule="auto"/>
        <w:contextualSpacing/>
        <w:jc w:val="both"/>
        <w:rPr>
          <w:rFonts w:ascii="Arial" w:hAnsi="Arial" w:cs="Arial"/>
        </w:rPr>
      </w:pPr>
    </w:p>
    <w:p w14:paraId="500E0D9F" w14:textId="77777777" w:rsidR="00737D9D" w:rsidRDefault="00737D9D" w:rsidP="004A399D">
      <w:pPr>
        <w:spacing w:after="0" w:line="300" w:lineRule="auto"/>
        <w:contextualSpacing/>
        <w:jc w:val="both"/>
        <w:rPr>
          <w:rFonts w:ascii="Arial" w:hAnsi="Arial" w:cs="Arial"/>
        </w:rPr>
      </w:pPr>
    </w:p>
    <w:p w14:paraId="78D8A48A" w14:textId="5295C5BE" w:rsidR="007D16C4" w:rsidRPr="00E95096" w:rsidRDefault="007D16C4" w:rsidP="004A399D">
      <w:pPr>
        <w:spacing w:after="0" w:line="300" w:lineRule="auto"/>
        <w:contextualSpacing/>
        <w:jc w:val="both"/>
        <w:rPr>
          <w:rFonts w:ascii="Arial" w:hAnsi="Arial" w:cs="Arial"/>
          <w:b/>
          <w:bCs/>
        </w:rPr>
      </w:pPr>
      <w:r w:rsidRPr="00E95096">
        <w:rPr>
          <w:rFonts w:ascii="Arial" w:hAnsi="Arial" w:cs="Arial"/>
          <w:b/>
          <w:bCs/>
        </w:rPr>
        <w:t xml:space="preserve">Nakit rezervi olmasına </w:t>
      </w:r>
      <w:r w:rsidR="00E95096">
        <w:rPr>
          <w:rFonts w:ascii="Arial" w:hAnsi="Arial" w:cs="Arial"/>
          <w:b/>
          <w:bCs/>
        </w:rPr>
        <w:t xml:space="preserve">rağmen </w:t>
      </w:r>
      <w:r w:rsidRPr="00E95096">
        <w:rPr>
          <w:rFonts w:ascii="Arial" w:hAnsi="Arial" w:cs="Arial"/>
          <w:b/>
          <w:bCs/>
        </w:rPr>
        <w:t xml:space="preserve">küresel girişim yatırımcıları daha temkinli </w:t>
      </w:r>
    </w:p>
    <w:p w14:paraId="4E3EDB0D" w14:textId="72793488" w:rsidR="00113973" w:rsidRDefault="00E95096" w:rsidP="00737D9D">
      <w:pPr>
        <w:spacing w:after="0" w:line="300" w:lineRule="auto"/>
        <w:contextualSpacing/>
        <w:jc w:val="both"/>
        <w:rPr>
          <w:rFonts w:ascii="Arial" w:hAnsi="Arial" w:cs="Arial"/>
        </w:rPr>
      </w:pPr>
      <w:r w:rsidRPr="00E95096">
        <w:rPr>
          <w:rFonts w:ascii="Arial" w:hAnsi="Arial" w:cs="Arial"/>
        </w:rPr>
        <w:t>Küresel olarak, özellikle ABD</w:t>
      </w:r>
      <w:r>
        <w:rPr>
          <w:rFonts w:ascii="Arial" w:hAnsi="Arial" w:cs="Arial"/>
        </w:rPr>
        <w:t xml:space="preserve"> </w:t>
      </w:r>
      <w:r w:rsidRPr="00E95096">
        <w:rPr>
          <w:rFonts w:ascii="Arial" w:hAnsi="Arial" w:cs="Arial"/>
        </w:rPr>
        <w:t xml:space="preserve">ve Avrupa'da </w:t>
      </w:r>
      <w:r>
        <w:rPr>
          <w:rFonts w:ascii="Arial" w:hAnsi="Arial" w:cs="Arial"/>
        </w:rPr>
        <w:t xml:space="preserve">risk sermayesi piyasasında </w:t>
      </w:r>
      <w:r w:rsidRPr="00E95096">
        <w:rPr>
          <w:rFonts w:ascii="Arial" w:hAnsi="Arial" w:cs="Arial"/>
        </w:rPr>
        <w:t xml:space="preserve">makul miktarda </w:t>
      </w:r>
      <w:r>
        <w:rPr>
          <w:rFonts w:ascii="Arial" w:hAnsi="Arial" w:cs="Arial"/>
        </w:rPr>
        <w:t xml:space="preserve">nakit rezervi bulunsa da temkinli davranan yatırımcılar </w:t>
      </w:r>
      <w:r w:rsidRPr="00E95096">
        <w:rPr>
          <w:rFonts w:ascii="Arial" w:hAnsi="Arial" w:cs="Arial"/>
        </w:rPr>
        <w:t>portföylerindeki şirketlere,</w:t>
      </w:r>
      <w:r>
        <w:rPr>
          <w:rFonts w:ascii="Arial" w:hAnsi="Arial" w:cs="Arial"/>
        </w:rPr>
        <w:t xml:space="preserve"> kârlılık yolunda </w:t>
      </w:r>
      <w:r>
        <w:rPr>
          <w:rFonts w:ascii="Arial" w:hAnsi="Arial" w:cs="Arial"/>
        </w:rPr>
        <w:lastRenderedPageBreak/>
        <w:t xml:space="preserve">güçlü şekilde yol alan girişimlere ve </w:t>
      </w:r>
      <w:r w:rsidRPr="00E95096">
        <w:rPr>
          <w:rFonts w:ascii="Arial" w:hAnsi="Arial" w:cs="Arial"/>
        </w:rPr>
        <w:t>Ukrayna'da</w:t>
      </w:r>
      <w:r>
        <w:rPr>
          <w:rFonts w:ascii="Arial" w:hAnsi="Arial" w:cs="Arial"/>
        </w:rPr>
        <w:t xml:space="preserve"> yaşanan </w:t>
      </w:r>
      <w:r w:rsidRPr="00E95096">
        <w:rPr>
          <w:rFonts w:ascii="Arial" w:hAnsi="Arial" w:cs="Arial"/>
        </w:rPr>
        <w:t xml:space="preserve">krizle </w:t>
      </w:r>
      <w:r>
        <w:rPr>
          <w:rFonts w:ascii="Arial" w:hAnsi="Arial" w:cs="Arial"/>
        </w:rPr>
        <w:t xml:space="preserve">birlikte </w:t>
      </w:r>
      <w:r w:rsidRPr="00E95096">
        <w:rPr>
          <w:rFonts w:ascii="Arial" w:hAnsi="Arial" w:cs="Arial"/>
        </w:rPr>
        <w:t xml:space="preserve">dikkat </w:t>
      </w:r>
      <w:r>
        <w:rPr>
          <w:rFonts w:ascii="Arial" w:hAnsi="Arial" w:cs="Arial"/>
        </w:rPr>
        <w:t xml:space="preserve">çekmeye başlayan </w:t>
      </w:r>
      <w:r w:rsidRPr="00E95096">
        <w:rPr>
          <w:rFonts w:ascii="Arial" w:hAnsi="Arial" w:cs="Arial"/>
        </w:rPr>
        <w:t>sektörlerde</w:t>
      </w:r>
      <w:r>
        <w:rPr>
          <w:rFonts w:ascii="Arial" w:hAnsi="Arial" w:cs="Arial"/>
        </w:rPr>
        <w:t xml:space="preserve"> faaliyet gösteren</w:t>
      </w:r>
      <w:r w:rsidRPr="00E95096">
        <w:rPr>
          <w:rFonts w:ascii="Arial" w:hAnsi="Arial" w:cs="Arial"/>
        </w:rPr>
        <w:t xml:space="preserve"> şirketler</w:t>
      </w:r>
      <w:r>
        <w:rPr>
          <w:rFonts w:ascii="Arial" w:hAnsi="Arial" w:cs="Arial"/>
        </w:rPr>
        <w:t xml:space="preserve">e daha çok odaklanıyor. </w:t>
      </w:r>
      <w:r w:rsidR="00A76CA9">
        <w:rPr>
          <w:rFonts w:ascii="Arial" w:hAnsi="Arial" w:cs="Arial"/>
        </w:rPr>
        <w:t>Girişim</w:t>
      </w:r>
      <w:r w:rsidRPr="00E95096">
        <w:rPr>
          <w:rFonts w:ascii="Arial" w:hAnsi="Arial" w:cs="Arial"/>
        </w:rPr>
        <w:t xml:space="preserve"> yatırımcıları, fırtınadan </w:t>
      </w:r>
      <w:r w:rsidR="00A76CA9">
        <w:rPr>
          <w:rFonts w:ascii="Arial" w:hAnsi="Arial" w:cs="Arial"/>
        </w:rPr>
        <w:t xml:space="preserve">korunmaları için </w:t>
      </w:r>
      <w:r w:rsidR="00A76CA9" w:rsidRPr="00E95096">
        <w:rPr>
          <w:rFonts w:ascii="Arial" w:hAnsi="Arial" w:cs="Arial"/>
        </w:rPr>
        <w:t>portföy şirketleri</w:t>
      </w:r>
      <w:r w:rsidR="00A76CA9">
        <w:rPr>
          <w:rFonts w:ascii="Arial" w:hAnsi="Arial" w:cs="Arial"/>
        </w:rPr>
        <w:t xml:space="preserve">ne </w:t>
      </w:r>
      <w:r w:rsidRPr="00E95096">
        <w:rPr>
          <w:rFonts w:ascii="Arial" w:hAnsi="Arial" w:cs="Arial"/>
        </w:rPr>
        <w:t>nakit</w:t>
      </w:r>
      <w:r w:rsidR="00A76CA9">
        <w:rPr>
          <w:rFonts w:ascii="Arial" w:hAnsi="Arial" w:cs="Arial"/>
        </w:rPr>
        <w:t>lerini korumaları yönünde baskı yapıyor. Yüksek değerlenmeye sahip b</w:t>
      </w:r>
      <w:r w:rsidRPr="00E95096">
        <w:rPr>
          <w:rFonts w:ascii="Arial" w:hAnsi="Arial" w:cs="Arial"/>
        </w:rPr>
        <w:t xml:space="preserve">ir dizi özel şirket, </w:t>
      </w:r>
      <w:r w:rsidR="00A76CA9">
        <w:rPr>
          <w:rFonts w:ascii="Arial" w:hAnsi="Arial" w:cs="Arial"/>
        </w:rPr>
        <w:t xml:space="preserve">2022 yılının 2. çeyreğinde </w:t>
      </w:r>
      <w:r w:rsidRPr="00E95096">
        <w:rPr>
          <w:rFonts w:ascii="Arial" w:hAnsi="Arial" w:cs="Arial"/>
        </w:rPr>
        <w:t>6 ay öncesine kıyasla değerlemelerinin düştüğünü gördü</w:t>
      </w:r>
      <w:r w:rsidR="00A76CA9">
        <w:rPr>
          <w:rFonts w:ascii="Arial" w:hAnsi="Arial" w:cs="Arial"/>
        </w:rPr>
        <w:t>. D</w:t>
      </w:r>
      <w:r w:rsidRPr="00E95096">
        <w:rPr>
          <w:rFonts w:ascii="Arial" w:hAnsi="Arial" w:cs="Arial"/>
        </w:rPr>
        <w:t>ünya çapında halka açık birçok teknoloji şirketin</w:t>
      </w:r>
      <w:r w:rsidR="00A76CA9">
        <w:rPr>
          <w:rFonts w:ascii="Arial" w:hAnsi="Arial" w:cs="Arial"/>
        </w:rPr>
        <w:t xml:space="preserve">de de bu şekilde düşüşler yaşandı. </w:t>
      </w:r>
      <w:r w:rsidRPr="00E95096">
        <w:rPr>
          <w:rFonts w:ascii="Arial" w:hAnsi="Arial" w:cs="Arial"/>
        </w:rPr>
        <w:t>Bu</w:t>
      </w:r>
      <w:r w:rsidR="00A76CA9">
        <w:rPr>
          <w:rFonts w:ascii="Arial" w:hAnsi="Arial" w:cs="Arial"/>
        </w:rPr>
        <w:t xml:space="preserve"> da </w:t>
      </w:r>
      <w:r w:rsidR="00946E34">
        <w:rPr>
          <w:rFonts w:ascii="Arial" w:hAnsi="Arial" w:cs="Arial"/>
        </w:rPr>
        <w:t xml:space="preserve">mevcut belirsizliklerden zarar görmemek için bazı </w:t>
      </w:r>
      <w:r w:rsidRPr="00E95096">
        <w:rPr>
          <w:rFonts w:ascii="Arial" w:hAnsi="Arial" w:cs="Arial"/>
        </w:rPr>
        <w:t xml:space="preserve">küresel </w:t>
      </w:r>
      <w:r w:rsidR="00946E34">
        <w:rPr>
          <w:rFonts w:ascii="Arial" w:hAnsi="Arial" w:cs="Arial"/>
        </w:rPr>
        <w:t xml:space="preserve">yatırım </w:t>
      </w:r>
      <w:r w:rsidRPr="00E95096">
        <w:rPr>
          <w:rFonts w:ascii="Arial" w:hAnsi="Arial" w:cs="Arial"/>
        </w:rPr>
        <w:t>firma</w:t>
      </w:r>
      <w:r w:rsidR="00946E34">
        <w:rPr>
          <w:rFonts w:ascii="Arial" w:hAnsi="Arial" w:cs="Arial"/>
        </w:rPr>
        <w:t>larının</w:t>
      </w:r>
      <w:r w:rsidRPr="00E95096">
        <w:rPr>
          <w:rFonts w:ascii="Arial" w:hAnsi="Arial" w:cs="Arial"/>
        </w:rPr>
        <w:t xml:space="preserve"> portföy</w:t>
      </w:r>
      <w:r w:rsidR="00946E34">
        <w:rPr>
          <w:rFonts w:ascii="Arial" w:hAnsi="Arial" w:cs="Arial"/>
        </w:rPr>
        <w:t xml:space="preserve">lerindeki </w:t>
      </w:r>
      <w:r w:rsidRPr="00E95096">
        <w:rPr>
          <w:rFonts w:ascii="Arial" w:hAnsi="Arial" w:cs="Arial"/>
        </w:rPr>
        <w:t>şirketler</w:t>
      </w:r>
      <w:r w:rsidR="00946E34">
        <w:rPr>
          <w:rFonts w:ascii="Arial" w:hAnsi="Arial" w:cs="Arial"/>
        </w:rPr>
        <w:t xml:space="preserve">i yönetebilmek için yatırım bütçelerini daraltmalarına, </w:t>
      </w:r>
      <w:r w:rsidRPr="00E95096">
        <w:rPr>
          <w:rFonts w:ascii="Arial" w:hAnsi="Arial" w:cs="Arial"/>
        </w:rPr>
        <w:t>işe alım planlarında daha seçici olma</w:t>
      </w:r>
      <w:r w:rsidR="00946E34">
        <w:rPr>
          <w:rFonts w:ascii="Arial" w:hAnsi="Arial" w:cs="Arial"/>
        </w:rPr>
        <w:t>larına</w:t>
      </w:r>
      <w:r w:rsidRPr="00E95096">
        <w:rPr>
          <w:rFonts w:ascii="Arial" w:hAnsi="Arial" w:cs="Arial"/>
        </w:rPr>
        <w:t xml:space="preserve"> ve iş</w:t>
      </w:r>
      <w:r w:rsidR="00946E34">
        <w:rPr>
          <w:rFonts w:ascii="Arial" w:hAnsi="Arial" w:cs="Arial"/>
        </w:rPr>
        <w:t xml:space="preserve"> </w:t>
      </w:r>
      <w:r w:rsidRPr="00E95096">
        <w:rPr>
          <w:rFonts w:ascii="Arial" w:hAnsi="Arial" w:cs="Arial"/>
        </w:rPr>
        <w:t>gücünü rasyonel</w:t>
      </w:r>
      <w:r w:rsidR="00946E34">
        <w:rPr>
          <w:rFonts w:ascii="Arial" w:hAnsi="Arial" w:cs="Arial"/>
        </w:rPr>
        <w:t xml:space="preserve"> bir şekilde düzenlemelerine neden oldu. </w:t>
      </w:r>
      <w:r w:rsidRPr="00E95096">
        <w:rPr>
          <w:rFonts w:ascii="Arial" w:hAnsi="Arial" w:cs="Arial"/>
        </w:rPr>
        <w:t xml:space="preserve">Birçok </w:t>
      </w:r>
      <w:r w:rsidR="00946E34">
        <w:rPr>
          <w:rFonts w:ascii="Arial" w:hAnsi="Arial" w:cs="Arial"/>
        </w:rPr>
        <w:t xml:space="preserve">girişim </w:t>
      </w:r>
      <w:r w:rsidRPr="00E95096">
        <w:rPr>
          <w:rFonts w:ascii="Arial" w:hAnsi="Arial" w:cs="Arial"/>
        </w:rPr>
        <w:t xml:space="preserve">yatırımcısı ve </w:t>
      </w:r>
      <w:proofErr w:type="spellStart"/>
      <w:r w:rsidRPr="00E95096">
        <w:rPr>
          <w:rFonts w:ascii="Arial" w:hAnsi="Arial" w:cs="Arial"/>
        </w:rPr>
        <w:t>startup</w:t>
      </w:r>
      <w:proofErr w:type="spellEnd"/>
      <w:r w:rsidRPr="00E95096">
        <w:rPr>
          <w:rFonts w:ascii="Arial" w:hAnsi="Arial" w:cs="Arial"/>
        </w:rPr>
        <w:t>, piyasa</w:t>
      </w:r>
      <w:r w:rsidR="00737D9D">
        <w:rPr>
          <w:rFonts w:ascii="Arial" w:hAnsi="Arial" w:cs="Arial"/>
        </w:rPr>
        <w:t>da yaşanan</w:t>
      </w:r>
      <w:r w:rsidRPr="00E95096">
        <w:rPr>
          <w:rFonts w:ascii="Arial" w:hAnsi="Arial" w:cs="Arial"/>
        </w:rPr>
        <w:t xml:space="preserve"> türbülans</w:t>
      </w:r>
      <w:r w:rsidR="00737D9D">
        <w:rPr>
          <w:rFonts w:ascii="Arial" w:hAnsi="Arial" w:cs="Arial"/>
        </w:rPr>
        <w:t xml:space="preserve"> geçinceye kadar </w:t>
      </w:r>
      <w:r w:rsidRPr="00E95096">
        <w:rPr>
          <w:rFonts w:ascii="Arial" w:hAnsi="Arial" w:cs="Arial"/>
        </w:rPr>
        <w:t>nakit</w:t>
      </w:r>
      <w:r w:rsidR="00737D9D">
        <w:rPr>
          <w:rFonts w:ascii="Arial" w:hAnsi="Arial" w:cs="Arial"/>
        </w:rPr>
        <w:t xml:space="preserve">te kalmayı tercih ederek </w:t>
      </w:r>
      <w:r w:rsidR="00737D9D" w:rsidRPr="00E95096">
        <w:rPr>
          <w:rFonts w:ascii="Arial" w:hAnsi="Arial" w:cs="Arial"/>
        </w:rPr>
        <w:t xml:space="preserve">yeni fonlama turlarını </w:t>
      </w:r>
      <w:r w:rsidR="00737D9D">
        <w:rPr>
          <w:rFonts w:ascii="Arial" w:hAnsi="Arial" w:cs="Arial"/>
        </w:rPr>
        <w:t xml:space="preserve">erteliyor. </w:t>
      </w:r>
    </w:p>
    <w:p w14:paraId="4A898A41" w14:textId="1989C8AA" w:rsidR="00113973" w:rsidRDefault="00113973" w:rsidP="004A399D">
      <w:pPr>
        <w:spacing w:after="0" w:line="300" w:lineRule="auto"/>
        <w:jc w:val="both"/>
        <w:rPr>
          <w:rFonts w:ascii="Arial" w:hAnsi="Arial" w:cs="Arial"/>
        </w:rPr>
      </w:pPr>
    </w:p>
    <w:p w14:paraId="711DDC5B" w14:textId="10A586D9" w:rsidR="00113973" w:rsidRPr="00737D9D" w:rsidRDefault="00737D9D" w:rsidP="004A399D">
      <w:pPr>
        <w:spacing w:after="0" w:line="300" w:lineRule="auto"/>
        <w:jc w:val="both"/>
        <w:rPr>
          <w:rFonts w:ascii="Arial" w:hAnsi="Arial" w:cs="Arial"/>
          <w:b/>
          <w:bCs/>
        </w:rPr>
      </w:pPr>
      <w:r w:rsidRPr="00737D9D">
        <w:rPr>
          <w:rFonts w:ascii="Arial" w:hAnsi="Arial" w:cs="Arial"/>
          <w:b/>
          <w:bCs/>
        </w:rPr>
        <w:t>Tedarik zinciri ve otomasyon dikkat çekmeye devam ediyor</w:t>
      </w:r>
    </w:p>
    <w:p w14:paraId="370BCB3C" w14:textId="44A2AE75" w:rsidR="005F0E8D" w:rsidRDefault="00BA2B2C" w:rsidP="006C764C">
      <w:pPr>
        <w:spacing w:after="0" w:line="300" w:lineRule="auto"/>
        <w:jc w:val="both"/>
        <w:rPr>
          <w:rFonts w:ascii="Arial" w:hAnsi="Arial" w:cs="Arial"/>
        </w:rPr>
      </w:pPr>
      <w:r w:rsidRPr="00BA2B2C">
        <w:rPr>
          <w:rFonts w:ascii="Arial" w:hAnsi="Arial" w:cs="Arial"/>
        </w:rPr>
        <w:t xml:space="preserve">Tüketici odaklı işletmelere yatırımcı ilgisi </w:t>
      </w:r>
      <w:r>
        <w:rPr>
          <w:rFonts w:ascii="Arial" w:hAnsi="Arial" w:cs="Arial"/>
        </w:rPr>
        <w:t>20</w:t>
      </w:r>
      <w:r w:rsidRPr="00BA2B2C">
        <w:rPr>
          <w:rFonts w:ascii="Arial" w:hAnsi="Arial" w:cs="Arial"/>
        </w:rPr>
        <w:t>22'nin ikinci çeyreğinde azalırken birçok sektör</w:t>
      </w:r>
      <w:r>
        <w:rPr>
          <w:rFonts w:ascii="Arial" w:hAnsi="Arial" w:cs="Arial"/>
        </w:rPr>
        <w:t>e</w:t>
      </w:r>
      <w:r w:rsidRPr="00BA2B2C">
        <w:rPr>
          <w:rFonts w:ascii="Arial" w:hAnsi="Arial" w:cs="Arial"/>
        </w:rPr>
        <w:t xml:space="preserve"> ilgi nispeten yüksek kaldı. </w:t>
      </w:r>
      <w:r>
        <w:rPr>
          <w:rFonts w:ascii="Arial" w:hAnsi="Arial" w:cs="Arial"/>
        </w:rPr>
        <w:t>Ş</w:t>
      </w:r>
      <w:r w:rsidRPr="00BA2B2C">
        <w:rPr>
          <w:rFonts w:ascii="Arial" w:hAnsi="Arial" w:cs="Arial"/>
        </w:rPr>
        <w:t xml:space="preserve">irketler devam eden tedarik zinciri sorununu çözmenin yollarını aradıkça </w:t>
      </w:r>
      <w:r>
        <w:rPr>
          <w:rFonts w:ascii="Arial" w:hAnsi="Arial" w:cs="Arial"/>
        </w:rPr>
        <w:t>t</w:t>
      </w:r>
      <w:r w:rsidRPr="00BA2B2C">
        <w:rPr>
          <w:rFonts w:ascii="Arial" w:hAnsi="Arial" w:cs="Arial"/>
        </w:rPr>
        <w:t>edarik zinciri ve lojistik</w:t>
      </w:r>
      <w:r>
        <w:rPr>
          <w:rFonts w:ascii="Arial" w:hAnsi="Arial" w:cs="Arial"/>
        </w:rPr>
        <w:t xml:space="preserve"> sektörü de ciddi anlamada </w:t>
      </w:r>
      <w:r w:rsidRPr="00BA2B2C">
        <w:rPr>
          <w:rFonts w:ascii="Arial" w:hAnsi="Arial" w:cs="Arial"/>
        </w:rPr>
        <w:t xml:space="preserve">ilgi </w:t>
      </w:r>
      <w:r w:rsidR="006C764C">
        <w:rPr>
          <w:rFonts w:ascii="Arial" w:hAnsi="Arial" w:cs="Arial"/>
        </w:rPr>
        <w:t>çekti</w:t>
      </w:r>
      <w:r w:rsidRPr="00BA2B2C">
        <w:rPr>
          <w:rFonts w:ascii="Arial" w:hAnsi="Arial" w:cs="Arial"/>
        </w:rPr>
        <w:t xml:space="preserve">. Tedarik zinciri yönetimine </w:t>
      </w:r>
      <w:r w:rsidR="006C764C">
        <w:rPr>
          <w:rFonts w:ascii="Arial" w:hAnsi="Arial" w:cs="Arial"/>
        </w:rPr>
        <w:t xml:space="preserve">odaklanan girişim </w:t>
      </w:r>
      <w:r w:rsidRPr="00BA2B2C">
        <w:rPr>
          <w:rFonts w:ascii="Arial" w:hAnsi="Arial" w:cs="Arial"/>
        </w:rPr>
        <w:t>yatırımcıları</w:t>
      </w:r>
      <w:r w:rsidR="006C764C">
        <w:rPr>
          <w:rFonts w:ascii="Arial" w:hAnsi="Arial" w:cs="Arial"/>
        </w:rPr>
        <w:t xml:space="preserve">nın ilgi gösterdiği diğer bir alan ise otomasyon oldu. Yatırımcılar sadece </w:t>
      </w:r>
      <w:r w:rsidRPr="00BA2B2C">
        <w:rPr>
          <w:rFonts w:ascii="Arial" w:hAnsi="Arial" w:cs="Arial"/>
        </w:rPr>
        <w:t>uzun mesafeli taşımacılık</w:t>
      </w:r>
      <w:r w:rsidR="006C764C">
        <w:rPr>
          <w:rFonts w:ascii="Arial" w:hAnsi="Arial" w:cs="Arial"/>
        </w:rPr>
        <w:t xml:space="preserve"> alanında değil aynı zamanda </w:t>
      </w:r>
      <w:r w:rsidRPr="00BA2B2C">
        <w:rPr>
          <w:rFonts w:ascii="Arial" w:hAnsi="Arial" w:cs="Arial"/>
        </w:rPr>
        <w:t xml:space="preserve">depolarda, çiftliklerde ve endüstriyel veya üretim tesislerinde </w:t>
      </w:r>
      <w:r w:rsidR="006C764C">
        <w:rPr>
          <w:rFonts w:ascii="Arial" w:hAnsi="Arial" w:cs="Arial"/>
        </w:rPr>
        <w:t xml:space="preserve">kullanılacak </w:t>
      </w:r>
      <w:r w:rsidRPr="00BA2B2C">
        <w:rPr>
          <w:rFonts w:ascii="Arial" w:hAnsi="Arial" w:cs="Arial"/>
        </w:rPr>
        <w:t xml:space="preserve">otomatikleştirilmiş araçların geliştirilmesine ilgi gösterdi. Dron teknolojileri de </w:t>
      </w:r>
      <w:r w:rsidR="006C764C">
        <w:rPr>
          <w:rFonts w:ascii="Arial" w:hAnsi="Arial" w:cs="Arial"/>
        </w:rPr>
        <w:t xml:space="preserve">aynı şekilde girişim </w:t>
      </w:r>
      <w:r w:rsidRPr="00BA2B2C">
        <w:rPr>
          <w:rFonts w:ascii="Arial" w:hAnsi="Arial" w:cs="Arial"/>
        </w:rPr>
        <w:t xml:space="preserve">yatırımcılarının radarında </w:t>
      </w:r>
      <w:r w:rsidR="006C764C">
        <w:rPr>
          <w:rFonts w:ascii="Arial" w:hAnsi="Arial" w:cs="Arial"/>
        </w:rPr>
        <w:t>ka</w:t>
      </w:r>
      <w:r w:rsidR="001007D9">
        <w:rPr>
          <w:rFonts w:ascii="Arial" w:hAnsi="Arial" w:cs="Arial"/>
        </w:rPr>
        <w:t>l</w:t>
      </w:r>
      <w:r w:rsidR="006C764C">
        <w:rPr>
          <w:rFonts w:ascii="Arial" w:hAnsi="Arial" w:cs="Arial"/>
        </w:rPr>
        <w:t>maya devam etti.</w:t>
      </w:r>
    </w:p>
    <w:p w14:paraId="0F625C72" w14:textId="77777777" w:rsidR="005F0E8D" w:rsidRDefault="005F0E8D" w:rsidP="004A399D">
      <w:pPr>
        <w:spacing w:after="0" w:line="300" w:lineRule="auto"/>
        <w:jc w:val="both"/>
        <w:rPr>
          <w:rFonts w:ascii="Arial" w:hAnsi="Arial" w:cs="Arial"/>
        </w:rPr>
      </w:pPr>
    </w:p>
    <w:p w14:paraId="37FC134F" w14:textId="01343CFF" w:rsidR="005F0E8D" w:rsidRPr="006C764C" w:rsidRDefault="006C764C" w:rsidP="006C764C">
      <w:pPr>
        <w:spacing w:after="0" w:line="300" w:lineRule="auto"/>
        <w:jc w:val="both"/>
        <w:rPr>
          <w:rFonts w:ascii="Arial" w:hAnsi="Arial" w:cs="Arial"/>
          <w:b/>
          <w:bCs/>
        </w:rPr>
      </w:pPr>
      <w:r w:rsidRPr="006C764C">
        <w:rPr>
          <w:rFonts w:ascii="Arial" w:hAnsi="Arial" w:cs="Arial"/>
          <w:b/>
          <w:bCs/>
        </w:rPr>
        <w:t>Yükselen enerji fiyatları alternatif enerjiye ilgili artırıyor</w:t>
      </w:r>
    </w:p>
    <w:p w14:paraId="595958BC" w14:textId="27C31030" w:rsidR="005F0E8D" w:rsidRDefault="006C764C" w:rsidP="00BF5F40">
      <w:pPr>
        <w:spacing w:after="0" w:line="300" w:lineRule="auto"/>
        <w:jc w:val="both"/>
        <w:rPr>
          <w:rFonts w:ascii="Arial" w:hAnsi="Arial" w:cs="Arial"/>
        </w:rPr>
      </w:pPr>
      <w:r w:rsidRPr="006C764C">
        <w:rPr>
          <w:rFonts w:ascii="Arial" w:hAnsi="Arial" w:cs="Arial"/>
        </w:rPr>
        <w:t>Dünyanın birçok bölgesinde hızla yükselen enerji fiyatları ve enerji bağımlıl</w:t>
      </w:r>
      <w:r>
        <w:rPr>
          <w:rFonts w:ascii="Arial" w:hAnsi="Arial" w:cs="Arial"/>
        </w:rPr>
        <w:t>ığına</w:t>
      </w:r>
      <w:r w:rsidRPr="006C764C">
        <w:rPr>
          <w:rFonts w:ascii="Arial" w:hAnsi="Arial" w:cs="Arial"/>
        </w:rPr>
        <w:t xml:space="preserve"> ilişkin artan endişeler, yatırımcıların alternatif enerji seçeneklerine, enerji depolamaya ve mobiliteye olan ilgisini ikinci çeyrekte daha da </w:t>
      </w:r>
      <w:r w:rsidR="001007D9">
        <w:rPr>
          <w:rFonts w:ascii="Arial" w:hAnsi="Arial" w:cs="Arial"/>
        </w:rPr>
        <w:t>artırdı</w:t>
      </w:r>
      <w:r w:rsidRPr="006C764C">
        <w:rPr>
          <w:rFonts w:ascii="Arial" w:hAnsi="Arial" w:cs="Arial"/>
        </w:rPr>
        <w:t xml:space="preserve">. Elektrikli araçlar ve piller, </w:t>
      </w:r>
      <w:r w:rsidR="00BF5F40">
        <w:rPr>
          <w:rFonts w:ascii="Arial" w:hAnsi="Arial" w:cs="Arial"/>
        </w:rPr>
        <w:t xml:space="preserve">2. </w:t>
      </w:r>
      <w:r w:rsidRPr="006C764C">
        <w:rPr>
          <w:rFonts w:ascii="Arial" w:hAnsi="Arial" w:cs="Arial"/>
        </w:rPr>
        <w:t>çeyrek boyunca yatırım</w:t>
      </w:r>
      <w:r w:rsidR="001007D9">
        <w:rPr>
          <w:rFonts w:ascii="Arial" w:hAnsi="Arial" w:cs="Arial"/>
        </w:rPr>
        <w:t>cılar</w:t>
      </w:r>
      <w:r w:rsidRPr="006C764C">
        <w:rPr>
          <w:rFonts w:ascii="Arial" w:hAnsi="Arial" w:cs="Arial"/>
        </w:rPr>
        <w:t xml:space="preserve"> için ana odak olmaya devam ederken hidrojen bazlı teknolojiler gibi alanlar da ilgi gördü. Önümüzdeki birkaç çeyrekte, Avrupa'da küçük ölçekli nükleer santrallerin geliştirilmesi gibi diğer enerji kaynaklarına ve çözümlerine olan ilginin artması </w:t>
      </w:r>
      <w:r w:rsidR="00BF5F40">
        <w:rPr>
          <w:rFonts w:ascii="Arial" w:hAnsi="Arial" w:cs="Arial"/>
        </w:rPr>
        <w:t xml:space="preserve">da </w:t>
      </w:r>
      <w:r w:rsidRPr="006C764C">
        <w:rPr>
          <w:rFonts w:ascii="Arial" w:hAnsi="Arial" w:cs="Arial"/>
        </w:rPr>
        <w:t>bekleniyor.</w:t>
      </w:r>
    </w:p>
    <w:p w14:paraId="5688048A" w14:textId="77777777" w:rsidR="005F0E8D" w:rsidRDefault="005F0E8D" w:rsidP="004A399D">
      <w:pPr>
        <w:spacing w:after="0" w:line="300" w:lineRule="auto"/>
        <w:jc w:val="both"/>
        <w:rPr>
          <w:rFonts w:ascii="Arial" w:hAnsi="Arial" w:cs="Arial"/>
        </w:rPr>
      </w:pPr>
    </w:p>
    <w:p w14:paraId="3A1A6380" w14:textId="56CBED2A" w:rsidR="005F0E8D" w:rsidRPr="00BF5F40" w:rsidRDefault="00BF5F40" w:rsidP="004A399D">
      <w:pPr>
        <w:spacing w:after="0" w:line="300" w:lineRule="auto"/>
        <w:jc w:val="both"/>
        <w:rPr>
          <w:rFonts w:ascii="Arial" w:hAnsi="Arial" w:cs="Arial"/>
          <w:b/>
          <w:bCs/>
        </w:rPr>
      </w:pPr>
      <w:r w:rsidRPr="00BF5F40">
        <w:rPr>
          <w:rFonts w:ascii="Arial" w:hAnsi="Arial" w:cs="Arial"/>
          <w:b/>
          <w:bCs/>
        </w:rPr>
        <w:t xml:space="preserve">Bazı girişimlerin </w:t>
      </w:r>
      <w:proofErr w:type="spellStart"/>
      <w:r w:rsidRPr="00BF5F40">
        <w:rPr>
          <w:rFonts w:ascii="Arial" w:hAnsi="Arial" w:cs="Arial"/>
          <w:b/>
          <w:bCs/>
        </w:rPr>
        <w:t>u</w:t>
      </w:r>
      <w:r w:rsidR="005F0E8D" w:rsidRPr="00BF5F40">
        <w:rPr>
          <w:rFonts w:ascii="Arial" w:hAnsi="Arial" w:cs="Arial"/>
          <w:b/>
          <w:bCs/>
        </w:rPr>
        <w:t>nicorn</w:t>
      </w:r>
      <w:proofErr w:type="spellEnd"/>
      <w:r w:rsidR="005F0E8D" w:rsidRPr="00BF5F40">
        <w:rPr>
          <w:rFonts w:ascii="Arial" w:hAnsi="Arial" w:cs="Arial"/>
          <w:b/>
          <w:bCs/>
        </w:rPr>
        <w:t xml:space="preserve"> </w:t>
      </w:r>
      <w:r w:rsidRPr="00BF5F40">
        <w:rPr>
          <w:rFonts w:ascii="Arial" w:hAnsi="Arial" w:cs="Arial"/>
          <w:b/>
          <w:bCs/>
        </w:rPr>
        <w:t>statüsü tehlikeye girdi</w:t>
      </w:r>
    </w:p>
    <w:p w14:paraId="0B960AAB" w14:textId="182A6F87" w:rsidR="005F0E8D" w:rsidRDefault="00BF5F40" w:rsidP="002C1784">
      <w:pPr>
        <w:spacing w:after="0" w:line="300" w:lineRule="auto"/>
        <w:jc w:val="both"/>
        <w:rPr>
          <w:rFonts w:ascii="Arial" w:hAnsi="Arial" w:cs="Arial"/>
        </w:rPr>
      </w:pPr>
      <w:r w:rsidRPr="00BF5F40">
        <w:rPr>
          <w:rFonts w:ascii="Arial" w:hAnsi="Arial" w:cs="Arial"/>
        </w:rPr>
        <w:t xml:space="preserve">İkinci çeyrekte, küresel </w:t>
      </w:r>
      <w:r>
        <w:rPr>
          <w:rFonts w:ascii="Arial" w:hAnsi="Arial" w:cs="Arial"/>
        </w:rPr>
        <w:t xml:space="preserve">çapta </w:t>
      </w:r>
      <w:r w:rsidRPr="00BF5F40">
        <w:rPr>
          <w:rFonts w:ascii="Arial" w:hAnsi="Arial" w:cs="Arial"/>
        </w:rPr>
        <w:t xml:space="preserve">97 yeni </w:t>
      </w:r>
      <w:proofErr w:type="spellStart"/>
      <w:r>
        <w:rPr>
          <w:rFonts w:ascii="Arial" w:hAnsi="Arial" w:cs="Arial"/>
        </w:rPr>
        <w:t>unicorn</w:t>
      </w:r>
      <w:proofErr w:type="spellEnd"/>
      <w:r>
        <w:rPr>
          <w:rFonts w:ascii="Arial" w:hAnsi="Arial" w:cs="Arial"/>
        </w:rPr>
        <w:t xml:space="preserve"> girişim doğdu. Bu </w:t>
      </w:r>
      <w:proofErr w:type="spellStart"/>
      <w:r>
        <w:rPr>
          <w:rFonts w:ascii="Arial" w:hAnsi="Arial" w:cs="Arial"/>
        </w:rPr>
        <w:t>unicorn</w:t>
      </w:r>
      <w:proofErr w:type="spellEnd"/>
      <w:r>
        <w:rPr>
          <w:rFonts w:ascii="Arial" w:hAnsi="Arial" w:cs="Arial"/>
        </w:rPr>
        <w:t xml:space="preserve"> girişimlerin üçte birinden fazlasını ise </w:t>
      </w:r>
      <w:proofErr w:type="spellStart"/>
      <w:r w:rsidRPr="00BF5F40">
        <w:rPr>
          <w:rFonts w:ascii="Arial" w:hAnsi="Arial" w:cs="Arial"/>
        </w:rPr>
        <w:t>fintech</w:t>
      </w:r>
      <w:proofErr w:type="spellEnd"/>
      <w:r w:rsidRPr="00BF5F40">
        <w:rPr>
          <w:rFonts w:ascii="Arial" w:hAnsi="Arial" w:cs="Arial"/>
        </w:rPr>
        <w:t xml:space="preserve"> şirketleri</w:t>
      </w:r>
      <w:r>
        <w:rPr>
          <w:rFonts w:ascii="Arial" w:hAnsi="Arial" w:cs="Arial"/>
        </w:rPr>
        <w:t xml:space="preserve"> oluşturdu. </w:t>
      </w:r>
      <w:proofErr w:type="spellStart"/>
      <w:r>
        <w:rPr>
          <w:rFonts w:ascii="Arial" w:hAnsi="Arial" w:cs="Arial"/>
        </w:rPr>
        <w:t>Unicorn</w:t>
      </w:r>
      <w:proofErr w:type="spellEnd"/>
      <w:r>
        <w:rPr>
          <w:rFonts w:ascii="Arial" w:hAnsi="Arial" w:cs="Arial"/>
        </w:rPr>
        <w:t xml:space="preserve"> girişimlerin yarıdan fazlası </w:t>
      </w:r>
      <w:r w:rsidRPr="00BF5F40">
        <w:rPr>
          <w:rFonts w:ascii="Arial" w:hAnsi="Arial" w:cs="Arial"/>
        </w:rPr>
        <w:t>Amerika</w:t>
      </w:r>
      <w:r>
        <w:rPr>
          <w:rFonts w:ascii="Arial" w:hAnsi="Arial" w:cs="Arial"/>
        </w:rPr>
        <w:t xml:space="preserve">’da bulunurken bu girişimlerin hemen hemen hepsi ABD merkezli. Sadece üç girişim Latin Amerika merkezli olup bunlar </w:t>
      </w:r>
      <w:r w:rsidRPr="00BF5F40">
        <w:rPr>
          <w:rFonts w:ascii="Arial" w:hAnsi="Arial" w:cs="Arial"/>
        </w:rPr>
        <w:t>Brezilya'da</w:t>
      </w:r>
      <w:r w:rsidR="00BC72CA">
        <w:rPr>
          <w:rFonts w:ascii="Arial" w:hAnsi="Arial" w:cs="Arial"/>
        </w:rPr>
        <w:t>ki</w:t>
      </w:r>
      <w:r w:rsidRPr="00BF5F40">
        <w:rPr>
          <w:rFonts w:ascii="Arial" w:hAnsi="Arial" w:cs="Arial"/>
        </w:rPr>
        <w:t xml:space="preserve"> </w:t>
      </w:r>
      <w:proofErr w:type="spellStart"/>
      <w:r w:rsidRPr="00BF5F40">
        <w:rPr>
          <w:rFonts w:ascii="Arial" w:hAnsi="Arial" w:cs="Arial"/>
        </w:rPr>
        <w:t>Unico</w:t>
      </w:r>
      <w:proofErr w:type="spellEnd"/>
      <w:r w:rsidRPr="00BF5F40">
        <w:rPr>
          <w:rFonts w:ascii="Arial" w:hAnsi="Arial" w:cs="Arial"/>
        </w:rPr>
        <w:t xml:space="preserve"> ve Stark Bank </w:t>
      </w:r>
      <w:r w:rsidR="00BC72CA">
        <w:rPr>
          <w:rFonts w:ascii="Arial" w:hAnsi="Arial" w:cs="Arial"/>
        </w:rPr>
        <w:t xml:space="preserve">ile </w:t>
      </w:r>
      <w:r w:rsidRPr="00BF5F40">
        <w:rPr>
          <w:rFonts w:ascii="Arial" w:hAnsi="Arial" w:cs="Arial"/>
        </w:rPr>
        <w:t>Ekvador</w:t>
      </w:r>
      <w:r w:rsidR="00BC72CA">
        <w:rPr>
          <w:rFonts w:ascii="Arial" w:hAnsi="Arial" w:cs="Arial"/>
        </w:rPr>
        <w:t xml:space="preserve">’daki </w:t>
      </w:r>
      <w:proofErr w:type="spellStart"/>
      <w:r w:rsidR="00BC72CA" w:rsidRPr="00BF5F40">
        <w:rPr>
          <w:rFonts w:ascii="Arial" w:hAnsi="Arial" w:cs="Arial"/>
        </w:rPr>
        <w:t>Kushkiin</w:t>
      </w:r>
      <w:proofErr w:type="spellEnd"/>
      <w:r w:rsidR="00BC72CA">
        <w:rPr>
          <w:rFonts w:ascii="Arial" w:hAnsi="Arial" w:cs="Arial"/>
        </w:rPr>
        <w:t xml:space="preserve"> şirketleri. </w:t>
      </w:r>
      <w:r w:rsidRPr="00BF5F40">
        <w:rPr>
          <w:rFonts w:ascii="Arial" w:hAnsi="Arial" w:cs="Arial"/>
        </w:rPr>
        <w:t>Avrupa</w:t>
      </w:r>
      <w:r w:rsidR="00BC72CA">
        <w:rPr>
          <w:rFonts w:ascii="Arial" w:hAnsi="Arial" w:cs="Arial"/>
        </w:rPr>
        <w:t xml:space="preserve">’da ise 8 farklı ülkeden toplam 18 yeni </w:t>
      </w:r>
      <w:proofErr w:type="spellStart"/>
      <w:r w:rsidR="00BC72CA">
        <w:rPr>
          <w:rFonts w:ascii="Arial" w:hAnsi="Arial" w:cs="Arial"/>
        </w:rPr>
        <w:t>unicorn</w:t>
      </w:r>
      <w:proofErr w:type="spellEnd"/>
      <w:r w:rsidR="00BC72CA">
        <w:rPr>
          <w:rFonts w:ascii="Arial" w:hAnsi="Arial" w:cs="Arial"/>
        </w:rPr>
        <w:t xml:space="preserve"> çıktı. Bu ülkeler </w:t>
      </w:r>
      <w:r w:rsidRPr="00BF5F40">
        <w:rPr>
          <w:rFonts w:ascii="Arial" w:hAnsi="Arial" w:cs="Arial"/>
        </w:rPr>
        <w:t>İngiltere, Almanya, Finlandiya, İsveç, Norveç, Hollanda, İsviçre</w:t>
      </w:r>
      <w:r w:rsidR="00BC72CA">
        <w:rPr>
          <w:rFonts w:ascii="Arial" w:hAnsi="Arial" w:cs="Arial"/>
        </w:rPr>
        <w:t xml:space="preserve"> ve </w:t>
      </w:r>
      <w:r w:rsidRPr="00BF5F40">
        <w:rPr>
          <w:rFonts w:ascii="Arial" w:hAnsi="Arial" w:cs="Arial"/>
        </w:rPr>
        <w:t>İsrail</w:t>
      </w:r>
      <w:r w:rsidR="00BC72CA">
        <w:rPr>
          <w:rFonts w:ascii="Arial" w:hAnsi="Arial" w:cs="Arial"/>
        </w:rPr>
        <w:t xml:space="preserve">. 17 yeni </w:t>
      </w:r>
      <w:proofErr w:type="spellStart"/>
      <w:r w:rsidR="00BC72CA">
        <w:rPr>
          <w:rFonts w:ascii="Arial" w:hAnsi="Arial" w:cs="Arial"/>
        </w:rPr>
        <w:t>unicorn</w:t>
      </w:r>
      <w:proofErr w:type="spellEnd"/>
      <w:r w:rsidR="00BC72CA">
        <w:rPr>
          <w:rFonts w:ascii="Arial" w:hAnsi="Arial" w:cs="Arial"/>
        </w:rPr>
        <w:t xml:space="preserve"> da </w:t>
      </w:r>
      <w:r w:rsidRPr="00BF5F40">
        <w:rPr>
          <w:rFonts w:ascii="Arial" w:hAnsi="Arial" w:cs="Arial"/>
        </w:rPr>
        <w:t>Asya</w:t>
      </w:r>
      <w:r w:rsidR="00BC72CA">
        <w:rPr>
          <w:rFonts w:ascii="Arial" w:hAnsi="Arial" w:cs="Arial"/>
        </w:rPr>
        <w:t>’</w:t>
      </w:r>
      <w:r w:rsidRPr="00BF5F40">
        <w:rPr>
          <w:rFonts w:ascii="Arial" w:hAnsi="Arial" w:cs="Arial"/>
        </w:rPr>
        <w:t>da</w:t>
      </w:r>
      <w:r w:rsidR="00BC72CA">
        <w:rPr>
          <w:rFonts w:ascii="Arial" w:hAnsi="Arial" w:cs="Arial"/>
        </w:rPr>
        <w:t xml:space="preserve">ki yedi ülkeden çıktı. Yeni </w:t>
      </w:r>
      <w:proofErr w:type="spellStart"/>
      <w:r w:rsidR="00BC72CA">
        <w:rPr>
          <w:rFonts w:ascii="Arial" w:hAnsi="Arial" w:cs="Arial"/>
        </w:rPr>
        <w:t>unicorn</w:t>
      </w:r>
      <w:proofErr w:type="spellEnd"/>
      <w:r w:rsidR="00BC72CA">
        <w:rPr>
          <w:rFonts w:ascii="Arial" w:hAnsi="Arial" w:cs="Arial"/>
        </w:rPr>
        <w:t xml:space="preserve"> sayısı </w:t>
      </w:r>
      <w:r w:rsidR="002C1784">
        <w:rPr>
          <w:rFonts w:ascii="Arial" w:hAnsi="Arial" w:cs="Arial"/>
        </w:rPr>
        <w:t xml:space="preserve">geçmiş dönemlere kıyasla </w:t>
      </w:r>
      <w:r w:rsidR="00BC72CA">
        <w:rPr>
          <w:rFonts w:ascii="Arial" w:hAnsi="Arial" w:cs="Arial"/>
        </w:rPr>
        <w:t xml:space="preserve">2. </w:t>
      </w:r>
      <w:r w:rsidR="002C1784">
        <w:rPr>
          <w:rFonts w:ascii="Arial" w:hAnsi="Arial" w:cs="Arial"/>
        </w:rPr>
        <w:t>ç</w:t>
      </w:r>
      <w:r w:rsidRPr="00BF5F40">
        <w:rPr>
          <w:rFonts w:ascii="Arial" w:hAnsi="Arial" w:cs="Arial"/>
        </w:rPr>
        <w:t>eyrek</w:t>
      </w:r>
      <w:r w:rsidR="002C1784">
        <w:rPr>
          <w:rFonts w:ascii="Arial" w:hAnsi="Arial" w:cs="Arial"/>
        </w:rPr>
        <w:t xml:space="preserve">te </w:t>
      </w:r>
      <w:r w:rsidRPr="00BF5F40">
        <w:rPr>
          <w:rFonts w:ascii="Arial" w:hAnsi="Arial" w:cs="Arial"/>
        </w:rPr>
        <w:t>sabit kalırken</w:t>
      </w:r>
      <w:r w:rsidR="002C1784">
        <w:rPr>
          <w:rFonts w:ascii="Arial" w:hAnsi="Arial" w:cs="Arial"/>
        </w:rPr>
        <w:t xml:space="preserve"> azalan yatırım turları </w:t>
      </w:r>
      <w:r w:rsidRPr="00BF5F40">
        <w:rPr>
          <w:rFonts w:ascii="Arial" w:hAnsi="Arial" w:cs="Arial"/>
        </w:rPr>
        <w:t xml:space="preserve">1 milyar dolarlık </w:t>
      </w:r>
      <w:proofErr w:type="spellStart"/>
      <w:r w:rsidR="002C1784">
        <w:rPr>
          <w:rFonts w:ascii="Arial" w:hAnsi="Arial" w:cs="Arial"/>
        </w:rPr>
        <w:t>unicorn</w:t>
      </w:r>
      <w:proofErr w:type="spellEnd"/>
      <w:r w:rsidR="002C1784">
        <w:rPr>
          <w:rFonts w:ascii="Arial" w:hAnsi="Arial" w:cs="Arial"/>
        </w:rPr>
        <w:t xml:space="preserve"> girişimlerin </w:t>
      </w:r>
      <w:r w:rsidRPr="00BF5F40">
        <w:rPr>
          <w:rFonts w:ascii="Arial" w:hAnsi="Arial" w:cs="Arial"/>
        </w:rPr>
        <w:t>statülerini kaybetmelerine neden olabileceğine dair endişeler</w:t>
      </w:r>
      <w:r w:rsidR="002C1784">
        <w:rPr>
          <w:rFonts w:ascii="Arial" w:hAnsi="Arial" w:cs="Arial"/>
        </w:rPr>
        <w:t xml:space="preserve">i de beraberinde getirdi. Bu nedenle </w:t>
      </w:r>
      <w:r w:rsidRPr="00BF5F40">
        <w:rPr>
          <w:rFonts w:ascii="Arial" w:hAnsi="Arial" w:cs="Arial"/>
        </w:rPr>
        <w:t xml:space="preserve">1 milyar dolar değerindeki </w:t>
      </w:r>
      <w:proofErr w:type="spellStart"/>
      <w:r w:rsidR="002C1784">
        <w:rPr>
          <w:rFonts w:ascii="Arial" w:hAnsi="Arial" w:cs="Arial"/>
        </w:rPr>
        <w:t>unicorn</w:t>
      </w:r>
      <w:proofErr w:type="spellEnd"/>
      <w:r w:rsidR="002C1784">
        <w:rPr>
          <w:rFonts w:ascii="Arial" w:hAnsi="Arial" w:cs="Arial"/>
        </w:rPr>
        <w:t xml:space="preserve"> girişimlerin </w:t>
      </w:r>
      <w:r w:rsidRPr="00BF5F40">
        <w:rPr>
          <w:rFonts w:ascii="Arial" w:hAnsi="Arial" w:cs="Arial"/>
        </w:rPr>
        <w:t xml:space="preserve">statülerini korumak için yatırımcılara önemli tavizler </w:t>
      </w:r>
      <w:r w:rsidR="002C1784">
        <w:rPr>
          <w:rFonts w:ascii="Arial" w:hAnsi="Arial" w:cs="Arial"/>
        </w:rPr>
        <w:t xml:space="preserve">verebileceği değerlendiriliyor. </w:t>
      </w:r>
    </w:p>
    <w:p w14:paraId="29F2C9DD" w14:textId="6236DE07" w:rsidR="005F0E8D" w:rsidRDefault="005F0E8D" w:rsidP="004A399D">
      <w:pPr>
        <w:spacing w:after="0" w:line="300" w:lineRule="auto"/>
        <w:jc w:val="both"/>
        <w:rPr>
          <w:rFonts w:ascii="Arial" w:hAnsi="Arial" w:cs="Arial"/>
        </w:rPr>
      </w:pPr>
    </w:p>
    <w:p w14:paraId="111F95BF" w14:textId="2D2C0D60" w:rsidR="005F0E8D" w:rsidRPr="002C1784" w:rsidRDefault="002C1784" w:rsidP="004A399D">
      <w:pPr>
        <w:spacing w:after="0" w:line="300" w:lineRule="auto"/>
        <w:jc w:val="both"/>
        <w:rPr>
          <w:rFonts w:ascii="Arial" w:hAnsi="Arial" w:cs="Arial"/>
          <w:b/>
          <w:bCs/>
        </w:rPr>
      </w:pPr>
      <w:r>
        <w:rPr>
          <w:rFonts w:ascii="Arial" w:hAnsi="Arial" w:cs="Arial"/>
          <w:b/>
          <w:bCs/>
        </w:rPr>
        <w:t>2022 yılının 3. çeyreğinde takip edilecek trendler</w:t>
      </w:r>
    </w:p>
    <w:p w14:paraId="4B6EFF5B" w14:textId="62BDEE88" w:rsidR="002C1784" w:rsidRDefault="002C1784" w:rsidP="004A399D">
      <w:pPr>
        <w:spacing w:after="0" w:line="300" w:lineRule="auto"/>
        <w:jc w:val="both"/>
        <w:rPr>
          <w:rFonts w:ascii="Arial" w:hAnsi="Arial" w:cs="Arial"/>
        </w:rPr>
      </w:pPr>
      <w:r>
        <w:rPr>
          <w:rFonts w:ascii="Arial" w:hAnsi="Arial" w:cs="Arial"/>
        </w:rPr>
        <w:t>Rapor</w:t>
      </w:r>
      <w:r w:rsidR="00917AD1">
        <w:rPr>
          <w:rFonts w:ascii="Arial" w:hAnsi="Arial" w:cs="Arial"/>
        </w:rPr>
        <w:t xml:space="preserve">da, </w:t>
      </w:r>
      <w:r>
        <w:rPr>
          <w:rFonts w:ascii="Arial" w:hAnsi="Arial" w:cs="Arial"/>
        </w:rPr>
        <w:t>k</w:t>
      </w:r>
      <w:r w:rsidRPr="002C1784">
        <w:rPr>
          <w:rFonts w:ascii="Arial" w:hAnsi="Arial" w:cs="Arial"/>
        </w:rPr>
        <w:t xml:space="preserve">üresel </w:t>
      </w:r>
      <w:r>
        <w:rPr>
          <w:rFonts w:ascii="Arial" w:hAnsi="Arial" w:cs="Arial"/>
        </w:rPr>
        <w:t xml:space="preserve">çapta girişim dünyasını </w:t>
      </w:r>
      <w:r w:rsidRPr="002C1784">
        <w:rPr>
          <w:rFonts w:ascii="Arial" w:hAnsi="Arial" w:cs="Arial"/>
        </w:rPr>
        <w:t>etkileyen jeopolitik ve makroekonomik belirsizliklerin sayısı göz önüne alındığında, değerlemeler üzerinde aşağı yönlü baskı</w:t>
      </w:r>
      <w:r>
        <w:rPr>
          <w:rFonts w:ascii="Arial" w:hAnsi="Arial" w:cs="Arial"/>
        </w:rPr>
        <w:t xml:space="preserve">nın devam edeceği </w:t>
      </w:r>
      <w:r w:rsidRPr="002C1784">
        <w:rPr>
          <w:rFonts w:ascii="Arial" w:hAnsi="Arial" w:cs="Arial"/>
        </w:rPr>
        <w:t xml:space="preserve">ve </w:t>
      </w:r>
      <w:r w:rsidRPr="002C1784">
        <w:rPr>
          <w:rFonts w:ascii="Arial" w:hAnsi="Arial" w:cs="Arial"/>
        </w:rPr>
        <w:lastRenderedPageBreak/>
        <w:t>bu</w:t>
      </w:r>
      <w:r>
        <w:rPr>
          <w:rFonts w:ascii="Arial" w:hAnsi="Arial" w:cs="Arial"/>
        </w:rPr>
        <w:t>nun</w:t>
      </w:r>
      <w:r w:rsidRPr="002C1784">
        <w:rPr>
          <w:rFonts w:ascii="Arial" w:hAnsi="Arial" w:cs="Arial"/>
        </w:rPr>
        <w:t xml:space="preserve"> da yatırım seviyelerinin düşmesine neden </w:t>
      </w:r>
      <w:r>
        <w:rPr>
          <w:rFonts w:ascii="Arial" w:hAnsi="Arial" w:cs="Arial"/>
        </w:rPr>
        <w:t>olabileceği belirtiliyor</w:t>
      </w:r>
      <w:r w:rsidRPr="002C1784">
        <w:rPr>
          <w:rFonts w:ascii="Arial" w:hAnsi="Arial" w:cs="Arial"/>
        </w:rPr>
        <w:t xml:space="preserve">. </w:t>
      </w:r>
      <w:r w:rsidR="00C77633">
        <w:rPr>
          <w:rFonts w:ascii="Arial" w:hAnsi="Arial" w:cs="Arial"/>
        </w:rPr>
        <w:t>Ayrıca y</w:t>
      </w:r>
      <w:r w:rsidRPr="002C1784">
        <w:rPr>
          <w:rFonts w:ascii="Arial" w:hAnsi="Arial" w:cs="Arial"/>
        </w:rPr>
        <w:t>atırımcılar</w:t>
      </w:r>
      <w:r w:rsidR="00C77633">
        <w:rPr>
          <w:rFonts w:ascii="Arial" w:hAnsi="Arial" w:cs="Arial"/>
        </w:rPr>
        <w:t xml:space="preserve">ın </w:t>
      </w:r>
      <w:r w:rsidRPr="002C1784">
        <w:rPr>
          <w:rFonts w:ascii="Arial" w:hAnsi="Arial" w:cs="Arial"/>
        </w:rPr>
        <w:t>anlaşmalara ilişkin durum tespitlerin</w:t>
      </w:r>
      <w:r w:rsidR="00C77633">
        <w:rPr>
          <w:rFonts w:ascii="Arial" w:hAnsi="Arial" w:cs="Arial"/>
        </w:rPr>
        <w:t xml:space="preserve">e daha fazla önem vereceğinden </w:t>
      </w:r>
      <w:r w:rsidRPr="002C1784">
        <w:rPr>
          <w:rFonts w:ascii="Arial" w:hAnsi="Arial" w:cs="Arial"/>
        </w:rPr>
        <w:t xml:space="preserve">birçok bölgedeki </w:t>
      </w:r>
      <w:r w:rsidR="00C77633">
        <w:rPr>
          <w:rFonts w:ascii="Arial" w:hAnsi="Arial" w:cs="Arial"/>
        </w:rPr>
        <w:t xml:space="preserve">girişim yatırımı </w:t>
      </w:r>
      <w:r w:rsidRPr="002C1784">
        <w:rPr>
          <w:rFonts w:ascii="Arial" w:hAnsi="Arial" w:cs="Arial"/>
        </w:rPr>
        <w:t>anlaşmalarının tamamlanması</w:t>
      </w:r>
      <w:r w:rsidR="00C77633">
        <w:rPr>
          <w:rFonts w:ascii="Arial" w:hAnsi="Arial" w:cs="Arial"/>
        </w:rPr>
        <w:t>nın</w:t>
      </w:r>
      <w:r w:rsidRPr="002C1784">
        <w:rPr>
          <w:rFonts w:ascii="Arial" w:hAnsi="Arial" w:cs="Arial"/>
        </w:rPr>
        <w:t xml:space="preserve"> muhtemelen daha uzun sürece</w:t>
      </w:r>
      <w:r w:rsidR="00C77633">
        <w:rPr>
          <w:rFonts w:ascii="Arial" w:hAnsi="Arial" w:cs="Arial"/>
        </w:rPr>
        <w:t>ğine de dikkat çekiliyor</w:t>
      </w:r>
      <w:r w:rsidRPr="002C1784">
        <w:rPr>
          <w:rFonts w:ascii="Arial" w:hAnsi="Arial" w:cs="Arial"/>
        </w:rPr>
        <w:t>.</w:t>
      </w:r>
      <w:r w:rsidR="00C77633">
        <w:rPr>
          <w:rFonts w:ascii="Arial" w:hAnsi="Arial" w:cs="Arial"/>
        </w:rPr>
        <w:t xml:space="preserve"> Bunlara karşın </w:t>
      </w:r>
      <w:proofErr w:type="spellStart"/>
      <w:r w:rsidR="00C77633">
        <w:rPr>
          <w:rFonts w:ascii="Arial" w:hAnsi="Arial" w:cs="Arial"/>
        </w:rPr>
        <w:t>f</w:t>
      </w:r>
      <w:r w:rsidRPr="002C1784">
        <w:rPr>
          <w:rFonts w:ascii="Arial" w:hAnsi="Arial" w:cs="Arial"/>
        </w:rPr>
        <w:t>intech</w:t>
      </w:r>
      <w:proofErr w:type="spellEnd"/>
      <w:r w:rsidR="00C77633">
        <w:rPr>
          <w:rFonts w:ascii="Arial" w:hAnsi="Arial" w:cs="Arial"/>
        </w:rPr>
        <w:t xml:space="preserve"> sektörünün </w:t>
      </w:r>
      <w:r w:rsidRPr="002C1784">
        <w:rPr>
          <w:rFonts w:ascii="Arial" w:hAnsi="Arial" w:cs="Arial"/>
        </w:rPr>
        <w:t xml:space="preserve">tedarik zinciri ve lojistik, siber güvenlik ve alternatif enerjiye ek olarak dünyanın birçok bölgesinde muhtemelen güçlü bir yatırım alanı olmaya devam </w:t>
      </w:r>
      <w:r w:rsidR="00C77633">
        <w:rPr>
          <w:rFonts w:ascii="Arial" w:hAnsi="Arial" w:cs="Arial"/>
        </w:rPr>
        <w:t>edeceğine de yer veriliyor</w:t>
      </w:r>
      <w:r w:rsidRPr="002C1784">
        <w:rPr>
          <w:rFonts w:ascii="Arial" w:hAnsi="Arial" w:cs="Arial"/>
        </w:rPr>
        <w:t>.</w:t>
      </w:r>
      <w:r w:rsidR="00C77633">
        <w:rPr>
          <w:rFonts w:ascii="Arial" w:hAnsi="Arial" w:cs="Arial"/>
        </w:rPr>
        <w:t xml:space="preserve"> Ancak a</w:t>
      </w:r>
      <w:r w:rsidRPr="002C1784">
        <w:rPr>
          <w:rFonts w:ascii="Arial" w:hAnsi="Arial" w:cs="Arial"/>
        </w:rPr>
        <w:t>rtan enflasyon ve faiz oranları göz önüne alındığında, tüketici odaklı şirketler</w:t>
      </w:r>
      <w:r w:rsidR="00C77633">
        <w:rPr>
          <w:rFonts w:ascii="Arial" w:hAnsi="Arial" w:cs="Arial"/>
        </w:rPr>
        <w:t xml:space="preserve">in girişim </w:t>
      </w:r>
      <w:r w:rsidRPr="002C1784">
        <w:rPr>
          <w:rFonts w:ascii="Arial" w:hAnsi="Arial" w:cs="Arial"/>
        </w:rPr>
        <w:t>yatırımcıları</w:t>
      </w:r>
      <w:r w:rsidR="00C77633">
        <w:rPr>
          <w:rFonts w:ascii="Arial" w:hAnsi="Arial" w:cs="Arial"/>
        </w:rPr>
        <w:t xml:space="preserve">nın gözünde </w:t>
      </w:r>
      <w:r w:rsidRPr="002C1784">
        <w:rPr>
          <w:rFonts w:ascii="Arial" w:hAnsi="Arial" w:cs="Arial"/>
        </w:rPr>
        <w:t xml:space="preserve">büyük olasılıkla bir miktar </w:t>
      </w:r>
      <w:r w:rsidR="00C77633">
        <w:rPr>
          <w:rFonts w:ascii="Arial" w:hAnsi="Arial" w:cs="Arial"/>
        </w:rPr>
        <w:t xml:space="preserve">ilgili kaybedeceği öngörülüyor. </w:t>
      </w:r>
    </w:p>
    <w:p w14:paraId="4E5ABAD7" w14:textId="77777777" w:rsidR="002C1784" w:rsidRDefault="002C1784" w:rsidP="004A399D">
      <w:pPr>
        <w:spacing w:after="0" w:line="300" w:lineRule="auto"/>
        <w:jc w:val="both"/>
        <w:rPr>
          <w:rFonts w:ascii="Arial" w:hAnsi="Arial" w:cs="Arial"/>
        </w:rPr>
      </w:pPr>
    </w:p>
    <w:p w14:paraId="41B0D660" w14:textId="41748EB5" w:rsidR="005F0E8D" w:rsidRPr="00912EF3" w:rsidRDefault="00C77633" w:rsidP="005F0E8D">
      <w:pPr>
        <w:spacing w:after="0" w:line="300" w:lineRule="auto"/>
        <w:jc w:val="both"/>
        <w:rPr>
          <w:rFonts w:ascii="Arial" w:hAnsi="Arial" w:cs="Arial"/>
          <w:b/>
          <w:bCs/>
        </w:rPr>
      </w:pPr>
      <w:r w:rsidRPr="00912EF3">
        <w:rPr>
          <w:rFonts w:ascii="Arial" w:hAnsi="Arial" w:cs="Arial"/>
          <w:b/>
          <w:bCs/>
        </w:rPr>
        <w:t>2022</w:t>
      </w:r>
      <w:r w:rsidR="00912EF3">
        <w:rPr>
          <w:rFonts w:ascii="Arial" w:hAnsi="Arial" w:cs="Arial"/>
          <w:b/>
          <w:bCs/>
        </w:rPr>
        <w:t xml:space="preserve"> yılı</w:t>
      </w:r>
      <w:r w:rsidR="00912EF3" w:rsidRPr="00912EF3">
        <w:rPr>
          <w:rFonts w:ascii="Arial" w:hAnsi="Arial" w:cs="Arial"/>
          <w:b/>
          <w:bCs/>
        </w:rPr>
        <w:t xml:space="preserve"> 2. çeyrekte en büyük 10 küresel finansman </w:t>
      </w:r>
    </w:p>
    <w:p w14:paraId="65449B26" w14:textId="6A9E3A4A" w:rsidR="005F0E8D" w:rsidRPr="00C77633" w:rsidRDefault="005F0E8D" w:rsidP="00C77633">
      <w:pPr>
        <w:pStyle w:val="ListeParagraf"/>
        <w:numPr>
          <w:ilvl w:val="0"/>
          <w:numId w:val="5"/>
        </w:numPr>
        <w:spacing w:after="0" w:line="300" w:lineRule="auto"/>
        <w:jc w:val="both"/>
        <w:rPr>
          <w:rFonts w:ascii="Arial" w:hAnsi="Arial" w:cs="Arial"/>
        </w:rPr>
      </w:pPr>
      <w:proofErr w:type="spellStart"/>
      <w:r w:rsidRPr="00C77633">
        <w:rPr>
          <w:rFonts w:ascii="Arial" w:hAnsi="Arial" w:cs="Arial"/>
        </w:rPr>
        <w:t>Epic</w:t>
      </w:r>
      <w:proofErr w:type="spellEnd"/>
      <w:r w:rsidRPr="00C77633">
        <w:rPr>
          <w:rFonts w:ascii="Arial" w:hAnsi="Arial" w:cs="Arial"/>
        </w:rPr>
        <w:t xml:space="preserve"> Games </w:t>
      </w:r>
      <w:r w:rsidR="00912EF3">
        <w:rPr>
          <w:rFonts w:ascii="Arial" w:hAnsi="Arial" w:cs="Arial"/>
        </w:rPr>
        <w:t>-</w:t>
      </w:r>
      <w:r w:rsidR="00C77633">
        <w:rPr>
          <w:rFonts w:ascii="Arial" w:hAnsi="Arial" w:cs="Arial"/>
        </w:rPr>
        <w:t xml:space="preserve"> </w:t>
      </w:r>
      <w:r w:rsidRPr="00C77633">
        <w:rPr>
          <w:rFonts w:ascii="Arial" w:hAnsi="Arial" w:cs="Arial"/>
        </w:rPr>
        <w:t>2</w:t>
      </w:r>
      <w:r w:rsidR="00C77633">
        <w:rPr>
          <w:rFonts w:ascii="Arial" w:hAnsi="Arial" w:cs="Arial"/>
        </w:rPr>
        <w:t xml:space="preserve"> </w:t>
      </w:r>
      <w:r w:rsidR="005C2E52">
        <w:rPr>
          <w:rFonts w:ascii="Arial" w:hAnsi="Arial" w:cs="Arial"/>
        </w:rPr>
        <w:t xml:space="preserve">Milyar Dolar </w:t>
      </w:r>
      <w:r w:rsidR="00912EF3">
        <w:rPr>
          <w:rFonts w:ascii="Arial" w:hAnsi="Arial" w:cs="Arial"/>
        </w:rPr>
        <w:t xml:space="preserve">- ABD - Eğlence Yazılımı </w:t>
      </w:r>
    </w:p>
    <w:p w14:paraId="050F2139" w14:textId="21963834" w:rsidR="005F0E8D" w:rsidRPr="00C77633" w:rsidRDefault="005F0E8D" w:rsidP="00C77633">
      <w:pPr>
        <w:pStyle w:val="ListeParagraf"/>
        <w:numPr>
          <w:ilvl w:val="0"/>
          <w:numId w:val="5"/>
        </w:numPr>
        <w:spacing w:after="0" w:line="300" w:lineRule="auto"/>
        <w:jc w:val="both"/>
        <w:rPr>
          <w:rFonts w:ascii="Arial" w:hAnsi="Arial" w:cs="Arial"/>
        </w:rPr>
      </w:pPr>
      <w:proofErr w:type="spellStart"/>
      <w:r w:rsidRPr="00C77633">
        <w:rPr>
          <w:rFonts w:ascii="Arial" w:hAnsi="Arial" w:cs="Arial"/>
        </w:rPr>
        <w:t>SpaceX</w:t>
      </w:r>
      <w:proofErr w:type="spellEnd"/>
      <w:r w:rsidRPr="00C77633">
        <w:rPr>
          <w:rFonts w:ascii="Arial" w:hAnsi="Arial" w:cs="Arial"/>
        </w:rPr>
        <w:t xml:space="preserve"> </w:t>
      </w:r>
      <w:r w:rsidR="00912EF3">
        <w:rPr>
          <w:rFonts w:ascii="Arial" w:hAnsi="Arial" w:cs="Arial"/>
        </w:rPr>
        <w:t xml:space="preserve">- </w:t>
      </w:r>
      <w:r w:rsidRPr="00C77633">
        <w:rPr>
          <w:rFonts w:ascii="Arial" w:hAnsi="Arial" w:cs="Arial"/>
        </w:rPr>
        <w:t>1</w:t>
      </w:r>
      <w:r w:rsidR="00912EF3">
        <w:rPr>
          <w:rFonts w:ascii="Arial" w:hAnsi="Arial" w:cs="Arial"/>
        </w:rPr>
        <w:t>,</w:t>
      </w:r>
      <w:r w:rsidRPr="00C77633">
        <w:rPr>
          <w:rFonts w:ascii="Arial" w:hAnsi="Arial" w:cs="Arial"/>
        </w:rPr>
        <w:t>7</w:t>
      </w:r>
      <w:r w:rsidR="00912EF3">
        <w:rPr>
          <w:rFonts w:ascii="Arial" w:hAnsi="Arial" w:cs="Arial"/>
        </w:rPr>
        <w:t xml:space="preserve"> </w:t>
      </w:r>
      <w:r w:rsidR="005C2E52">
        <w:rPr>
          <w:rFonts w:ascii="Arial" w:hAnsi="Arial" w:cs="Arial"/>
        </w:rPr>
        <w:t>Milyar Dolar</w:t>
      </w:r>
      <w:r w:rsidR="00912EF3">
        <w:rPr>
          <w:rFonts w:ascii="Arial" w:hAnsi="Arial" w:cs="Arial"/>
        </w:rPr>
        <w:t xml:space="preserve"> - ABD - H</w:t>
      </w:r>
      <w:r w:rsidR="00912EF3" w:rsidRPr="00912EF3">
        <w:rPr>
          <w:rFonts w:ascii="Arial" w:hAnsi="Arial" w:cs="Arial"/>
        </w:rPr>
        <w:t xml:space="preserve">avacılık </w:t>
      </w:r>
    </w:p>
    <w:p w14:paraId="5B37B783" w14:textId="0BFD7524" w:rsidR="005F0E8D" w:rsidRPr="00C77633" w:rsidRDefault="005F0E8D" w:rsidP="00C77633">
      <w:pPr>
        <w:pStyle w:val="ListeParagraf"/>
        <w:numPr>
          <w:ilvl w:val="0"/>
          <w:numId w:val="5"/>
        </w:numPr>
        <w:spacing w:after="0" w:line="300" w:lineRule="auto"/>
        <w:jc w:val="both"/>
        <w:rPr>
          <w:rFonts w:ascii="Arial" w:hAnsi="Arial" w:cs="Arial"/>
        </w:rPr>
      </w:pPr>
      <w:proofErr w:type="spellStart"/>
      <w:r w:rsidRPr="00C77633">
        <w:rPr>
          <w:rFonts w:ascii="Arial" w:hAnsi="Arial" w:cs="Arial"/>
        </w:rPr>
        <w:t>Gopuff</w:t>
      </w:r>
      <w:proofErr w:type="spellEnd"/>
      <w:r w:rsidR="00912EF3">
        <w:rPr>
          <w:rFonts w:ascii="Arial" w:hAnsi="Arial" w:cs="Arial"/>
        </w:rPr>
        <w:t xml:space="preserve"> - </w:t>
      </w:r>
      <w:r w:rsidRPr="00C77633">
        <w:rPr>
          <w:rFonts w:ascii="Arial" w:hAnsi="Arial" w:cs="Arial"/>
        </w:rPr>
        <w:t>1</w:t>
      </w:r>
      <w:r w:rsidR="00912EF3">
        <w:rPr>
          <w:rFonts w:ascii="Arial" w:hAnsi="Arial" w:cs="Arial"/>
        </w:rPr>
        <w:t>,</w:t>
      </w:r>
      <w:r w:rsidRPr="00C77633">
        <w:rPr>
          <w:rFonts w:ascii="Arial" w:hAnsi="Arial" w:cs="Arial"/>
        </w:rPr>
        <w:t>5</w:t>
      </w:r>
      <w:r w:rsidR="00912EF3">
        <w:rPr>
          <w:rFonts w:ascii="Arial" w:hAnsi="Arial" w:cs="Arial"/>
        </w:rPr>
        <w:t xml:space="preserve"> </w:t>
      </w:r>
      <w:r w:rsidR="005C2E52">
        <w:rPr>
          <w:rFonts w:ascii="Arial" w:hAnsi="Arial" w:cs="Arial"/>
        </w:rPr>
        <w:t xml:space="preserve">Milyar Dolar </w:t>
      </w:r>
      <w:r w:rsidR="00912EF3">
        <w:rPr>
          <w:rFonts w:ascii="Arial" w:hAnsi="Arial" w:cs="Arial"/>
        </w:rPr>
        <w:t xml:space="preserve">- ABD - </w:t>
      </w:r>
      <w:r w:rsidR="00912EF3" w:rsidRPr="00912EF3">
        <w:rPr>
          <w:rFonts w:ascii="Arial" w:hAnsi="Arial" w:cs="Arial"/>
        </w:rPr>
        <w:t xml:space="preserve">İnternet </w:t>
      </w:r>
      <w:r w:rsidR="00912EF3">
        <w:rPr>
          <w:rFonts w:ascii="Arial" w:hAnsi="Arial" w:cs="Arial"/>
        </w:rPr>
        <w:t>P</w:t>
      </w:r>
      <w:r w:rsidR="00912EF3" w:rsidRPr="00912EF3">
        <w:rPr>
          <w:rFonts w:ascii="Arial" w:hAnsi="Arial" w:cs="Arial"/>
        </w:rPr>
        <w:t xml:space="preserve">erakendeciliği </w:t>
      </w:r>
    </w:p>
    <w:p w14:paraId="16699912" w14:textId="26B928F6" w:rsidR="005F0E8D" w:rsidRPr="00C77633" w:rsidRDefault="005F0E8D" w:rsidP="00C77633">
      <w:pPr>
        <w:pStyle w:val="ListeParagraf"/>
        <w:numPr>
          <w:ilvl w:val="0"/>
          <w:numId w:val="5"/>
        </w:numPr>
        <w:spacing w:after="0" w:line="300" w:lineRule="auto"/>
        <w:jc w:val="both"/>
        <w:rPr>
          <w:rFonts w:ascii="Arial" w:hAnsi="Arial" w:cs="Arial"/>
        </w:rPr>
      </w:pPr>
      <w:proofErr w:type="spellStart"/>
      <w:r w:rsidRPr="00C77633">
        <w:rPr>
          <w:rFonts w:ascii="Arial" w:hAnsi="Arial" w:cs="Arial"/>
        </w:rPr>
        <w:t>Trade</w:t>
      </w:r>
      <w:proofErr w:type="spellEnd"/>
      <w:r w:rsidRPr="00C77633">
        <w:rPr>
          <w:rFonts w:ascii="Arial" w:hAnsi="Arial" w:cs="Arial"/>
        </w:rPr>
        <w:t xml:space="preserve"> </w:t>
      </w:r>
      <w:proofErr w:type="spellStart"/>
      <w:r w:rsidRPr="00C77633">
        <w:rPr>
          <w:rFonts w:ascii="Arial" w:hAnsi="Arial" w:cs="Arial"/>
        </w:rPr>
        <w:t>Republic</w:t>
      </w:r>
      <w:proofErr w:type="spellEnd"/>
      <w:r w:rsidRPr="00C77633">
        <w:rPr>
          <w:rFonts w:ascii="Arial" w:hAnsi="Arial" w:cs="Arial"/>
        </w:rPr>
        <w:t xml:space="preserve"> </w:t>
      </w:r>
      <w:r w:rsidR="00912EF3">
        <w:rPr>
          <w:rFonts w:ascii="Arial" w:hAnsi="Arial" w:cs="Arial"/>
        </w:rPr>
        <w:t xml:space="preserve">- </w:t>
      </w:r>
      <w:r w:rsidRPr="00C77633">
        <w:rPr>
          <w:rFonts w:ascii="Arial" w:hAnsi="Arial" w:cs="Arial"/>
        </w:rPr>
        <w:t>1</w:t>
      </w:r>
      <w:r w:rsidR="00912EF3">
        <w:rPr>
          <w:rFonts w:ascii="Arial" w:hAnsi="Arial" w:cs="Arial"/>
        </w:rPr>
        <w:t>,</w:t>
      </w:r>
      <w:r w:rsidRPr="00C77633">
        <w:rPr>
          <w:rFonts w:ascii="Arial" w:hAnsi="Arial" w:cs="Arial"/>
        </w:rPr>
        <w:t>15</w:t>
      </w:r>
      <w:r w:rsidR="00912EF3">
        <w:rPr>
          <w:rFonts w:ascii="Arial" w:hAnsi="Arial" w:cs="Arial"/>
        </w:rPr>
        <w:t xml:space="preserve"> </w:t>
      </w:r>
      <w:r w:rsidR="005C2E52">
        <w:rPr>
          <w:rFonts w:ascii="Arial" w:hAnsi="Arial" w:cs="Arial"/>
        </w:rPr>
        <w:t xml:space="preserve">Milyar Dolar </w:t>
      </w:r>
      <w:r w:rsidR="00912EF3">
        <w:rPr>
          <w:rFonts w:ascii="Arial" w:hAnsi="Arial" w:cs="Arial"/>
        </w:rPr>
        <w:t xml:space="preserve">- Almanya - </w:t>
      </w:r>
      <w:proofErr w:type="spellStart"/>
      <w:r w:rsidRPr="00C77633">
        <w:rPr>
          <w:rFonts w:ascii="Arial" w:hAnsi="Arial" w:cs="Arial"/>
        </w:rPr>
        <w:t>Fintech</w:t>
      </w:r>
      <w:proofErr w:type="spellEnd"/>
      <w:r w:rsidRPr="00C77633">
        <w:rPr>
          <w:rFonts w:ascii="Arial" w:hAnsi="Arial" w:cs="Arial"/>
        </w:rPr>
        <w:t xml:space="preserve"> </w:t>
      </w:r>
    </w:p>
    <w:p w14:paraId="6E937B07" w14:textId="6438D9E6" w:rsidR="005F0E8D" w:rsidRPr="00C77633" w:rsidRDefault="005F0E8D" w:rsidP="00C77633">
      <w:pPr>
        <w:pStyle w:val="ListeParagraf"/>
        <w:numPr>
          <w:ilvl w:val="0"/>
          <w:numId w:val="5"/>
        </w:numPr>
        <w:spacing w:after="0" w:line="300" w:lineRule="auto"/>
        <w:jc w:val="both"/>
        <w:rPr>
          <w:rFonts w:ascii="Arial" w:hAnsi="Arial" w:cs="Arial"/>
        </w:rPr>
      </w:pPr>
      <w:proofErr w:type="spellStart"/>
      <w:r w:rsidRPr="00C77633">
        <w:rPr>
          <w:rFonts w:ascii="Arial" w:hAnsi="Arial" w:cs="Arial"/>
        </w:rPr>
        <w:t>Faire</w:t>
      </w:r>
      <w:proofErr w:type="spellEnd"/>
      <w:r w:rsidRPr="00C77633">
        <w:rPr>
          <w:rFonts w:ascii="Arial" w:hAnsi="Arial" w:cs="Arial"/>
        </w:rPr>
        <w:t xml:space="preserve"> </w:t>
      </w:r>
      <w:r w:rsidR="00912EF3">
        <w:rPr>
          <w:rFonts w:ascii="Arial" w:hAnsi="Arial" w:cs="Arial"/>
        </w:rPr>
        <w:t xml:space="preserve">- </w:t>
      </w:r>
      <w:r w:rsidRPr="00C77633">
        <w:rPr>
          <w:rFonts w:ascii="Arial" w:hAnsi="Arial" w:cs="Arial"/>
        </w:rPr>
        <w:t>816</w:t>
      </w:r>
      <w:r w:rsidR="00912EF3">
        <w:rPr>
          <w:rFonts w:ascii="Arial" w:hAnsi="Arial" w:cs="Arial"/>
        </w:rPr>
        <w:t xml:space="preserve"> </w:t>
      </w:r>
      <w:r w:rsidR="005C2E52">
        <w:rPr>
          <w:rFonts w:ascii="Arial" w:hAnsi="Arial" w:cs="Arial"/>
        </w:rPr>
        <w:t>Milyon Dolar</w:t>
      </w:r>
      <w:r w:rsidR="00912EF3">
        <w:rPr>
          <w:rFonts w:ascii="Arial" w:hAnsi="Arial" w:cs="Arial"/>
        </w:rPr>
        <w:t xml:space="preserve"> - ABD - </w:t>
      </w:r>
      <w:r w:rsidRPr="00C77633">
        <w:rPr>
          <w:rFonts w:ascii="Arial" w:hAnsi="Arial" w:cs="Arial"/>
        </w:rPr>
        <w:t>E-</w:t>
      </w:r>
      <w:r w:rsidR="00912EF3">
        <w:rPr>
          <w:rFonts w:ascii="Arial" w:hAnsi="Arial" w:cs="Arial"/>
        </w:rPr>
        <w:t xml:space="preserve">ticaret </w:t>
      </w:r>
    </w:p>
    <w:p w14:paraId="7C2AF133" w14:textId="16AD22DE" w:rsidR="005F0E8D" w:rsidRPr="00C77633" w:rsidRDefault="005F0E8D" w:rsidP="00C77633">
      <w:pPr>
        <w:pStyle w:val="ListeParagraf"/>
        <w:numPr>
          <w:ilvl w:val="0"/>
          <w:numId w:val="5"/>
        </w:numPr>
        <w:spacing w:after="0" w:line="300" w:lineRule="auto"/>
        <w:jc w:val="both"/>
        <w:rPr>
          <w:rFonts w:ascii="Arial" w:hAnsi="Arial" w:cs="Arial"/>
        </w:rPr>
      </w:pPr>
      <w:proofErr w:type="spellStart"/>
      <w:r w:rsidRPr="00C77633">
        <w:rPr>
          <w:rFonts w:ascii="Arial" w:hAnsi="Arial" w:cs="Arial"/>
        </w:rPr>
        <w:t>Dailyhunt</w:t>
      </w:r>
      <w:proofErr w:type="spellEnd"/>
      <w:r w:rsidR="00912EF3">
        <w:rPr>
          <w:rFonts w:ascii="Arial" w:hAnsi="Arial" w:cs="Arial"/>
        </w:rPr>
        <w:t xml:space="preserve"> - </w:t>
      </w:r>
      <w:r w:rsidRPr="00C77633">
        <w:rPr>
          <w:rFonts w:ascii="Arial" w:hAnsi="Arial" w:cs="Arial"/>
        </w:rPr>
        <w:t>805</w:t>
      </w:r>
      <w:r w:rsidR="00912EF3">
        <w:rPr>
          <w:rFonts w:ascii="Arial" w:hAnsi="Arial" w:cs="Arial"/>
        </w:rPr>
        <w:t xml:space="preserve"> </w:t>
      </w:r>
      <w:r w:rsidR="005C2E52">
        <w:rPr>
          <w:rFonts w:ascii="Arial" w:hAnsi="Arial" w:cs="Arial"/>
        </w:rPr>
        <w:t xml:space="preserve">Milyon Dolar </w:t>
      </w:r>
      <w:r w:rsidR="00912EF3">
        <w:rPr>
          <w:rFonts w:ascii="Arial" w:hAnsi="Arial" w:cs="Arial"/>
        </w:rPr>
        <w:t xml:space="preserve">- Hindistan - Tüketici </w:t>
      </w:r>
    </w:p>
    <w:p w14:paraId="04A72D9C" w14:textId="4D089700" w:rsidR="005F0E8D" w:rsidRPr="00C77633" w:rsidRDefault="005F0E8D" w:rsidP="00C77633">
      <w:pPr>
        <w:pStyle w:val="ListeParagraf"/>
        <w:numPr>
          <w:ilvl w:val="0"/>
          <w:numId w:val="5"/>
        </w:numPr>
        <w:spacing w:after="0" w:line="300" w:lineRule="auto"/>
        <w:jc w:val="both"/>
        <w:rPr>
          <w:rFonts w:ascii="Arial" w:hAnsi="Arial" w:cs="Arial"/>
        </w:rPr>
      </w:pPr>
      <w:proofErr w:type="spellStart"/>
      <w:r w:rsidRPr="00C77633">
        <w:rPr>
          <w:rFonts w:ascii="Arial" w:hAnsi="Arial" w:cs="Arial"/>
        </w:rPr>
        <w:t>Ramp</w:t>
      </w:r>
      <w:proofErr w:type="spellEnd"/>
      <w:r w:rsidRPr="00C77633">
        <w:rPr>
          <w:rFonts w:ascii="Arial" w:hAnsi="Arial" w:cs="Arial"/>
        </w:rPr>
        <w:t xml:space="preserve"> </w:t>
      </w:r>
      <w:r w:rsidR="00912EF3">
        <w:rPr>
          <w:rFonts w:ascii="Arial" w:hAnsi="Arial" w:cs="Arial"/>
        </w:rPr>
        <w:t xml:space="preserve">- </w:t>
      </w:r>
      <w:r w:rsidRPr="00C77633">
        <w:rPr>
          <w:rFonts w:ascii="Arial" w:hAnsi="Arial" w:cs="Arial"/>
        </w:rPr>
        <w:t>748</w:t>
      </w:r>
      <w:r w:rsidR="00912EF3">
        <w:rPr>
          <w:rFonts w:ascii="Arial" w:hAnsi="Arial" w:cs="Arial"/>
        </w:rPr>
        <w:t>,</w:t>
      </w:r>
      <w:r w:rsidRPr="00C77633">
        <w:rPr>
          <w:rFonts w:ascii="Arial" w:hAnsi="Arial" w:cs="Arial"/>
        </w:rPr>
        <w:t>3</w:t>
      </w:r>
      <w:r w:rsidR="00912EF3">
        <w:rPr>
          <w:rFonts w:ascii="Arial" w:hAnsi="Arial" w:cs="Arial"/>
        </w:rPr>
        <w:t xml:space="preserve"> </w:t>
      </w:r>
      <w:r w:rsidR="005C2E52">
        <w:rPr>
          <w:rFonts w:ascii="Arial" w:hAnsi="Arial" w:cs="Arial"/>
        </w:rPr>
        <w:t>Milyon Dolar</w:t>
      </w:r>
      <w:r w:rsidR="00912EF3">
        <w:rPr>
          <w:rFonts w:ascii="Arial" w:hAnsi="Arial" w:cs="Arial"/>
        </w:rPr>
        <w:t xml:space="preserve"> - ABD - </w:t>
      </w:r>
      <w:proofErr w:type="spellStart"/>
      <w:r w:rsidRPr="00C77633">
        <w:rPr>
          <w:rFonts w:ascii="Arial" w:hAnsi="Arial" w:cs="Arial"/>
        </w:rPr>
        <w:t>Fintech</w:t>
      </w:r>
      <w:proofErr w:type="spellEnd"/>
      <w:r w:rsidRPr="00C77633">
        <w:rPr>
          <w:rFonts w:ascii="Arial" w:hAnsi="Arial" w:cs="Arial"/>
        </w:rPr>
        <w:t xml:space="preserve"> </w:t>
      </w:r>
    </w:p>
    <w:p w14:paraId="79563453" w14:textId="55E24FC6" w:rsidR="005F0E8D" w:rsidRPr="00C77633" w:rsidRDefault="005F0E8D" w:rsidP="00C77633">
      <w:pPr>
        <w:pStyle w:val="ListeParagraf"/>
        <w:numPr>
          <w:ilvl w:val="0"/>
          <w:numId w:val="5"/>
        </w:numPr>
        <w:spacing w:after="0" w:line="300" w:lineRule="auto"/>
        <w:jc w:val="both"/>
        <w:rPr>
          <w:rFonts w:ascii="Arial" w:hAnsi="Arial" w:cs="Arial"/>
        </w:rPr>
      </w:pPr>
      <w:proofErr w:type="spellStart"/>
      <w:r w:rsidRPr="00C77633">
        <w:rPr>
          <w:rFonts w:ascii="Arial" w:hAnsi="Arial" w:cs="Arial"/>
        </w:rPr>
        <w:t>Kitopi</w:t>
      </w:r>
      <w:proofErr w:type="spellEnd"/>
      <w:r w:rsidR="00912EF3">
        <w:rPr>
          <w:rFonts w:ascii="Arial" w:hAnsi="Arial" w:cs="Arial"/>
        </w:rPr>
        <w:t xml:space="preserve"> - </w:t>
      </w:r>
      <w:r w:rsidRPr="00C77633">
        <w:rPr>
          <w:rFonts w:ascii="Arial" w:hAnsi="Arial" w:cs="Arial"/>
        </w:rPr>
        <w:t>715</w:t>
      </w:r>
      <w:r w:rsidR="00912EF3">
        <w:rPr>
          <w:rFonts w:ascii="Arial" w:hAnsi="Arial" w:cs="Arial"/>
        </w:rPr>
        <w:t xml:space="preserve"> </w:t>
      </w:r>
      <w:r w:rsidR="005C2E52">
        <w:rPr>
          <w:rFonts w:ascii="Arial" w:hAnsi="Arial" w:cs="Arial"/>
        </w:rPr>
        <w:t xml:space="preserve">Milyon Dolar </w:t>
      </w:r>
      <w:r w:rsidR="00912EF3">
        <w:rPr>
          <w:rFonts w:ascii="Arial" w:hAnsi="Arial" w:cs="Arial"/>
        </w:rPr>
        <w:t>- Birleşik Arap Emirlikleri - G</w:t>
      </w:r>
      <w:r w:rsidR="00912EF3" w:rsidRPr="00912EF3">
        <w:rPr>
          <w:rFonts w:ascii="Arial" w:hAnsi="Arial" w:cs="Arial"/>
        </w:rPr>
        <w:t xml:space="preserve">ıda </w:t>
      </w:r>
      <w:r w:rsidR="00912EF3">
        <w:rPr>
          <w:rFonts w:ascii="Arial" w:hAnsi="Arial" w:cs="Arial"/>
        </w:rPr>
        <w:t>T</w:t>
      </w:r>
      <w:r w:rsidR="00912EF3" w:rsidRPr="00912EF3">
        <w:rPr>
          <w:rFonts w:ascii="Arial" w:hAnsi="Arial" w:cs="Arial"/>
        </w:rPr>
        <w:t xml:space="preserve">eknolojisi </w:t>
      </w:r>
    </w:p>
    <w:p w14:paraId="704FCA1D" w14:textId="3DBF6AD7" w:rsidR="005F0E8D" w:rsidRPr="00C77633" w:rsidRDefault="005F0E8D" w:rsidP="00C77633">
      <w:pPr>
        <w:pStyle w:val="ListeParagraf"/>
        <w:numPr>
          <w:ilvl w:val="0"/>
          <w:numId w:val="5"/>
        </w:numPr>
        <w:spacing w:after="0" w:line="300" w:lineRule="auto"/>
        <w:jc w:val="both"/>
        <w:rPr>
          <w:rFonts w:ascii="Arial" w:hAnsi="Arial" w:cs="Arial"/>
        </w:rPr>
      </w:pPr>
      <w:proofErr w:type="spellStart"/>
      <w:r w:rsidRPr="00C77633">
        <w:rPr>
          <w:rFonts w:ascii="Arial" w:hAnsi="Arial" w:cs="Arial"/>
        </w:rPr>
        <w:t>The</w:t>
      </w:r>
      <w:proofErr w:type="spellEnd"/>
      <w:r w:rsidRPr="00C77633">
        <w:rPr>
          <w:rFonts w:ascii="Arial" w:hAnsi="Arial" w:cs="Arial"/>
        </w:rPr>
        <w:t xml:space="preserve"> </w:t>
      </w:r>
      <w:proofErr w:type="spellStart"/>
      <w:r w:rsidRPr="00C77633">
        <w:rPr>
          <w:rFonts w:ascii="Arial" w:hAnsi="Arial" w:cs="Arial"/>
        </w:rPr>
        <w:t>Boring</w:t>
      </w:r>
      <w:proofErr w:type="spellEnd"/>
      <w:r w:rsidRPr="00C77633">
        <w:rPr>
          <w:rFonts w:ascii="Arial" w:hAnsi="Arial" w:cs="Arial"/>
        </w:rPr>
        <w:t xml:space="preserve"> </w:t>
      </w:r>
      <w:proofErr w:type="spellStart"/>
      <w:r w:rsidRPr="00C77633">
        <w:rPr>
          <w:rFonts w:ascii="Arial" w:hAnsi="Arial" w:cs="Arial"/>
        </w:rPr>
        <w:t>Company</w:t>
      </w:r>
      <w:proofErr w:type="spellEnd"/>
      <w:r w:rsidRPr="00C77633">
        <w:rPr>
          <w:rFonts w:ascii="Arial" w:hAnsi="Arial" w:cs="Arial"/>
        </w:rPr>
        <w:t xml:space="preserve"> </w:t>
      </w:r>
      <w:r w:rsidR="00912EF3">
        <w:rPr>
          <w:rFonts w:ascii="Arial" w:hAnsi="Arial" w:cs="Arial"/>
        </w:rPr>
        <w:t xml:space="preserve">- </w:t>
      </w:r>
      <w:r w:rsidRPr="00C77633">
        <w:rPr>
          <w:rFonts w:ascii="Arial" w:hAnsi="Arial" w:cs="Arial"/>
        </w:rPr>
        <w:t>675</w:t>
      </w:r>
      <w:r w:rsidR="00912EF3">
        <w:rPr>
          <w:rFonts w:ascii="Arial" w:hAnsi="Arial" w:cs="Arial"/>
        </w:rPr>
        <w:t xml:space="preserve"> </w:t>
      </w:r>
      <w:r w:rsidR="005C2E52">
        <w:rPr>
          <w:rFonts w:ascii="Arial" w:hAnsi="Arial" w:cs="Arial"/>
        </w:rPr>
        <w:t xml:space="preserve">Milyon Dolar </w:t>
      </w:r>
      <w:r w:rsidR="00912EF3">
        <w:rPr>
          <w:rFonts w:ascii="Arial" w:hAnsi="Arial" w:cs="Arial"/>
        </w:rPr>
        <w:t xml:space="preserve">- ABD - Altyapı </w:t>
      </w:r>
    </w:p>
    <w:p w14:paraId="7C4CE6C5" w14:textId="1AC0D1F2" w:rsidR="00113973" w:rsidRDefault="005F0E8D" w:rsidP="00700EA1">
      <w:pPr>
        <w:pStyle w:val="ListeParagraf"/>
        <w:numPr>
          <w:ilvl w:val="0"/>
          <w:numId w:val="5"/>
        </w:numPr>
        <w:spacing w:after="0" w:line="300" w:lineRule="auto"/>
        <w:jc w:val="both"/>
        <w:rPr>
          <w:rFonts w:ascii="Arial" w:hAnsi="Arial" w:cs="Arial"/>
        </w:rPr>
      </w:pPr>
      <w:proofErr w:type="spellStart"/>
      <w:r w:rsidRPr="00912EF3">
        <w:rPr>
          <w:rFonts w:ascii="Arial" w:hAnsi="Arial" w:cs="Arial"/>
        </w:rPr>
        <w:t>CanSemi</w:t>
      </w:r>
      <w:proofErr w:type="spellEnd"/>
      <w:r w:rsidR="00912EF3" w:rsidRPr="00912EF3">
        <w:rPr>
          <w:rFonts w:ascii="Arial" w:hAnsi="Arial" w:cs="Arial"/>
        </w:rPr>
        <w:t xml:space="preserve"> – </w:t>
      </w:r>
      <w:r w:rsidRPr="00912EF3">
        <w:rPr>
          <w:rFonts w:ascii="Arial" w:hAnsi="Arial" w:cs="Arial"/>
        </w:rPr>
        <w:t>671</w:t>
      </w:r>
      <w:r w:rsidR="00912EF3" w:rsidRPr="00912EF3">
        <w:rPr>
          <w:rFonts w:ascii="Arial" w:hAnsi="Arial" w:cs="Arial"/>
        </w:rPr>
        <w:t>,</w:t>
      </w:r>
      <w:r w:rsidRPr="00912EF3">
        <w:rPr>
          <w:rFonts w:ascii="Arial" w:hAnsi="Arial" w:cs="Arial"/>
        </w:rPr>
        <w:t>8</w:t>
      </w:r>
      <w:r w:rsidR="00912EF3" w:rsidRPr="00912EF3">
        <w:rPr>
          <w:rFonts w:ascii="Arial" w:hAnsi="Arial" w:cs="Arial"/>
        </w:rPr>
        <w:t xml:space="preserve"> </w:t>
      </w:r>
      <w:r w:rsidR="005C2E52" w:rsidRPr="00912EF3">
        <w:rPr>
          <w:rFonts w:ascii="Arial" w:hAnsi="Arial" w:cs="Arial"/>
        </w:rPr>
        <w:t>Milyon Dolar</w:t>
      </w:r>
      <w:r w:rsidR="00912EF3" w:rsidRPr="00912EF3">
        <w:rPr>
          <w:rFonts w:ascii="Arial" w:hAnsi="Arial" w:cs="Arial"/>
        </w:rPr>
        <w:t xml:space="preserve"> - Çin - İmalat </w:t>
      </w:r>
    </w:p>
    <w:p w14:paraId="5B490A87" w14:textId="77777777" w:rsidR="00912EF3" w:rsidRPr="00912EF3" w:rsidRDefault="00912EF3" w:rsidP="00912EF3">
      <w:pPr>
        <w:pStyle w:val="ListeParagraf"/>
        <w:spacing w:after="0" w:line="300" w:lineRule="auto"/>
        <w:jc w:val="both"/>
        <w:rPr>
          <w:rFonts w:ascii="Arial" w:hAnsi="Arial" w:cs="Arial"/>
        </w:rPr>
      </w:pPr>
    </w:p>
    <w:p w14:paraId="28266002" w14:textId="4DFDEED6" w:rsidR="004A399D" w:rsidRPr="00BA1F99" w:rsidRDefault="004A399D" w:rsidP="00BA1F99">
      <w:pPr>
        <w:spacing w:after="0" w:line="300" w:lineRule="auto"/>
        <w:jc w:val="both"/>
        <w:rPr>
          <w:rFonts w:ascii="Arial" w:hAnsi="Arial" w:cs="Arial"/>
        </w:rPr>
      </w:pPr>
      <w:r>
        <w:rPr>
          <w:rFonts w:ascii="Arial" w:hAnsi="Arial" w:cs="Arial"/>
        </w:rPr>
        <w:t xml:space="preserve">Raporun tamamına </w:t>
      </w:r>
      <w:hyperlink r:id="rId10" w:history="1">
        <w:r w:rsidRPr="001B55F3">
          <w:rPr>
            <w:rStyle w:val="Kpr"/>
            <w:rFonts w:ascii="Arial" w:hAnsi="Arial" w:cs="Arial"/>
          </w:rPr>
          <w:t>buradan</w:t>
        </w:r>
      </w:hyperlink>
      <w:r>
        <w:rPr>
          <w:rFonts w:ascii="Arial" w:hAnsi="Arial" w:cs="Arial"/>
        </w:rPr>
        <w:t xml:space="preserve"> ulaşabilirsiniz. </w:t>
      </w:r>
    </w:p>
    <w:p w14:paraId="1452D3B2" w14:textId="0C299C32" w:rsidR="00511A4F" w:rsidRDefault="00511A4F" w:rsidP="00FB099A">
      <w:pPr>
        <w:rPr>
          <w:rFonts w:ascii="Arial" w:hAnsi="Arial" w:cs="Arial"/>
        </w:rPr>
      </w:pPr>
    </w:p>
    <w:p w14:paraId="7BEB7218" w14:textId="77777777" w:rsidR="001B55F3" w:rsidRPr="001B55F3" w:rsidRDefault="001B55F3" w:rsidP="001B55F3">
      <w:pPr>
        <w:pStyle w:val="paragraph"/>
        <w:spacing w:before="0" w:beforeAutospacing="0" w:after="0" w:afterAutospacing="0"/>
        <w:jc w:val="both"/>
        <w:textAlignment w:val="baseline"/>
        <w:rPr>
          <w:rFonts w:asciiTheme="minorHAnsi" w:hAnsiTheme="minorHAnsi" w:cstheme="minorHAnsi"/>
          <w:sz w:val="18"/>
          <w:szCs w:val="18"/>
        </w:rPr>
      </w:pPr>
      <w:r w:rsidRPr="001B55F3">
        <w:rPr>
          <w:rStyle w:val="normaltextrun"/>
          <w:rFonts w:asciiTheme="minorHAnsi" w:hAnsiTheme="minorHAnsi" w:cstheme="minorHAnsi"/>
          <w:b/>
          <w:bCs/>
          <w:sz w:val="18"/>
          <w:szCs w:val="18"/>
        </w:rPr>
        <w:t xml:space="preserve">Bilgi için: </w:t>
      </w:r>
      <w:r w:rsidRPr="001B55F3">
        <w:rPr>
          <w:rStyle w:val="tabchar"/>
          <w:rFonts w:asciiTheme="minorHAnsi" w:hAnsiTheme="minorHAnsi" w:cstheme="minorHAnsi"/>
          <w:sz w:val="18"/>
          <w:szCs w:val="18"/>
        </w:rPr>
        <w:tab/>
      </w:r>
      <w:r w:rsidRPr="001B55F3">
        <w:rPr>
          <w:rStyle w:val="eop"/>
          <w:rFonts w:asciiTheme="minorHAnsi" w:hAnsiTheme="minorHAnsi" w:cstheme="minorHAnsi"/>
          <w:sz w:val="18"/>
          <w:szCs w:val="18"/>
        </w:rPr>
        <w:t> </w:t>
      </w:r>
    </w:p>
    <w:p w14:paraId="1284FF54" w14:textId="77777777" w:rsidR="001B55F3" w:rsidRPr="001B55F3" w:rsidRDefault="001B55F3" w:rsidP="001B55F3">
      <w:pPr>
        <w:pStyle w:val="paragraph"/>
        <w:spacing w:before="0" w:beforeAutospacing="0" w:after="0" w:afterAutospacing="0"/>
        <w:jc w:val="both"/>
        <w:textAlignment w:val="baseline"/>
        <w:rPr>
          <w:rFonts w:asciiTheme="minorHAnsi" w:hAnsiTheme="minorHAnsi" w:cstheme="minorHAnsi"/>
          <w:sz w:val="18"/>
          <w:szCs w:val="18"/>
        </w:rPr>
      </w:pPr>
      <w:r w:rsidRPr="001B55F3">
        <w:rPr>
          <w:rStyle w:val="normaltextrun"/>
          <w:rFonts w:asciiTheme="minorHAnsi" w:hAnsiTheme="minorHAnsi" w:cstheme="minorHAnsi"/>
          <w:color w:val="000000"/>
          <w:sz w:val="18"/>
          <w:szCs w:val="18"/>
        </w:rPr>
        <w:t>Ceren Moral Aru</w:t>
      </w:r>
      <w:r w:rsidRPr="001B55F3">
        <w:rPr>
          <w:rStyle w:val="eop"/>
          <w:rFonts w:asciiTheme="minorHAnsi" w:hAnsiTheme="minorHAnsi" w:cstheme="minorHAnsi"/>
          <w:color w:val="000000"/>
          <w:sz w:val="18"/>
          <w:szCs w:val="18"/>
        </w:rPr>
        <w:t> </w:t>
      </w:r>
    </w:p>
    <w:p w14:paraId="1343EFB1" w14:textId="77777777" w:rsidR="001B55F3" w:rsidRPr="001B55F3" w:rsidRDefault="001B55F3" w:rsidP="001B55F3">
      <w:pPr>
        <w:pStyle w:val="paragraph"/>
        <w:spacing w:before="0" w:beforeAutospacing="0" w:after="0" w:afterAutospacing="0"/>
        <w:jc w:val="both"/>
        <w:textAlignment w:val="baseline"/>
        <w:rPr>
          <w:rFonts w:asciiTheme="minorHAnsi" w:hAnsiTheme="minorHAnsi" w:cstheme="minorHAnsi"/>
          <w:sz w:val="18"/>
          <w:szCs w:val="18"/>
        </w:rPr>
      </w:pPr>
      <w:r w:rsidRPr="001B55F3">
        <w:rPr>
          <w:rStyle w:val="normaltextrun"/>
          <w:rFonts w:asciiTheme="minorHAnsi" w:hAnsiTheme="minorHAnsi" w:cstheme="minorHAnsi"/>
          <w:color w:val="000000"/>
          <w:sz w:val="18"/>
          <w:szCs w:val="18"/>
        </w:rPr>
        <w:t>0533 921 43 53</w:t>
      </w:r>
      <w:r w:rsidRPr="001B55F3">
        <w:rPr>
          <w:rStyle w:val="eop"/>
          <w:rFonts w:asciiTheme="minorHAnsi" w:hAnsiTheme="minorHAnsi" w:cstheme="minorHAnsi"/>
          <w:color w:val="000000"/>
          <w:sz w:val="18"/>
          <w:szCs w:val="18"/>
        </w:rPr>
        <w:t> </w:t>
      </w:r>
    </w:p>
    <w:p w14:paraId="304F194A" w14:textId="77777777" w:rsidR="001B55F3" w:rsidRPr="001B55F3" w:rsidRDefault="001B55F3" w:rsidP="001B55F3">
      <w:pPr>
        <w:pStyle w:val="paragraph"/>
        <w:spacing w:before="0" w:beforeAutospacing="0" w:after="0" w:afterAutospacing="0"/>
        <w:jc w:val="both"/>
        <w:textAlignment w:val="baseline"/>
        <w:rPr>
          <w:rFonts w:asciiTheme="minorHAnsi" w:hAnsiTheme="minorHAnsi" w:cstheme="minorHAnsi"/>
          <w:sz w:val="18"/>
          <w:szCs w:val="18"/>
        </w:rPr>
      </w:pPr>
      <w:r w:rsidRPr="001B55F3">
        <w:rPr>
          <w:rStyle w:val="normaltextrun"/>
          <w:rFonts w:asciiTheme="minorHAnsi" w:hAnsiTheme="minorHAnsi" w:cstheme="minorHAnsi"/>
          <w:color w:val="000000"/>
          <w:sz w:val="18"/>
          <w:szCs w:val="18"/>
        </w:rPr>
        <w:t>cerenm@marjinal.com.tr</w:t>
      </w:r>
      <w:r w:rsidRPr="001B55F3">
        <w:rPr>
          <w:rStyle w:val="eop"/>
          <w:rFonts w:asciiTheme="minorHAnsi" w:hAnsiTheme="minorHAnsi" w:cstheme="minorHAnsi"/>
          <w:color w:val="000000"/>
          <w:sz w:val="18"/>
          <w:szCs w:val="18"/>
        </w:rPr>
        <w:t> </w:t>
      </w:r>
    </w:p>
    <w:p w14:paraId="658A0A5E" w14:textId="77777777" w:rsidR="001B55F3" w:rsidRPr="001B55F3" w:rsidRDefault="001B55F3" w:rsidP="001B55F3">
      <w:pPr>
        <w:pStyle w:val="paragraph"/>
        <w:spacing w:before="0" w:beforeAutospacing="0" w:after="0" w:afterAutospacing="0"/>
        <w:jc w:val="both"/>
        <w:textAlignment w:val="baseline"/>
        <w:rPr>
          <w:rFonts w:asciiTheme="minorHAnsi" w:hAnsiTheme="minorHAnsi" w:cstheme="minorHAnsi"/>
          <w:sz w:val="18"/>
          <w:szCs w:val="18"/>
        </w:rPr>
      </w:pPr>
      <w:r w:rsidRPr="001B55F3">
        <w:rPr>
          <w:rStyle w:val="eop"/>
          <w:rFonts w:asciiTheme="minorHAnsi" w:hAnsiTheme="minorHAnsi" w:cstheme="minorHAnsi"/>
          <w:sz w:val="18"/>
          <w:szCs w:val="18"/>
        </w:rPr>
        <w:t> </w:t>
      </w:r>
    </w:p>
    <w:p w14:paraId="7BBC93DB" w14:textId="77777777" w:rsidR="001B55F3" w:rsidRPr="001B55F3" w:rsidRDefault="001B55F3" w:rsidP="001B55F3">
      <w:pPr>
        <w:pStyle w:val="paragraph"/>
        <w:spacing w:before="0" w:beforeAutospacing="0" w:after="0" w:afterAutospacing="0"/>
        <w:jc w:val="both"/>
        <w:textAlignment w:val="baseline"/>
        <w:rPr>
          <w:rFonts w:asciiTheme="minorHAnsi" w:hAnsiTheme="minorHAnsi" w:cstheme="minorHAnsi"/>
          <w:sz w:val="18"/>
          <w:szCs w:val="18"/>
        </w:rPr>
      </w:pPr>
      <w:r w:rsidRPr="001B55F3">
        <w:rPr>
          <w:rStyle w:val="normaltextrun"/>
          <w:rFonts w:asciiTheme="minorHAnsi" w:hAnsiTheme="minorHAnsi" w:cstheme="minorHAnsi"/>
          <w:b/>
          <w:bCs/>
          <w:sz w:val="18"/>
          <w:szCs w:val="18"/>
          <w:u w:val="single"/>
        </w:rPr>
        <w:t>KPMG Hakkında</w:t>
      </w:r>
      <w:r w:rsidRPr="001B55F3">
        <w:rPr>
          <w:rStyle w:val="eop"/>
          <w:rFonts w:asciiTheme="minorHAnsi" w:hAnsiTheme="minorHAnsi" w:cstheme="minorHAnsi"/>
          <w:sz w:val="18"/>
          <w:szCs w:val="18"/>
        </w:rPr>
        <w:t> </w:t>
      </w:r>
    </w:p>
    <w:p w14:paraId="0C81455A" w14:textId="48EAFB98" w:rsidR="001B55F3" w:rsidRPr="001B55F3" w:rsidRDefault="001B55F3" w:rsidP="001B55F3">
      <w:pPr>
        <w:pStyle w:val="paragraph"/>
        <w:spacing w:before="0" w:beforeAutospacing="0" w:after="0" w:afterAutospacing="0"/>
        <w:jc w:val="both"/>
        <w:textAlignment w:val="baseline"/>
        <w:rPr>
          <w:rFonts w:asciiTheme="minorHAnsi" w:hAnsiTheme="minorHAnsi" w:cstheme="minorHAnsi"/>
          <w:sz w:val="18"/>
          <w:szCs w:val="18"/>
        </w:rPr>
      </w:pPr>
      <w:r w:rsidRPr="001B55F3">
        <w:rPr>
          <w:rStyle w:val="normaltextrun"/>
          <w:rFonts w:asciiTheme="minorHAnsi" w:hAnsiTheme="minorHAnsi" w:cstheme="minorHAnsi"/>
          <w:color w:val="000000"/>
          <w:sz w:val="18"/>
          <w:szCs w:val="18"/>
        </w:rPr>
        <w:t xml:space="preserve">KPMG, geçmişi 1867 yılına dayanan, üye firmalar ağı sistemiyle 145 ülkede 236 binin üzerinde çalışanıyla faaliyet gösteriyor. Finansal hizmetler, tüketici ürünleri, otomotiv; endüstriyel sektörlerden gıda, perakende, enerji, telekomünikasyon, kimya gibi pek çok sektöre danışmanlık hizmeti sağlıyor. KPMG Türkiye ise İstanbul merkez ofisinin yanı sıra Ankara, İzmir ve Bursa ofisleriyle, 1982 yılından beri 1.850 çalışanıyla her sektörden 4 binin üzerinde firmaya sektörler özelinde hizmet veriyor. 2020 yılında küresel ağın </w:t>
      </w:r>
      <w:proofErr w:type="spellStart"/>
      <w:r w:rsidRPr="001B55F3">
        <w:rPr>
          <w:rStyle w:val="spellingerror"/>
          <w:rFonts w:asciiTheme="minorHAnsi" w:hAnsiTheme="minorHAnsi" w:cstheme="minorHAnsi"/>
          <w:color w:val="000000"/>
          <w:sz w:val="18"/>
          <w:szCs w:val="18"/>
        </w:rPr>
        <w:t>Lighthouse</w:t>
      </w:r>
      <w:proofErr w:type="spellEnd"/>
      <w:r w:rsidRPr="001B55F3">
        <w:rPr>
          <w:rStyle w:val="normaltextrun"/>
          <w:rFonts w:asciiTheme="minorHAnsi" w:hAnsiTheme="minorHAnsi" w:cstheme="minorHAnsi"/>
          <w:color w:val="000000"/>
          <w:sz w:val="18"/>
          <w:szCs w:val="18"/>
        </w:rPr>
        <w:t xml:space="preserve"> lisansını alarak yeni teknolojilerde dünyadaki mükemmeliyet merkezleri arasına giren KPMG Türkiye, müşterilerine değer yaratan çözümler sunuyor. Detaylı bilgi için </w:t>
      </w:r>
      <w:hyperlink r:id="rId11" w:tgtFrame="_blank" w:history="1">
        <w:r w:rsidRPr="001B55F3">
          <w:rPr>
            <w:rStyle w:val="normaltextrun"/>
            <w:rFonts w:asciiTheme="minorHAnsi" w:hAnsiTheme="minorHAnsi" w:cstheme="minorHAnsi"/>
            <w:color w:val="0563C1"/>
            <w:sz w:val="18"/>
            <w:szCs w:val="18"/>
            <w:u w:val="single"/>
          </w:rPr>
          <w:t>www.kpmg.com.tr</w:t>
        </w:r>
      </w:hyperlink>
      <w:r w:rsidRPr="001B55F3">
        <w:rPr>
          <w:rStyle w:val="normaltextrun"/>
          <w:rFonts w:asciiTheme="minorHAnsi" w:hAnsiTheme="minorHAnsi" w:cstheme="minorHAnsi"/>
          <w:color w:val="000000"/>
          <w:sz w:val="18"/>
          <w:szCs w:val="18"/>
        </w:rPr>
        <w:t> adresine başvurabilirsiniz.</w:t>
      </w:r>
      <w:r w:rsidRPr="001B55F3">
        <w:rPr>
          <w:rStyle w:val="eop"/>
          <w:rFonts w:asciiTheme="minorHAnsi" w:hAnsiTheme="minorHAnsi" w:cstheme="minorHAnsi"/>
          <w:color w:val="000000"/>
          <w:sz w:val="18"/>
          <w:szCs w:val="18"/>
        </w:rPr>
        <w:t> </w:t>
      </w:r>
    </w:p>
    <w:p w14:paraId="4FC98D0C" w14:textId="77777777" w:rsidR="001B55F3" w:rsidRDefault="001B55F3" w:rsidP="004A399D">
      <w:pPr>
        <w:spacing w:after="0" w:line="240" w:lineRule="auto"/>
        <w:contextualSpacing/>
        <w:jc w:val="both"/>
        <w:rPr>
          <w:b/>
          <w:sz w:val="16"/>
          <w:szCs w:val="16"/>
          <w:u w:val="single"/>
        </w:rPr>
      </w:pPr>
    </w:p>
    <w:p w14:paraId="40A001FE" w14:textId="77777777" w:rsidR="001B55F3" w:rsidRDefault="001B55F3" w:rsidP="004A399D">
      <w:pPr>
        <w:spacing w:after="0" w:line="240" w:lineRule="auto"/>
        <w:contextualSpacing/>
        <w:jc w:val="both"/>
        <w:rPr>
          <w:b/>
          <w:sz w:val="16"/>
          <w:szCs w:val="16"/>
          <w:u w:val="single"/>
        </w:rPr>
      </w:pPr>
    </w:p>
    <w:p w14:paraId="3359F04C" w14:textId="77777777" w:rsidR="00D322B8" w:rsidRPr="000C46F9" w:rsidRDefault="00D322B8" w:rsidP="00FB099A">
      <w:pPr>
        <w:rPr>
          <w:rFonts w:ascii="Arial" w:hAnsi="Arial" w:cs="Arial"/>
        </w:rPr>
      </w:pPr>
    </w:p>
    <w:p w14:paraId="62516F6D" w14:textId="77777777" w:rsidR="00511A4F" w:rsidRPr="000C46F9" w:rsidRDefault="00511A4F" w:rsidP="00FB099A">
      <w:pPr>
        <w:rPr>
          <w:rFonts w:ascii="Arial" w:hAnsi="Arial" w:cs="Arial"/>
        </w:rPr>
      </w:pPr>
    </w:p>
    <w:p w14:paraId="2699C430" w14:textId="2F228AE0" w:rsidR="00AD1559" w:rsidRPr="000C46F9" w:rsidRDefault="00AD1559" w:rsidP="0097526A">
      <w:pPr>
        <w:pStyle w:val="chrome"/>
        <w:shd w:val="clear" w:color="auto" w:fill="FFFFFF"/>
        <w:spacing w:before="0" w:beforeAutospacing="0" w:after="0" w:afterAutospacing="0"/>
        <w:textAlignment w:val="baseline"/>
        <w:rPr>
          <w:rFonts w:ascii="Arial" w:hAnsi="Arial" w:cs="Arial"/>
          <w:color w:val="333333"/>
          <w:sz w:val="22"/>
          <w:szCs w:val="22"/>
        </w:rPr>
      </w:pPr>
    </w:p>
    <w:p w14:paraId="6C7DDD1E" w14:textId="3398AD21" w:rsidR="00376CAF" w:rsidRPr="000C46F9" w:rsidRDefault="00376CAF" w:rsidP="00FB099A">
      <w:pPr>
        <w:rPr>
          <w:rFonts w:ascii="Arial" w:eastAsia="Times New Roman" w:hAnsi="Arial" w:cs="Arial"/>
          <w:color w:val="000000"/>
        </w:rPr>
      </w:pPr>
    </w:p>
    <w:p w14:paraId="2AB1866D" w14:textId="1B96F09F" w:rsidR="00376CAF" w:rsidRPr="000C46F9" w:rsidRDefault="00376CAF" w:rsidP="00376CAF">
      <w:pPr>
        <w:rPr>
          <w:rFonts w:ascii="Arial" w:hAnsi="Arial" w:cs="Arial"/>
        </w:rPr>
      </w:pPr>
    </w:p>
    <w:sectPr w:rsidR="00376CAF" w:rsidRPr="000C46F9" w:rsidSect="00D322B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8A548" w14:textId="77777777" w:rsidR="004A0495" w:rsidRDefault="004A0495" w:rsidP="00D322B8">
      <w:pPr>
        <w:spacing w:after="0" w:line="240" w:lineRule="auto"/>
      </w:pPr>
      <w:r>
        <w:separator/>
      </w:r>
    </w:p>
  </w:endnote>
  <w:endnote w:type="continuationSeparator" w:id="0">
    <w:p w14:paraId="67D8EC7E" w14:textId="77777777" w:rsidR="004A0495" w:rsidRDefault="004A0495" w:rsidP="00D3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3025F" w14:textId="77777777" w:rsidR="004A0495" w:rsidRDefault="004A0495" w:rsidP="00D322B8">
      <w:pPr>
        <w:spacing w:after="0" w:line="240" w:lineRule="auto"/>
      </w:pPr>
      <w:r>
        <w:separator/>
      </w:r>
    </w:p>
  </w:footnote>
  <w:footnote w:type="continuationSeparator" w:id="0">
    <w:p w14:paraId="441FFF5D" w14:textId="77777777" w:rsidR="004A0495" w:rsidRDefault="004A0495" w:rsidP="00D32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BA12" w14:textId="4EEF8F9A" w:rsidR="00D322B8" w:rsidRDefault="00D322B8">
    <w:pPr>
      <w:pStyle w:val="stBilgi"/>
    </w:pPr>
    <w:r w:rsidRPr="009A4977">
      <w:rPr>
        <w:rFonts w:ascii="Tahoma" w:hAnsi="Tahoma" w:cs="Tahoma"/>
        <w:noProof/>
        <w:lang w:eastAsia="tr-TR"/>
      </w:rPr>
      <w:drawing>
        <wp:anchor distT="0" distB="0" distL="114300" distR="114300" simplePos="0" relativeHeight="251659264" behindDoc="0" locked="0" layoutInCell="1" hidden="0" allowOverlap="1" wp14:anchorId="5764EE0C" wp14:editId="7D305421">
          <wp:simplePos x="0" y="0"/>
          <wp:positionH relativeFrom="column">
            <wp:posOffset>-158750</wp:posOffset>
          </wp:positionH>
          <wp:positionV relativeFrom="paragraph">
            <wp:posOffset>-248285</wp:posOffset>
          </wp:positionV>
          <wp:extent cx="1057275" cy="4445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089" b="20467"/>
                  <a:stretch>
                    <a:fillRect/>
                  </a:stretch>
                </pic:blipFill>
                <pic:spPr>
                  <a:xfrm>
                    <a:off x="0" y="0"/>
                    <a:ext cx="1057275" cy="44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3B70"/>
    <w:multiLevelType w:val="hybridMultilevel"/>
    <w:tmpl w:val="DF9E6F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32588A"/>
    <w:multiLevelType w:val="hybridMultilevel"/>
    <w:tmpl w:val="3B441F80"/>
    <w:lvl w:ilvl="0" w:tplc="36444AA6">
      <w:start w:val="20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2FB52FD"/>
    <w:multiLevelType w:val="hybridMultilevel"/>
    <w:tmpl w:val="F5F09F5A"/>
    <w:lvl w:ilvl="0" w:tplc="F0F442EE">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908422C"/>
    <w:multiLevelType w:val="hybridMultilevel"/>
    <w:tmpl w:val="42AC419E"/>
    <w:lvl w:ilvl="0" w:tplc="61846716">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674BD1"/>
    <w:multiLevelType w:val="hybridMultilevel"/>
    <w:tmpl w:val="C1BA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501159">
    <w:abstractNumId w:val="1"/>
  </w:num>
  <w:num w:numId="2" w16cid:durableId="867065816">
    <w:abstractNumId w:val="3"/>
  </w:num>
  <w:num w:numId="3" w16cid:durableId="357437083">
    <w:abstractNumId w:val="2"/>
  </w:num>
  <w:num w:numId="4" w16cid:durableId="604773153">
    <w:abstractNumId w:val="4"/>
  </w:num>
  <w:num w:numId="5" w16cid:durableId="129081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9A"/>
    <w:rsid w:val="000271D2"/>
    <w:rsid w:val="000859AF"/>
    <w:rsid w:val="000C46F9"/>
    <w:rsid w:val="001007D9"/>
    <w:rsid w:val="00113973"/>
    <w:rsid w:val="0013228F"/>
    <w:rsid w:val="00137590"/>
    <w:rsid w:val="001B55F3"/>
    <w:rsid w:val="001F682E"/>
    <w:rsid w:val="002C1784"/>
    <w:rsid w:val="002C69A1"/>
    <w:rsid w:val="002E1634"/>
    <w:rsid w:val="00320E15"/>
    <w:rsid w:val="00376117"/>
    <w:rsid w:val="00376CAF"/>
    <w:rsid w:val="00377A44"/>
    <w:rsid w:val="003C439A"/>
    <w:rsid w:val="003F5B88"/>
    <w:rsid w:val="004136C3"/>
    <w:rsid w:val="004A0495"/>
    <w:rsid w:val="004A399D"/>
    <w:rsid w:val="00511A4F"/>
    <w:rsid w:val="005A0087"/>
    <w:rsid w:val="005B1116"/>
    <w:rsid w:val="005C2E52"/>
    <w:rsid w:val="005F0E8D"/>
    <w:rsid w:val="005F66E8"/>
    <w:rsid w:val="00611493"/>
    <w:rsid w:val="00664709"/>
    <w:rsid w:val="00691774"/>
    <w:rsid w:val="00693178"/>
    <w:rsid w:val="006C764C"/>
    <w:rsid w:val="00737D9D"/>
    <w:rsid w:val="00745D55"/>
    <w:rsid w:val="007D16C4"/>
    <w:rsid w:val="007D3441"/>
    <w:rsid w:val="00812B22"/>
    <w:rsid w:val="009073F9"/>
    <w:rsid w:val="00912EF3"/>
    <w:rsid w:val="00917AD1"/>
    <w:rsid w:val="0093489B"/>
    <w:rsid w:val="00946E34"/>
    <w:rsid w:val="00955B7B"/>
    <w:rsid w:val="0097526A"/>
    <w:rsid w:val="00A76CA9"/>
    <w:rsid w:val="00A97A31"/>
    <w:rsid w:val="00AD1559"/>
    <w:rsid w:val="00AD337D"/>
    <w:rsid w:val="00AF5D95"/>
    <w:rsid w:val="00B90A10"/>
    <w:rsid w:val="00BA1F99"/>
    <w:rsid w:val="00BA2B2C"/>
    <w:rsid w:val="00BB0308"/>
    <w:rsid w:val="00BC72CA"/>
    <w:rsid w:val="00BD5E0A"/>
    <w:rsid w:val="00BF5F40"/>
    <w:rsid w:val="00C77633"/>
    <w:rsid w:val="00C87E24"/>
    <w:rsid w:val="00D16F7C"/>
    <w:rsid w:val="00D322B8"/>
    <w:rsid w:val="00D778F5"/>
    <w:rsid w:val="00DD1909"/>
    <w:rsid w:val="00E533B4"/>
    <w:rsid w:val="00E83E4D"/>
    <w:rsid w:val="00E95096"/>
    <w:rsid w:val="00ED793F"/>
    <w:rsid w:val="00F14548"/>
    <w:rsid w:val="00FB099A"/>
    <w:rsid w:val="00FF6C55"/>
    <w:rsid w:val="00FF7D9C"/>
    <w:rsid w:val="04A32E60"/>
    <w:rsid w:val="0CCC2DFF"/>
    <w:rsid w:val="5C042A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AE21"/>
  <w15:chartTrackingRefBased/>
  <w15:docId w15:val="{E76F4AA9-5752-416A-BAA5-E4D660B4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45D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5D55"/>
    <w:rPr>
      <w:rFonts w:ascii="Segoe UI" w:hAnsi="Segoe UI" w:cs="Segoe UI"/>
      <w:sz w:val="18"/>
      <w:szCs w:val="18"/>
    </w:rPr>
  </w:style>
  <w:style w:type="paragraph" w:styleId="ListeParagraf">
    <w:name w:val="List Paragraph"/>
    <w:basedOn w:val="Normal"/>
    <w:uiPriority w:val="34"/>
    <w:qFormat/>
    <w:rsid w:val="00A97A31"/>
    <w:pPr>
      <w:ind w:left="720"/>
      <w:contextualSpacing/>
    </w:pPr>
  </w:style>
  <w:style w:type="paragraph" w:customStyle="1" w:styleId="chrome">
    <w:name w:val="chrome"/>
    <w:basedOn w:val="Normal"/>
    <w:rsid w:val="00A97A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526A"/>
    <w:rPr>
      <w:b/>
      <w:bCs/>
    </w:rPr>
  </w:style>
  <w:style w:type="paragraph" w:styleId="stBilgi">
    <w:name w:val="header"/>
    <w:basedOn w:val="Normal"/>
    <w:link w:val="stBilgiChar"/>
    <w:uiPriority w:val="99"/>
    <w:unhideWhenUsed/>
    <w:rsid w:val="00D322B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D322B8"/>
  </w:style>
  <w:style w:type="paragraph" w:styleId="AltBilgi">
    <w:name w:val="footer"/>
    <w:basedOn w:val="Normal"/>
    <w:link w:val="AltBilgiChar"/>
    <w:uiPriority w:val="99"/>
    <w:unhideWhenUsed/>
    <w:rsid w:val="00D322B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D322B8"/>
  </w:style>
  <w:style w:type="paragraph" w:styleId="Dzeltme">
    <w:name w:val="Revision"/>
    <w:hidden/>
    <w:uiPriority w:val="99"/>
    <w:semiHidden/>
    <w:rsid w:val="00D322B8"/>
    <w:pPr>
      <w:spacing w:after="0" w:line="240" w:lineRule="auto"/>
    </w:pPr>
  </w:style>
  <w:style w:type="character" w:styleId="Kpr">
    <w:name w:val="Hyperlink"/>
    <w:basedOn w:val="VarsaylanParagrafYazTipi"/>
    <w:uiPriority w:val="99"/>
    <w:unhideWhenUsed/>
    <w:rsid w:val="00D322B8"/>
    <w:rPr>
      <w:color w:val="0563C1" w:themeColor="hyperlink"/>
      <w:u w:val="single"/>
    </w:rPr>
  </w:style>
  <w:style w:type="character" w:customStyle="1" w:styleId="apple-converted-space">
    <w:name w:val="apple-converted-space"/>
    <w:basedOn w:val="VarsaylanParagrafYazTipi"/>
    <w:rsid w:val="00D322B8"/>
  </w:style>
  <w:style w:type="character" w:styleId="AklamaBavurusu">
    <w:name w:val="annotation reference"/>
    <w:basedOn w:val="VarsaylanParagrafYazTipi"/>
    <w:uiPriority w:val="99"/>
    <w:semiHidden/>
    <w:unhideWhenUsed/>
    <w:rsid w:val="00812B22"/>
    <w:rPr>
      <w:sz w:val="16"/>
      <w:szCs w:val="16"/>
    </w:rPr>
  </w:style>
  <w:style w:type="paragraph" w:styleId="AklamaMetni">
    <w:name w:val="annotation text"/>
    <w:basedOn w:val="Normal"/>
    <w:link w:val="AklamaMetniChar"/>
    <w:uiPriority w:val="99"/>
    <w:semiHidden/>
    <w:unhideWhenUsed/>
    <w:rsid w:val="00812B2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12B22"/>
    <w:rPr>
      <w:sz w:val="20"/>
      <w:szCs w:val="20"/>
    </w:rPr>
  </w:style>
  <w:style w:type="paragraph" w:styleId="AklamaKonusu">
    <w:name w:val="annotation subject"/>
    <w:basedOn w:val="AklamaMetni"/>
    <w:next w:val="AklamaMetni"/>
    <w:link w:val="AklamaKonusuChar"/>
    <w:uiPriority w:val="99"/>
    <w:semiHidden/>
    <w:unhideWhenUsed/>
    <w:rsid w:val="00812B22"/>
    <w:rPr>
      <w:b/>
      <w:bCs/>
    </w:rPr>
  </w:style>
  <w:style w:type="character" w:customStyle="1" w:styleId="AklamaKonusuChar">
    <w:name w:val="Açıklama Konusu Char"/>
    <w:basedOn w:val="AklamaMetniChar"/>
    <w:link w:val="AklamaKonusu"/>
    <w:uiPriority w:val="99"/>
    <w:semiHidden/>
    <w:rsid w:val="00812B22"/>
    <w:rPr>
      <w:b/>
      <w:bCs/>
      <w:sz w:val="20"/>
      <w:szCs w:val="20"/>
    </w:rPr>
  </w:style>
  <w:style w:type="character" w:customStyle="1" w:styleId="UnresolvedMention1">
    <w:name w:val="Unresolved Mention1"/>
    <w:basedOn w:val="VarsaylanParagrafYazTipi"/>
    <w:uiPriority w:val="99"/>
    <w:semiHidden/>
    <w:unhideWhenUsed/>
    <w:rsid w:val="00BA1F99"/>
    <w:rPr>
      <w:color w:val="605E5C"/>
      <w:shd w:val="clear" w:color="auto" w:fill="E1DFDD"/>
    </w:rPr>
  </w:style>
  <w:style w:type="paragraph" w:customStyle="1" w:styleId="paragraph">
    <w:name w:val="paragraph"/>
    <w:basedOn w:val="Normal"/>
    <w:rsid w:val="001B55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1B55F3"/>
  </w:style>
  <w:style w:type="character" w:customStyle="1" w:styleId="tabchar">
    <w:name w:val="tabchar"/>
    <w:basedOn w:val="VarsaylanParagrafYazTipi"/>
    <w:rsid w:val="001B55F3"/>
  </w:style>
  <w:style w:type="character" w:customStyle="1" w:styleId="eop">
    <w:name w:val="eop"/>
    <w:basedOn w:val="VarsaylanParagrafYazTipi"/>
    <w:rsid w:val="001B55F3"/>
  </w:style>
  <w:style w:type="character" w:customStyle="1" w:styleId="spellingerror">
    <w:name w:val="spellingerror"/>
    <w:basedOn w:val="VarsaylanParagrafYazTipi"/>
    <w:rsid w:val="001B55F3"/>
  </w:style>
  <w:style w:type="character" w:styleId="zmlenmeyenBahsetme">
    <w:name w:val="Unresolved Mention"/>
    <w:basedOn w:val="VarsaylanParagrafYazTipi"/>
    <w:uiPriority w:val="99"/>
    <w:semiHidden/>
    <w:unhideWhenUsed/>
    <w:rsid w:val="001B55F3"/>
    <w:rPr>
      <w:color w:val="605E5C"/>
      <w:shd w:val="clear" w:color="auto" w:fill="E1DFDD"/>
    </w:rPr>
  </w:style>
  <w:style w:type="paragraph" w:styleId="NormalWeb">
    <w:name w:val="Normal (Web)"/>
    <w:basedOn w:val="Normal"/>
    <w:uiPriority w:val="99"/>
    <w:semiHidden/>
    <w:unhideWhenUsed/>
    <w:rsid w:val="00ED79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5B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4274">
      <w:bodyDiv w:val="1"/>
      <w:marLeft w:val="0"/>
      <w:marRight w:val="0"/>
      <w:marTop w:val="0"/>
      <w:marBottom w:val="0"/>
      <w:divBdr>
        <w:top w:val="none" w:sz="0" w:space="0" w:color="auto"/>
        <w:left w:val="none" w:sz="0" w:space="0" w:color="auto"/>
        <w:bottom w:val="none" w:sz="0" w:space="0" w:color="auto"/>
        <w:right w:val="none" w:sz="0" w:space="0" w:color="auto"/>
      </w:divBdr>
    </w:div>
    <w:div w:id="467279409">
      <w:bodyDiv w:val="1"/>
      <w:marLeft w:val="0"/>
      <w:marRight w:val="0"/>
      <w:marTop w:val="0"/>
      <w:marBottom w:val="0"/>
      <w:divBdr>
        <w:top w:val="none" w:sz="0" w:space="0" w:color="auto"/>
        <w:left w:val="none" w:sz="0" w:space="0" w:color="auto"/>
        <w:bottom w:val="none" w:sz="0" w:space="0" w:color="auto"/>
        <w:right w:val="none" w:sz="0" w:space="0" w:color="auto"/>
      </w:divBdr>
    </w:div>
    <w:div w:id="745105014">
      <w:bodyDiv w:val="1"/>
      <w:marLeft w:val="0"/>
      <w:marRight w:val="0"/>
      <w:marTop w:val="0"/>
      <w:marBottom w:val="0"/>
      <w:divBdr>
        <w:top w:val="none" w:sz="0" w:space="0" w:color="auto"/>
        <w:left w:val="none" w:sz="0" w:space="0" w:color="auto"/>
        <w:bottom w:val="none" w:sz="0" w:space="0" w:color="auto"/>
        <w:right w:val="none" w:sz="0" w:space="0" w:color="auto"/>
      </w:divBdr>
    </w:div>
    <w:div w:id="752897020">
      <w:bodyDiv w:val="1"/>
      <w:marLeft w:val="0"/>
      <w:marRight w:val="0"/>
      <w:marTop w:val="0"/>
      <w:marBottom w:val="0"/>
      <w:divBdr>
        <w:top w:val="none" w:sz="0" w:space="0" w:color="auto"/>
        <w:left w:val="none" w:sz="0" w:space="0" w:color="auto"/>
        <w:bottom w:val="none" w:sz="0" w:space="0" w:color="auto"/>
        <w:right w:val="none" w:sz="0" w:space="0" w:color="auto"/>
      </w:divBdr>
    </w:div>
    <w:div w:id="1215122337">
      <w:bodyDiv w:val="1"/>
      <w:marLeft w:val="0"/>
      <w:marRight w:val="0"/>
      <w:marTop w:val="0"/>
      <w:marBottom w:val="0"/>
      <w:divBdr>
        <w:top w:val="none" w:sz="0" w:space="0" w:color="auto"/>
        <w:left w:val="none" w:sz="0" w:space="0" w:color="auto"/>
        <w:bottom w:val="none" w:sz="0" w:space="0" w:color="auto"/>
        <w:right w:val="none" w:sz="0" w:space="0" w:color="auto"/>
      </w:divBdr>
    </w:div>
    <w:div w:id="1218005910">
      <w:bodyDiv w:val="1"/>
      <w:marLeft w:val="0"/>
      <w:marRight w:val="0"/>
      <w:marTop w:val="0"/>
      <w:marBottom w:val="0"/>
      <w:divBdr>
        <w:top w:val="none" w:sz="0" w:space="0" w:color="auto"/>
        <w:left w:val="none" w:sz="0" w:space="0" w:color="auto"/>
        <w:bottom w:val="none" w:sz="0" w:space="0" w:color="auto"/>
        <w:right w:val="none" w:sz="0" w:space="0" w:color="auto"/>
      </w:divBdr>
    </w:div>
    <w:div w:id="1293905085">
      <w:bodyDiv w:val="1"/>
      <w:marLeft w:val="0"/>
      <w:marRight w:val="0"/>
      <w:marTop w:val="0"/>
      <w:marBottom w:val="0"/>
      <w:divBdr>
        <w:top w:val="none" w:sz="0" w:space="0" w:color="auto"/>
        <w:left w:val="none" w:sz="0" w:space="0" w:color="auto"/>
        <w:bottom w:val="none" w:sz="0" w:space="0" w:color="auto"/>
        <w:right w:val="none" w:sz="0" w:space="0" w:color="auto"/>
      </w:divBdr>
      <w:divsChild>
        <w:div w:id="2082099716">
          <w:marLeft w:val="0"/>
          <w:marRight w:val="0"/>
          <w:marTop w:val="0"/>
          <w:marBottom w:val="0"/>
          <w:divBdr>
            <w:top w:val="none" w:sz="0" w:space="0" w:color="auto"/>
            <w:left w:val="none" w:sz="0" w:space="0" w:color="auto"/>
            <w:bottom w:val="none" w:sz="0" w:space="0" w:color="auto"/>
            <w:right w:val="none" w:sz="0" w:space="0" w:color="auto"/>
          </w:divBdr>
        </w:div>
        <w:div w:id="238291473">
          <w:marLeft w:val="0"/>
          <w:marRight w:val="0"/>
          <w:marTop w:val="0"/>
          <w:marBottom w:val="0"/>
          <w:divBdr>
            <w:top w:val="none" w:sz="0" w:space="0" w:color="auto"/>
            <w:left w:val="none" w:sz="0" w:space="0" w:color="auto"/>
            <w:bottom w:val="none" w:sz="0" w:space="0" w:color="auto"/>
            <w:right w:val="none" w:sz="0" w:space="0" w:color="auto"/>
          </w:divBdr>
        </w:div>
        <w:div w:id="1036854505">
          <w:marLeft w:val="0"/>
          <w:marRight w:val="0"/>
          <w:marTop w:val="0"/>
          <w:marBottom w:val="0"/>
          <w:divBdr>
            <w:top w:val="none" w:sz="0" w:space="0" w:color="auto"/>
            <w:left w:val="none" w:sz="0" w:space="0" w:color="auto"/>
            <w:bottom w:val="none" w:sz="0" w:space="0" w:color="auto"/>
            <w:right w:val="none" w:sz="0" w:space="0" w:color="auto"/>
          </w:divBdr>
        </w:div>
        <w:div w:id="162203053">
          <w:marLeft w:val="0"/>
          <w:marRight w:val="0"/>
          <w:marTop w:val="0"/>
          <w:marBottom w:val="0"/>
          <w:divBdr>
            <w:top w:val="none" w:sz="0" w:space="0" w:color="auto"/>
            <w:left w:val="none" w:sz="0" w:space="0" w:color="auto"/>
            <w:bottom w:val="none" w:sz="0" w:space="0" w:color="auto"/>
            <w:right w:val="none" w:sz="0" w:space="0" w:color="auto"/>
          </w:divBdr>
        </w:div>
        <w:div w:id="927734067">
          <w:marLeft w:val="0"/>
          <w:marRight w:val="0"/>
          <w:marTop w:val="0"/>
          <w:marBottom w:val="0"/>
          <w:divBdr>
            <w:top w:val="none" w:sz="0" w:space="0" w:color="auto"/>
            <w:left w:val="none" w:sz="0" w:space="0" w:color="auto"/>
            <w:bottom w:val="none" w:sz="0" w:space="0" w:color="auto"/>
            <w:right w:val="none" w:sz="0" w:space="0" w:color="auto"/>
          </w:divBdr>
        </w:div>
        <w:div w:id="1390347504">
          <w:marLeft w:val="0"/>
          <w:marRight w:val="0"/>
          <w:marTop w:val="0"/>
          <w:marBottom w:val="0"/>
          <w:divBdr>
            <w:top w:val="none" w:sz="0" w:space="0" w:color="auto"/>
            <w:left w:val="none" w:sz="0" w:space="0" w:color="auto"/>
            <w:bottom w:val="none" w:sz="0" w:space="0" w:color="auto"/>
            <w:right w:val="none" w:sz="0" w:space="0" w:color="auto"/>
          </w:divBdr>
        </w:div>
        <w:div w:id="100731223">
          <w:marLeft w:val="0"/>
          <w:marRight w:val="0"/>
          <w:marTop w:val="0"/>
          <w:marBottom w:val="0"/>
          <w:divBdr>
            <w:top w:val="none" w:sz="0" w:space="0" w:color="auto"/>
            <w:left w:val="none" w:sz="0" w:space="0" w:color="auto"/>
            <w:bottom w:val="none" w:sz="0" w:space="0" w:color="auto"/>
            <w:right w:val="none" w:sz="0" w:space="0" w:color="auto"/>
          </w:divBdr>
        </w:div>
      </w:divsChild>
    </w:div>
    <w:div w:id="2043094998">
      <w:bodyDiv w:val="1"/>
      <w:marLeft w:val="0"/>
      <w:marRight w:val="0"/>
      <w:marTop w:val="0"/>
      <w:marBottom w:val="0"/>
      <w:divBdr>
        <w:top w:val="none" w:sz="0" w:space="0" w:color="auto"/>
        <w:left w:val="none" w:sz="0" w:space="0" w:color="auto"/>
        <w:bottom w:val="none" w:sz="0" w:space="0" w:color="auto"/>
        <w:right w:val="none" w:sz="0" w:space="0" w:color="auto"/>
      </w:divBdr>
    </w:div>
    <w:div w:id="20935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pmg.com.tr/" TargetMode="External"/><Relationship Id="rId5" Type="http://schemas.openxmlformats.org/officeDocument/2006/relationships/styles" Target="styles.xml"/><Relationship Id="rId10" Type="http://schemas.openxmlformats.org/officeDocument/2006/relationships/hyperlink" Target="https://assets.kpmg/content/dam/kpmg/xx/pdf/2022/07/venture-pulse-q2-202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9" ma:contentTypeDescription="Yeni belge oluşturun." ma:contentTypeScope="" ma:versionID="71fb90ef985eabcb73cf990e58530c16">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4ee682745842122075020adcd08c53a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2DF17-C752-420C-9F59-92A90164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7EEE9-E2CC-4F9D-B4C2-870F3A1B06B1}">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1FEA5539-B5DB-4264-8B7E-5662E82D2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Balci, Berra</dc:creator>
  <cp:keywords/>
  <dc:description/>
  <cp:lastModifiedBy>Nevra Cankaya</cp:lastModifiedBy>
  <cp:revision>2</cp:revision>
  <dcterms:created xsi:type="dcterms:W3CDTF">2022-08-10T06:32:00Z</dcterms:created>
  <dcterms:modified xsi:type="dcterms:W3CDTF">2022-08-10T06:32:00Z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