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81DF0" w14:textId="77777777" w:rsidR="009D499F" w:rsidRPr="00F51ED7" w:rsidRDefault="009D499F" w:rsidP="009D499F">
      <w:pPr>
        <w:pStyle w:val="NormalWeb"/>
        <w:shd w:val="clear" w:color="auto" w:fill="FFFFFF"/>
        <w:spacing w:before="0" w:beforeAutospacing="0" w:after="0" w:afterAutospacing="0" w:line="360" w:lineRule="auto"/>
        <w:textAlignment w:val="baseline"/>
        <w:rPr>
          <w:rStyle w:val="Gl"/>
          <w:rFonts w:ascii="Verdana" w:hAnsi="Verdana" w:cs="Arial"/>
          <w:sz w:val="32"/>
          <w:szCs w:val="32"/>
          <w:u w:val="single"/>
          <w:bdr w:val="none" w:sz="0" w:space="0" w:color="auto" w:frame="1"/>
        </w:rPr>
      </w:pPr>
      <w:r w:rsidRPr="00F51ED7">
        <w:rPr>
          <w:rStyle w:val="Gl"/>
          <w:rFonts w:ascii="Verdana" w:hAnsi="Verdana" w:cs="Arial"/>
          <w:sz w:val="32"/>
          <w:szCs w:val="32"/>
          <w:u w:val="single"/>
          <w:bdr w:val="none" w:sz="0" w:space="0" w:color="auto" w:frame="1"/>
        </w:rPr>
        <w:t xml:space="preserve">BASIN BÜLTENİ </w:t>
      </w:r>
    </w:p>
    <w:p w14:paraId="743136E2" w14:textId="77777777" w:rsidR="009D499F" w:rsidRPr="00F51ED7" w:rsidRDefault="009D499F" w:rsidP="009D499F">
      <w:pPr>
        <w:pStyle w:val="NormalWeb"/>
        <w:shd w:val="clear" w:color="auto" w:fill="FFFFFF"/>
        <w:spacing w:before="0" w:beforeAutospacing="0" w:after="0" w:afterAutospacing="0" w:line="360" w:lineRule="auto"/>
        <w:textAlignment w:val="baseline"/>
        <w:rPr>
          <w:rStyle w:val="Gl"/>
          <w:rFonts w:ascii="Verdana" w:hAnsi="Verdana" w:cs="Arial"/>
          <w:u w:val="single"/>
          <w:bdr w:val="none" w:sz="0" w:space="0" w:color="auto" w:frame="1"/>
        </w:rPr>
      </w:pPr>
    </w:p>
    <w:p w14:paraId="6842F4DB" w14:textId="77777777" w:rsidR="00B0563B" w:rsidRPr="00F51ED7" w:rsidRDefault="00CD57B9" w:rsidP="00B0563B">
      <w:pPr>
        <w:pStyle w:val="NormalWeb"/>
        <w:shd w:val="clear" w:color="auto" w:fill="FFFFFF"/>
        <w:spacing w:before="0" w:beforeAutospacing="0" w:after="0" w:afterAutospacing="0" w:line="360" w:lineRule="auto"/>
        <w:jc w:val="center"/>
        <w:textAlignment w:val="baseline"/>
        <w:rPr>
          <w:rStyle w:val="Gl"/>
          <w:rFonts w:ascii="Verdana" w:hAnsi="Verdana" w:cs="Arial"/>
          <w:sz w:val="28"/>
          <w:szCs w:val="28"/>
          <w:bdr w:val="none" w:sz="0" w:space="0" w:color="auto" w:frame="1"/>
        </w:rPr>
      </w:pPr>
      <w:r w:rsidRPr="00F51ED7">
        <w:rPr>
          <w:rStyle w:val="Gl"/>
          <w:rFonts w:ascii="Verdana" w:hAnsi="Verdana" w:cs="Arial"/>
          <w:sz w:val="28"/>
          <w:szCs w:val="28"/>
          <w:bdr w:val="none" w:sz="0" w:space="0" w:color="auto" w:frame="1"/>
        </w:rPr>
        <w:t xml:space="preserve">AIFD desteğiyle hazırlanan “Türkiye İçin Klinik Araştırma Stratejisinin Faydaları” raporu: </w:t>
      </w:r>
      <w:r w:rsidR="00B0563B" w:rsidRPr="00F51ED7">
        <w:rPr>
          <w:rStyle w:val="Gl"/>
          <w:rFonts w:ascii="Verdana" w:hAnsi="Verdana" w:cs="Arial"/>
          <w:sz w:val="28"/>
          <w:szCs w:val="28"/>
          <w:bdr w:val="none" w:sz="0" w:space="0" w:color="auto" w:frame="1"/>
        </w:rPr>
        <w:t>Türkiye 2027’de en çok klinik araştırma gerçekleştiren 10 ülkeden biri olabilir</w:t>
      </w:r>
    </w:p>
    <w:p w14:paraId="1BC76B54" w14:textId="77777777" w:rsidR="00B0563B" w:rsidRPr="00F51ED7" w:rsidRDefault="00B0563B" w:rsidP="00B0563B">
      <w:pPr>
        <w:pStyle w:val="NormalWeb"/>
        <w:shd w:val="clear" w:color="auto" w:fill="FFFFFF"/>
        <w:spacing w:before="0" w:beforeAutospacing="0" w:after="0" w:afterAutospacing="0" w:line="360" w:lineRule="auto"/>
        <w:jc w:val="center"/>
        <w:textAlignment w:val="baseline"/>
        <w:rPr>
          <w:rStyle w:val="Gl"/>
          <w:rFonts w:ascii="Verdana" w:hAnsi="Verdana" w:cs="Arial"/>
          <w:sz w:val="28"/>
          <w:szCs w:val="28"/>
          <w:bdr w:val="none" w:sz="0" w:space="0" w:color="auto" w:frame="1"/>
        </w:rPr>
      </w:pPr>
    </w:p>
    <w:p w14:paraId="32B2F591" w14:textId="2F8277CF" w:rsidR="00B01FBC" w:rsidRPr="00F51ED7" w:rsidRDefault="00B0563B" w:rsidP="00B01FBC">
      <w:pPr>
        <w:pStyle w:val="NormalWeb"/>
        <w:shd w:val="clear" w:color="auto" w:fill="FFFFFF"/>
        <w:spacing w:before="0" w:beforeAutospacing="0" w:after="0" w:afterAutospacing="0" w:line="360" w:lineRule="auto"/>
        <w:jc w:val="center"/>
        <w:textAlignment w:val="baseline"/>
        <w:rPr>
          <w:rStyle w:val="Gl"/>
          <w:rFonts w:ascii="Verdana" w:hAnsi="Verdana" w:cs="Arial"/>
          <w:sz w:val="24"/>
          <w:szCs w:val="24"/>
          <w:bdr w:val="none" w:sz="0" w:space="0" w:color="auto" w:frame="1"/>
        </w:rPr>
      </w:pPr>
      <w:r w:rsidRPr="00F51ED7">
        <w:rPr>
          <w:rStyle w:val="Gl"/>
          <w:rFonts w:ascii="Verdana" w:hAnsi="Verdana" w:cs="Arial"/>
          <w:sz w:val="24"/>
          <w:szCs w:val="24"/>
          <w:bdr w:val="none" w:sz="0" w:space="0" w:color="auto" w:frame="1"/>
        </w:rPr>
        <w:t>Araştırmacı İlaç Firmaları Derneği’nin desteği ile IQVIA tarafından hazırlanan rapor Türkiye’de klinik araştırmaların ekonomik, sosyal ve bilimsel faydalarını ortaya koyuyor. Rapora göre klinik araştırma altyapısının, kapasitesinin ve becerilerinin geliştirilmesiyle birlikte</w:t>
      </w:r>
      <w:r w:rsidR="00B01FBC" w:rsidRPr="00F51ED7">
        <w:rPr>
          <w:rStyle w:val="Gl"/>
          <w:rFonts w:ascii="Verdana" w:hAnsi="Verdana" w:cs="Arial"/>
          <w:sz w:val="24"/>
          <w:szCs w:val="24"/>
          <w:bdr w:val="none" w:sz="0" w:space="0" w:color="auto" w:frame="1"/>
        </w:rPr>
        <w:t xml:space="preserve"> Türkiye klinik araştırmalardan yıllık 1 milyar dolarlık ekonomik değer üretebilecek.</w:t>
      </w:r>
    </w:p>
    <w:p w14:paraId="61B996FB" w14:textId="77777777" w:rsidR="00611F29" w:rsidRPr="00F51ED7" w:rsidRDefault="00611F29" w:rsidP="009D499F">
      <w:pPr>
        <w:pStyle w:val="NormalWeb"/>
        <w:shd w:val="clear" w:color="auto" w:fill="FFFFFF"/>
        <w:spacing w:before="0" w:beforeAutospacing="0" w:after="225" w:afterAutospacing="0" w:line="360" w:lineRule="auto"/>
        <w:jc w:val="both"/>
        <w:textAlignment w:val="baseline"/>
        <w:rPr>
          <w:rFonts w:ascii="Verdana" w:hAnsi="Verdana" w:cs="Arial"/>
        </w:rPr>
      </w:pPr>
    </w:p>
    <w:p w14:paraId="241F6846" w14:textId="6335F43D" w:rsidR="0004705E" w:rsidRPr="00F51ED7" w:rsidRDefault="0004705E" w:rsidP="00FF0088">
      <w:pPr>
        <w:spacing w:line="360" w:lineRule="auto"/>
        <w:jc w:val="both"/>
        <w:rPr>
          <w:rFonts w:ascii="Verdana" w:hAnsi="Verdana" w:cs="Arial"/>
          <w:sz w:val="20"/>
          <w:szCs w:val="20"/>
          <w:lang w:val="tr-TR"/>
        </w:rPr>
      </w:pPr>
      <w:r w:rsidRPr="00F51ED7">
        <w:rPr>
          <w:rFonts w:ascii="Verdana" w:hAnsi="Verdana" w:cs="Arial"/>
          <w:sz w:val="20"/>
          <w:szCs w:val="20"/>
          <w:lang w:val="tr-TR"/>
        </w:rPr>
        <w:t>Hastaların yenilikçi ilaç ve tedavilere erişimlerini artırma ve sağlık alanında etik ve şeffaf bir çalışma ortamını sağlama amacıyla faaliyet yürüten ve halihazırda 36 araştırmacı ilaç şirketini temsil eden Araştırmacı İlaç Firmaları Derneği’nin (AIFD) desteğiyle, araştırma şirketi IQVIA tarafından hazırlanan “</w:t>
      </w:r>
      <w:bookmarkStart w:id="0" w:name="_Hlk51067194"/>
      <w:r w:rsidRPr="00F51ED7">
        <w:rPr>
          <w:rFonts w:ascii="Verdana" w:hAnsi="Verdana" w:cs="Arial"/>
          <w:sz w:val="20"/>
          <w:szCs w:val="20"/>
          <w:lang w:val="tr-TR"/>
        </w:rPr>
        <w:t xml:space="preserve">Türkiye İçin Klinik Araştırma Stratejisinin Faydaları-Yenilik Temelli Büyüme İçin Yol Haritası” başlıklı raporun </w:t>
      </w:r>
      <w:bookmarkEnd w:id="0"/>
      <w:r w:rsidRPr="00F51ED7">
        <w:rPr>
          <w:rFonts w:ascii="Verdana" w:hAnsi="Verdana" w:cs="Arial"/>
          <w:sz w:val="20"/>
          <w:szCs w:val="20"/>
          <w:lang w:val="tr-TR"/>
        </w:rPr>
        <w:t>bulguları 17 Eylül Perşembe günü düzenlenen</w:t>
      </w:r>
      <w:r w:rsidR="004F6408" w:rsidRPr="00F51ED7">
        <w:rPr>
          <w:rFonts w:ascii="Verdana" w:hAnsi="Verdana" w:cs="Arial"/>
          <w:sz w:val="20"/>
          <w:szCs w:val="20"/>
          <w:lang w:val="tr-TR"/>
        </w:rPr>
        <w:t xml:space="preserve"> </w:t>
      </w:r>
      <w:r w:rsidRPr="00F51ED7">
        <w:rPr>
          <w:rFonts w:ascii="Verdana" w:hAnsi="Verdana" w:cs="Arial"/>
          <w:sz w:val="20"/>
          <w:szCs w:val="20"/>
          <w:lang w:val="tr-TR"/>
        </w:rPr>
        <w:t>TÜSEB Biyoteknoloji Sempozyumu’nda</w:t>
      </w:r>
      <w:r w:rsidR="0073199D" w:rsidRPr="00F51ED7">
        <w:rPr>
          <w:rFonts w:ascii="Verdana" w:hAnsi="Verdana" w:cs="Arial"/>
          <w:sz w:val="20"/>
          <w:szCs w:val="20"/>
          <w:lang w:val="tr-TR"/>
        </w:rPr>
        <w:t xml:space="preserve"> açıklandı.</w:t>
      </w:r>
    </w:p>
    <w:p w14:paraId="5881CB94" w14:textId="066BCD80" w:rsidR="0073199D" w:rsidRPr="00F51ED7" w:rsidRDefault="0073199D" w:rsidP="00FF0088">
      <w:pPr>
        <w:spacing w:line="360" w:lineRule="auto"/>
        <w:jc w:val="both"/>
        <w:rPr>
          <w:rFonts w:ascii="Verdana" w:hAnsi="Verdana" w:cs="Arial"/>
          <w:sz w:val="20"/>
          <w:szCs w:val="20"/>
          <w:lang w:val="tr-TR"/>
        </w:rPr>
      </w:pPr>
    </w:p>
    <w:p w14:paraId="0A3216AE" w14:textId="73ED3C8E" w:rsidR="0004705E" w:rsidRPr="00F51ED7" w:rsidRDefault="0073199D" w:rsidP="0073199D">
      <w:pPr>
        <w:pStyle w:val="NormalWeb"/>
        <w:spacing w:before="0" w:beforeAutospacing="0" w:after="150" w:afterAutospacing="0" w:line="360" w:lineRule="auto"/>
        <w:jc w:val="both"/>
        <w:rPr>
          <w:rFonts w:ascii="Verdana" w:hAnsi="Verdana" w:cs="Arial"/>
        </w:rPr>
      </w:pPr>
      <w:r w:rsidRPr="00F51ED7">
        <w:rPr>
          <w:rFonts w:ascii="Verdana" w:hAnsi="Verdana" w:cs="Arial"/>
        </w:rPr>
        <w:t>Rapor lansmanının açılış konuşmalarını Türkiye Cumhuriyeti Sağlık Bakan Yardımcısı Prof. Dr. Emine Alp Meşe, Türkiye İlaç ve Tıbbi Cihaz Kurumu</w:t>
      </w:r>
      <w:r w:rsidR="00B01FBC" w:rsidRPr="00F51ED7">
        <w:rPr>
          <w:rFonts w:ascii="Verdana" w:hAnsi="Verdana" w:cs="Arial"/>
        </w:rPr>
        <w:t xml:space="preserve"> (TİTCK)</w:t>
      </w:r>
      <w:r w:rsidRPr="00F51ED7">
        <w:rPr>
          <w:rFonts w:ascii="Verdana" w:hAnsi="Verdana" w:cs="Arial"/>
        </w:rPr>
        <w:t xml:space="preserve"> Başkanı Doç. Dr. Tolga Tolunay, AIFD Yönetim Kurulu Başkanı Dr. Mete Hüsemoğlu ve EFPIA Genel </w:t>
      </w:r>
      <w:r w:rsidR="0063529C" w:rsidRPr="00F51ED7">
        <w:rPr>
          <w:rFonts w:ascii="Verdana" w:hAnsi="Verdana" w:cs="Arial"/>
        </w:rPr>
        <w:t xml:space="preserve">Müdürü </w:t>
      </w:r>
      <w:proofErr w:type="spellStart"/>
      <w:r w:rsidRPr="00F51ED7">
        <w:rPr>
          <w:rFonts w:ascii="Verdana" w:hAnsi="Verdana" w:cs="Arial"/>
        </w:rPr>
        <w:t>Nathalie</w:t>
      </w:r>
      <w:proofErr w:type="spellEnd"/>
      <w:r w:rsidRPr="00F51ED7">
        <w:rPr>
          <w:rFonts w:ascii="Verdana" w:hAnsi="Verdana" w:cs="Arial"/>
        </w:rPr>
        <w:t xml:space="preserve"> </w:t>
      </w:r>
      <w:proofErr w:type="spellStart"/>
      <w:r w:rsidRPr="00F51ED7">
        <w:rPr>
          <w:rFonts w:ascii="Verdana" w:hAnsi="Verdana" w:cs="Arial"/>
        </w:rPr>
        <w:t>Moll</w:t>
      </w:r>
      <w:proofErr w:type="spellEnd"/>
      <w:r w:rsidRPr="00F51ED7">
        <w:rPr>
          <w:rFonts w:ascii="Verdana" w:hAnsi="Verdana" w:cs="Arial"/>
        </w:rPr>
        <w:t xml:space="preserve"> gerçekleştirdi. IQVIA Sorumlu Müdürü Şule Sencer Akbil’in yaptığı rapor sunumunun ardından “Klinik Çalışmaların Türkiye için Önemi ve Yol Haritasının Hayata Geçirilmesi için Nasıl Bir Ortak Çalışma Modeli?” başlıklı bir panel de yapıldı. </w:t>
      </w:r>
      <w:r w:rsidR="0063529C" w:rsidRPr="00F51ED7">
        <w:rPr>
          <w:rFonts w:ascii="Verdana" w:hAnsi="Verdana" w:cs="Arial"/>
        </w:rPr>
        <w:t>İstanbul Üniversitesi Tıp Fakültesi’nden Prof.Dr. Ahmet Gül</w:t>
      </w:r>
      <w:r w:rsidR="004A6816">
        <w:rPr>
          <w:rFonts w:ascii="Verdana" w:hAnsi="Verdana" w:cs="Arial"/>
        </w:rPr>
        <w:t xml:space="preserve"> </w:t>
      </w:r>
      <w:proofErr w:type="spellStart"/>
      <w:r w:rsidR="0063529C" w:rsidRPr="00F51ED7">
        <w:rPr>
          <w:rFonts w:ascii="Verdana" w:hAnsi="Verdana" w:cs="Arial"/>
        </w:rPr>
        <w:t>moderatörlüğünde</w:t>
      </w:r>
      <w:proofErr w:type="spellEnd"/>
      <w:r w:rsidR="0063529C" w:rsidRPr="00F51ED7">
        <w:rPr>
          <w:rFonts w:ascii="Verdana" w:hAnsi="Verdana" w:cs="Arial"/>
        </w:rPr>
        <w:t xml:space="preserve"> </w:t>
      </w:r>
      <w:r w:rsidRPr="00F51ED7">
        <w:rPr>
          <w:rFonts w:ascii="Verdana" w:hAnsi="Verdana" w:cs="Arial"/>
        </w:rPr>
        <w:t xml:space="preserve">düzenlenen panelde Türkiye İlaç ve Tıbbi Cihaz Kurumu Klinik Araştırmalar Daire Başkanı Nihan Burul Bozkurt, Türkiye Cumhuriyeti Cumhurbaşkanlığı Strateji ve Bütçe Başkanlığı, Planlar ve Programlar Genel Müdürü Kutluhan Taşkın, Türkiye Cumhuriyeti Sağlık Bakanlığı Kamu Hastaneleri Genel </w:t>
      </w:r>
      <w:r w:rsidRPr="00F51ED7">
        <w:rPr>
          <w:rFonts w:ascii="Verdana" w:hAnsi="Verdana" w:cs="Arial"/>
        </w:rPr>
        <w:lastRenderedPageBreak/>
        <w:t>Müdür</w:t>
      </w:r>
      <w:r w:rsidR="00A50849" w:rsidRPr="00F51ED7">
        <w:rPr>
          <w:rFonts w:ascii="Verdana" w:hAnsi="Verdana" w:cs="Arial"/>
        </w:rPr>
        <w:t xml:space="preserve"> Yardımcısı Hasan Arslan</w:t>
      </w:r>
      <w:r w:rsidRPr="00F51ED7">
        <w:rPr>
          <w:rFonts w:ascii="Verdana" w:hAnsi="Verdana" w:cs="Arial"/>
        </w:rPr>
        <w:t>, Türkiye Sağlık Enstitüleri Başkanlığı Yönetim Kurulu Üyesi Prof. Dr. İlhan Satman ve IQVIA Danışmanlık Ülke Müdürü Özgür Ertok panelist olarak yer aldılar.</w:t>
      </w:r>
    </w:p>
    <w:p w14:paraId="00A52212" w14:textId="7E24F867" w:rsidR="00F02034" w:rsidRPr="00F51ED7" w:rsidRDefault="00C718AC" w:rsidP="0073199D">
      <w:pPr>
        <w:pStyle w:val="NormalWeb"/>
        <w:spacing w:before="0" w:beforeAutospacing="0" w:after="150" w:afterAutospacing="0" w:line="360" w:lineRule="auto"/>
        <w:jc w:val="both"/>
        <w:rPr>
          <w:rFonts w:ascii="Verdana" w:hAnsi="Verdana"/>
        </w:rPr>
      </w:pPr>
      <w:r w:rsidRPr="00F51ED7">
        <w:rPr>
          <w:rFonts w:ascii="Verdana" w:hAnsi="Verdana" w:cs="Arial"/>
        </w:rPr>
        <w:t>AIFD Yönetim Kurulu Başkanı Dr. Mete Hüsemoğlu</w:t>
      </w:r>
      <w:r w:rsidR="000E59A7" w:rsidRPr="00F51ED7">
        <w:rPr>
          <w:rFonts w:ascii="Verdana" w:hAnsi="Verdana" w:cs="Arial"/>
        </w:rPr>
        <w:t xml:space="preserve"> konuyla ilgili şu görüşü paylaştı:</w:t>
      </w:r>
      <w:r w:rsidRPr="00F51ED7">
        <w:rPr>
          <w:rFonts w:ascii="Verdana" w:hAnsi="Verdana" w:cs="Arial"/>
        </w:rPr>
        <w:t xml:space="preserve"> “</w:t>
      </w:r>
      <w:bookmarkStart w:id="1" w:name="_Hlk51067517"/>
      <w:r w:rsidR="003D40DD" w:rsidRPr="00F51ED7">
        <w:rPr>
          <w:rFonts w:ascii="Verdana" w:hAnsi="Verdana"/>
        </w:rPr>
        <w:t xml:space="preserve">Araştırmacı ilaç firmaları olarak ülkemizdeki hastaların en yeni tedavilere erişmeleri için bütün paydaşlarımızla birlikte çalışmayı temel misyonumuz olarak görüyoruz. Yeni çıkan ilaç ve tedavilerin insanlar üzerindeki </w:t>
      </w:r>
      <w:r w:rsidR="00F02034" w:rsidRPr="00F51ED7">
        <w:rPr>
          <w:rFonts w:ascii="Verdana" w:hAnsi="Verdana"/>
        </w:rPr>
        <w:t>etkisi ve güvenilirliğini anlamamızı sağlayan</w:t>
      </w:r>
      <w:r w:rsidR="003D40DD" w:rsidRPr="00F51ED7">
        <w:rPr>
          <w:rFonts w:ascii="Verdana" w:hAnsi="Verdana"/>
        </w:rPr>
        <w:t xml:space="preserve"> </w:t>
      </w:r>
      <w:r w:rsidR="00F02034" w:rsidRPr="00F51ED7">
        <w:rPr>
          <w:rFonts w:ascii="Verdana" w:hAnsi="Verdana"/>
        </w:rPr>
        <w:t>k</w:t>
      </w:r>
      <w:r w:rsidR="003D40DD" w:rsidRPr="00F51ED7">
        <w:rPr>
          <w:rFonts w:ascii="Verdana" w:hAnsi="Verdana"/>
        </w:rPr>
        <w:t>linik araştırmalar, insan sağlığı için hayati önemdedir</w:t>
      </w:r>
      <w:r w:rsidR="00F02034" w:rsidRPr="00F51ED7">
        <w:rPr>
          <w:rFonts w:ascii="Verdana" w:hAnsi="Verdana"/>
        </w:rPr>
        <w:t xml:space="preserve">. Ülkemizin kayda değer bir klinik araştırma kapasitesinin olduğunu söyleyebiliriz. Kamuoyuyla paylaşmaktan mutluluk duyduğumuz raporumuzun temel bulgularından biri klinik araştırmaların ekonomi, sağlık ve bilim alanlarında yüksek katma değer üretmesidir. Kamu-özel sektör işbirliği ile hayata geçirebileceğimiz politikalar, ülkemizi klinik araştırmalarda dünyanın en önemli aktörlerinden biri haline getirmenin yanında ilaç değer zincirinin temel araştırma, üretim ve ihracat gibi diğer kıymetli halkalarını da besleyen bir ekosistem kurulmasını sağlayabilir. Raporumuzun bu sürece yönelik olarak tüm paydaşlar için önemli bir yol haritası olacağına inanıyoruz.”  </w:t>
      </w:r>
    </w:p>
    <w:bookmarkEnd w:id="1"/>
    <w:p w14:paraId="5E5F9DB9" w14:textId="553D9CF3" w:rsidR="003D40DD" w:rsidRPr="00F51ED7" w:rsidRDefault="003D40DD" w:rsidP="00F02034">
      <w:pPr>
        <w:pStyle w:val="NormalWeb"/>
        <w:spacing w:before="0" w:beforeAutospacing="0" w:after="150" w:afterAutospacing="0" w:line="360" w:lineRule="auto"/>
        <w:jc w:val="both"/>
        <w:rPr>
          <w:rFonts w:cs="Noto Sans"/>
          <w:sz w:val="19"/>
          <w:szCs w:val="19"/>
        </w:rPr>
      </w:pPr>
    </w:p>
    <w:p w14:paraId="1CC9A046" w14:textId="77777777" w:rsidR="002F2CED" w:rsidRPr="00F51ED7" w:rsidRDefault="008B198F" w:rsidP="0073199D">
      <w:pPr>
        <w:pStyle w:val="NormalWeb"/>
        <w:spacing w:before="0" w:beforeAutospacing="0" w:after="150" w:afterAutospacing="0" w:line="360" w:lineRule="auto"/>
        <w:jc w:val="both"/>
        <w:rPr>
          <w:rFonts w:ascii="Verdana" w:hAnsi="Verdana" w:cs="Arial"/>
        </w:rPr>
      </w:pPr>
      <w:r w:rsidRPr="00F51ED7">
        <w:rPr>
          <w:rFonts w:ascii="Verdana" w:hAnsi="Verdana" w:cs="Arial"/>
        </w:rPr>
        <w:t xml:space="preserve">Panelde konuşan </w:t>
      </w:r>
      <w:r w:rsidR="00486C6B" w:rsidRPr="00F51ED7">
        <w:rPr>
          <w:rFonts w:ascii="Verdana" w:hAnsi="Verdana" w:cs="Arial"/>
        </w:rPr>
        <w:t>IQVIA Danışmanlık Ülke Müdürü Özgür Ertok şu ifadeleri kullandı: “Ülkemizdeki klinik çalışma potansiyeli ve dünyadaki pazarın büyüklüğü dikkate alındığında halihazırdaki</w:t>
      </w:r>
      <w:r w:rsidR="00EE0D74" w:rsidRPr="00F51ED7">
        <w:rPr>
          <w:rFonts w:ascii="Verdana" w:hAnsi="Verdana" w:cs="Arial"/>
        </w:rPr>
        <w:t xml:space="preserve"> klinik araştırmalar sayesinde Türkiye’ye giren 139 milyon dolar değerinde yabancı yatırımın Yeni Ekonomi Programı'nın temel hedeflerinden biri olan makroekonomik dengeye doğrudan katkıda bulunduğu görüyoruz. Bunu </w:t>
      </w:r>
      <w:r w:rsidR="00486C6B" w:rsidRPr="00F51ED7">
        <w:rPr>
          <w:rFonts w:ascii="Verdana" w:hAnsi="Verdana" w:cs="Arial"/>
        </w:rPr>
        <w:t>ilk aşamada 500 milyon dolara, ikinci aşamada ise 1 milyar dolara çıkarmak için planlama ve ekosistem oluşturma ihtiyacı olduğunu görüyoruz.”</w:t>
      </w:r>
    </w:p>
    <w:p w14:paraId="06F9806F" w14:textId="77777777" w:rsidR="002F2CED" w:rsidRPr="00F51ED7" w:rsidRDefault="002F2CED" w:rsidP="0073199D">
      <w:pPr>
        <w:spacing w:line="360" w:lineRule="auto"/>
        <w:jc w:val="both"/>
        <w:rPr>
          <w:rFonts w:ascii="Verdana" w:eastAsia="Times New Roman" w:hAnsi="Verdana" w:cs="Arial"/>
          <w:sz w:val="20"/>
          <w:szCs w:val="20"/>
          <w:shd w:val="clear" w:color="auto" w:fill="FFFFFF"/>
          <w:lang w:val="tr-TR" w:eastAsia="tr-TR"/>
        </w:rPr>
      </w:pPr>
    </w:p>
    <w:p w14:paraId="778BE6FE" w14:textId="38A0AC29" w:rsidR="00FF0088" w:rsidRPr="00F51ED7" w:rsidRDefault="00FF0088" w:rsidP="0073199D">
      <w:pPr>
        <w:spacing w:line="360" w:lineRule="auto"/>
        <w:jc w:val="both"/>
        <w:rPr>
          <w:rFonts w:ascii="Verdana" w:eastAsia="Times New Roman" w:hAnsi="Verdana" w:cs="Arial"/>
          <w:sz w:val="20"/>
          <w:szCs w:val="20"/>
          <w:shd w:val="clear" w:color="auto" w:fill="FFFFFF"/>
          <w:lang w:val="tr-TR" w:eastAsia="tr-TR"/>
        </w:rPr>
      </w:pPr>
      <w:r w:rsidRPr="00F51ED7">
        <w:rPr>
          <w:rFonts w:ascii="Verdana" w:eastAsia="Times New Roman" w:hAnsi="Verdana" w:cs="Arial"/>
          <w:sz w:val="20"/>
          <w:szCs w:val="20"/>
          <w:shd w:val="clear" w:color="auto" w:fill="FFFFFF"/>
          <w:lang w:val="tr-TR" w:eastAsia="tr-TR"/>
        </w:rPr>
        <w:t>Gönüllü insanların katılımıyla gerçekleştirilen ve tıbbi bilgi elde etmeyi amaçlayan bilimsel çalışma olarak tanımlanan </w:t>
      </w:r>
      <w:r w:rsidR="0004705E" w:rsidRPr="00F51ED7">
        <w:rPr>
          <w:rFonts w:ascii="Verdana" w:eastAsia="Times New Roman" w:hAnsi="Verdana" w:cs="Arial"/>
          <w:sz w:val="20"/>
          <w:szCs w:val="20"/>
          <w:shd w:val="clear" w:color="auto" w:fill="FFFFFF"/>
          <w:lang w:val="tr-TR" w:eastAsia="tr-TR"/>
        </w:rPr>
        <w:t>k</w:t>
      </w:r>
      <w:r w:rsidRPr="00F51ED7">
        <w:rPr>
          <w:rFonts w:ascii="Verdana" w:eastAsia="Times New Roman" w:hAnsi="Verdana" w:cs="Arial"/>
          <w:sz w:val="20"/>
          <w:szCs w:val="20"/>
          <w:shd w:val="clear" w:color="auto" w:fill="FFFFFF"/>
          <w:lang w:val="tr-TR" w:eastAsia="tr-TR"/>
        </w:rPr>
        <w:t>linik araştırmalar, yeni çıkan ilaçların insanlardaki etkinliğini ve güvenliğini temin eden en önemli süreçler arasında yer alıyor.</w:t>
      </w:r>
      <w:r w:rsidR="0073199D" w:rsidRPr="00F51ED7">
        <w:rPr>
          <w:rFonts w:ascii="Verdana" w:eastAsia="Times New Roman" w:hAnsi="Verdana" w:cs="Arial"/>
          <w:sz w:val="20"/>
          <w:szCs w:val="20"/>
          <w:shd w:val="clear" w:color="auto" w:fill="FFFFFF"/>
          <w:lang w:val="tr-TR" w:eastAsia="tr-TR"/>
        </w:rPr>
        <w:t xml:space="preserve"> </w:t>
      </w:r>
      <w:r w:rsidR="00EA5A2A" w:rsidRPr="00F51ED7">
        <w:rPr>
          <w:rFonts w:ascii="Verdana" w:eastAsia="Times New Roman" w:hAnsi="Verdana" w:cs="Arial"/>
          <w:sz w:val="20"/>
          <w:szCs w:val="20"/>
          <w:shd w:val="clear" w:color="auto" w:fill="FFFFFF"/>
          <w:lang w:val="tr-TR" w:eastAsia="tr-TR"/>
        </w:rPr>
        <w:t xml:space="preserve">Türkiye’de klinik araştırmaların değeri üzerine bir analiz yapma ve orta vadede klinik araştırma yatırımının artması için gerekli koşulların neler olduğunu araştırma hedefiyle hazırlanan rapor, </w:t>
      </w:r>
      <w:r w:rsidR="00F06EFF" w:rsidRPr="00F51ED7">
        <w:rPr>
          <w:rFonts w:ascii="Verdana" w:eastAsia="Times New Roman" w:hAnsi="Verdana" w:cs="Arial"/>
          <w:sz w:val="20"/>
          <w:szCs w:val="20"/>
          <w:shd w:val="clear" w:color="auto" w:fill="FFFFFF"/>
          <w:lang w:val="tr-TR" w:eastAsia="tr-TR"/>
        </w:rPr>
        <w:t>AIFD üyesi 17 şirketin dahil olduğu anket çalışmasının</w:t>
      </w:r>
      <w:r w:rsidR="00EA5A2A" w:rsidRPr="00F51ED7">
        <w:rPr>
          <w:rFonts w:ascii="Verdana" w:eastAsia="Times New Roman" w:hAnsi="Verdana" w:cs="Arial"/>
          <w:sz w:val="20"/>
          <w:szCs w:val="20"/>
          <w:shd w:val="clear" w:color="auto" w:fill="FFFFFF"/>
          <w:lang w:val="tr-TR" w:eastAsia="tr-TR"/>
        </w:rPr>
        <w:t xml:space="preserve"> sonuçlarının</w:t>
      </w:r>
      <w:r w:rsidR="00F06EFF" w:rsidRPr="00F51ED7">
        <w:rPr>
          <w:rFonts w:ascii="Verdana" w:eastAsia="Times New Roman" w:hAnsi="Verdana" w:cs="Arial"/>
          <w:sz w:val="20"/>
          <w:szCs w:val="20"/>
          <w:shd w:val="clear" w:color="auto" w:fill="FFFFFF"/>
          <w:lang w:val="tr-TR" w:eastAsia="tr-TR"/>
        </w:rPr>
        <w:t xml:space="preserve"> yanı sıra </w:t>
      </w:r>
      <w:r w:rsidR="00AC15C1" w:rsidRPr="00F51ED7">
        <w:rPr>
          <w:rFonts w:ascii="Verdana" w:eastAsia="Times New Roman" w:hAnsi="Verdana" w:cs="Arial"/>
          <w:sz w:val="20"/>
          <w:szCs w:val="20"/>
          <w:shd w:val="clear" w:color="auto" w:fill="FFFFFF"/>
          <w:lang w:val="tr-TR" w:eastAsia="tr-TR"/>
        </w:rPr>
        <w:t>Türkiye ilaç sektörün</w:t>
      </w:r>
      <w:r w:rsidR="00F20A3F" w:rsidRPr="00F51ED7">
        <w:rPr>
          <w:rFonts w:ascii="Verdana" w:eastAsia="Times New Roman" w:hAnsi="Verdana" w:cs="Arial"/>
          <w:sz w:val="20"/>
          <w:szCs w:val="20"/>
          <w:shd w:val="clear" w:color="auto" w:fill="FFFFFF"/>
          <w:lang w:val="tr-TR" w:eastAsia="tr-TR"/>
        </w:rPr>
        <w:t xml:space="preserve">ün büyüklüğü, küresel ilaç sektöründeki Ar-Ge yatırımları ve </w:t>
      </w:r>
      <w:r w:rsidR="005579F3" w:rsidRPr="00F51ED7">
        <w:rPr>
          <w:rFonts w:ascii="Verdana" w:eastAsia="Times New Roman" w:hAnsi="Verdana" w:cs="Arial"/>
          <w:sz w:val="20"/>
          <w:szCs w:val="20"/>
          <w:shd w:val="clear" w:color="auto" w:fill="FFFFFF"/>
          <w:lang w:val="tr-TR" w:eastAsia="tr-TR"/>
        </w:rPr>
        <w:t xml:space="preserve">klinik araştırma trendleri, klinik araştırmaların Türkiye’ye ekonomik, bilimsel ve kamu sağlığı boyutlarındaki etkisine dair önemli veriler </w:t>
      </w:r>
      <w:r w:rsidR="00EA5A2A" w:rsidRPr="00F51ED7">
        <w:rPr>
          <w:rFonts w:ascii="Verdana" w:eastAsia="Times New Roman" w:hAnsi="Verdana" w:cs="Arial"/>
          <w:sz w:val="20"/>
          <w:szCs w:val="20"/>
          <w:shd w:val="clear" w:color="auto" w:fill="FFFFFF"/>
          <w:lang w:val="tr-TR" w:eastAsia="tr-TR"/>
        </w:rPr>
        <w:t xml:space="preserve">de </w:t>
      </w:r>
      <w:r w:rsidR="005579F3" w:rsidRPr="00F51ED7">
        <w:rPr>
          <w:rFonts w:ascii="Verdana" w:eastAsia="Times New Roman" w:hAnsi="Verdana" w:cs="Arial"/>
          <w:sz w:val="20"/>
          <w:szCs w:val="20"/>
          <w:shd w:val="clear" w:color="auto" w:fill="FFFFFF"/>
          <w:lang w:val="tr-TR" w:eastAsia="tr-TR"/>
        </w:rPr>
        <w:t>ortaya koyuyor.</w:t>
      </w:r>
      <w:r w:rsidR="0073199D" w:rsidRPr="00F51ED7">
        <w:rPr>
          <w:rFonts w:ascii="Verdana" w:hAnsi="Verdana" w:cs="Arial"/>
          <w:sz w:val="20"/>
          <w:szCs w:val="20"/>
          <w:lang w:val="tr-TR"/>
        </w:rPr>
        <w:t xml:space="preserve"> </w:t>
      </w:r>
    </w:p>
    <w:p w14:paraId="3856F98C" w14:textId="7C7D6306" w:rsidR="00FF0088" w:rsidRPr="00F51ED7" w:rsidRDefault="00FF0088" w:rsidP="000F07C7">
      <w:pPr>
        <w:pStyle w:val="NormalWeb"/>
        <w:spacing w:before="0" w:after="150" w:line="360" w:lineRule="auto"/>
        <w:jc w:val="both"/>
        <w:rPr>
          <w:rFonts w:ascii="Verdana" w:hAnsi="Verdana" w:cs="Arial"/>
        </w:rPr>
      </w:pPr>
      <w:r w:rsidRPr="00F51ED7">
        <w:rPr>
          <w:rFonts w:ascii="Verdana" w:hAnsi="Verdana" w:cs="Arial"/>
        </w:rPr>
        <w:lastRenderedPageBreak/>
        <w:t>Raporda öne çıkan</w:t>
      </w:r>
      <w:r w:rsidR="0073199D" w:rsidRPr="00F51ED7">
        <w:rPr>
          <w:rFonts w:ascii="Verdana" w:hAnsi="Verdana" w:cs="Arial"/>
        </w:rPr>
        <w:t xml:space="preserve"> bulgular</w:t>
      </w:r>
      <w:r w:rsidRPr="00F51ED7">
        <w:rPr>
          <w:rFonts w:ascii="Verdana" w:hAnsi="Verdana" w:cs="Arial"/>
        </w:rPr>
        <w:t xml:space="preserve"> şöyle sıralanıyor:</w:t>
      </w:r>
    </w:p>
    <w:p w14:paraId="2EA334E9" w14:textId="155A7470" w:rsidR="0073199D" w:rsidRPr="00F51ED7" w:rsidRDefault="0073199D" w:rsidP="0073199D">
      <w:pPr>
        <w:pStyle w:val="NormalWeb"/>
        <w:numPr>
          <w:ilvl w:val="0"/>
          <w:numId w:val="17"/>
        </w:numPr>
        <w:spacing w:before="0" w:beforeAutospacing="0" w:after="150" w:afterAutospacing="0" w:line="360" w:lineRule="auto"/>
        <w:jc w:val="both"/>
        <w:rPr>
          <w:rFonts w:ascii="Verdana" w:hAnsi="Verdana" w:cs="Arial"/>
        </w:rPr>
      </w:pPr>
      <w:r w:rsidRPr="00F51ED7">
        <w:rPr>
          <w:rFonts w:ascii="Verdana" w:hAnsi="Verdana" w:cs="Arial"/>
        </w:rPr>
        <w:t xml:space="preserve">Türkiye ilaç pazarı </w:t>
      </w:r>
      <w:r w:rsidR="00271046" w:rsidRPr="00F51ED7">
        <w:rPr>
          <w:rFonts w:ascii="Verdana" w:hAnsi="Verdana" w:cs="Arial"/>
        </w:rPr>
        <w:t xml:space="preserve">büyüklüğünde dünyada </w:t>
      </w:r>
      <w:r w:rsidRPr="00F51ED7">
        <w:rPr>
          <w:rFonts w:ascii="Verdana" w:hAnsi="Verdana" w:cs="Arial"/>
        </w:rPr>
        <w:t xml:space="preserve">17’nci sırada yer alırken, toplam klinik araştırma </w:t>
      </w:r>
      <w:r w:rsidR="00271046" w:rsidRPr="00F51ED7">
        <w:rPr>
          <w:rFonts w:ascii="Verdana" w:hAnsi="Verdana" w:cs="Arial"/>
        </w:rPr>
        <w:t xml:space="preserve">sayısında </w:t>
      </w:r>
      <w:r w:rsidRPr="00F51ED7">
        <w:rPr>
          <w:rFonts w:ascii="Verdana" w:hAnsi="Verdana" w:cs="Arial"/>
        </w:rPr>
        <w:t xml:space="preserve">26’ncı sırada yer alıyor. </w:t>
      </w:r>
    </w:p>
    <w:p w14:paraId="7F3ACA80" w14:textId="4A319A18" w:rsidR="00BC7B9B" w:rsidRPr="00F51ED7" w:rsidRDefault="00BC7B9B" w:rsidP="0073199D">
      <w:pPr>
        <w:pStyle w:val="NormalWeb"/>
        <w:numPr>
          <w:ilvl w:val="0"/>
          <w:numId w:val="17"/>
        </w:numPr>
        <w:spacing w:before="0" w:beforeAutospacing="0" w:after="150" w:afterAutospacing="0" w:line="360" w:lineRule="auto"/>
        <w:jc w:val="both"/>
        <w:rPr>
          <w:rFonts w:ascii="Verdana" w:hAnsi="Verdana" w:cs="Arial"/>
        </w:rPr>
      </w:pPr>
      <w:r w:rsidRPr="00F51ED7">
        <w:rPr>
          <w:rFonts w:ascii="Verdana" w:hAnsi="Verdana" w:cs="Arial"/>
        </w:rPr>
        <w:t xml:space="preserve">Türkiye’de yürütülen klinik araştırmaların </w:t>
      </w:r>
      <w:r w:rsidR="00271046" w:rsidRPr="00F51ED7">
        <w:rPr>
          <w:rFonts w:ascii="Verdana" w:hAnsi="Verdana" w:cs="Arial"/>
        </w:rPr>
        <w:t xml:space="preserve">doğrudan yapılan yatırım ve klinik araştırmalarda kullanılan yenilikçi ilaçların değerinden oluşan </w:t>
      </w:r>
      <w:r w:rsidRPr="00F51ED7">
        <w:rPr>
          <w:rFonts w:ascii="Verdana" w:hAnsi="Verdana" w:cs="Arial"/>
        </w:rPr>
        <w:t>toplam ekonomik değeri Haziran 2019 itibarıyla yıllık 327,7 milyon dolar</w:t>
      </w:r>
      <w:r w:rsidR="0031045D" w:rsidRPr="00F51ED7">
        <w:rPr>
          <w:rFonts w:ascii="Verdana" w:hAnsi="Verdana" w:cs="Arial"/>
        </w:rPr>
        <w:t xml:space="preserve"> </w:t>
      </w:r>
      <w:r w:rsidR="00271046" w:rsidRPr="00F51ED7">
        <w:rPr>
          <w:rFonts w:ascii="Verdana" w:hAnsi="Verdana" w:cs="Arial"/>
        </w:rPr>
        <w:t>hesaplandı</w:t>
      </w:r>
      <w:r w:rsidRPr="00F51ED7">
        <w:rPr>
          <w:rFonts w:ascii="Verdana" w:hAnsi="Verdana" w:cs="Arial"/>
        </w:rPr>
        <w:t>.</w:t>
      </w:r>
    </w:p>
    <w:p w14:paraId="5263D7CB" w14:textId="1E69F3DB" w:rsidR="0073199D" w:rsidRPr="00F51ED7" w:rsidRDefault="00FF0088" w:rsidP="0073199D">
      <w:pPr>
        <w:pStyle w:val="NormalWeb"/>
        <w:numPr>
          <w:ilvl w:val="0"/>
          <w:numId w:val="17"/>
        </w:numPr>
        <w:spacing w:before="0" w:beforeAutospacing="0" w:after="150" w:afterAutospacing="0" w:line="360" w:lineRule="auto"/>
        <w:jc w:val="both"/>
        <w:rPr>
          <w:rFonts w:ascii="Verdana" w:hAnsi="Verdana" w:cs="Arial"/>
        </w:rPr>
      </w:pPr>
      <w:r w:rsidRPr="00F51ED7">
        <w:rPr>
          <w:rFonts w:ascii="Verdana" w:hAnsi="Verdana" w:cs="Arial"/>
        </w:rPr>
        <w:t xml:space="preserve">Klinik araştırma Türkiye’nin ekonomisine, sağlık hizmetlerine ve hastalara </w:t>
      </w:r>
      <w:r w:rsidR="0073199D" w:rsidRPr="00F51ED7">
        <w:rPr>
          <w:rFonts w:ascii="Verdana" w:hAnsi="Verdana" w:cs="Arial"/>
        </w:rPr>
        <w:t xml:space="preserve">doğrudan </w:t>
      </w:r>
      <w:r w:rsidRPr="00F51ED7">
        <w:rPr>
          <w:rFonts w:ascii="Verdana" w:hAnsi="Verdana" w:cs="Arial"/>
        </w:rPr>
        <w:t>fayda sağlıyor</w:t>
      </w:r>
      <w:r w:rsidR="0073199D" w:rsidRPr="00F51ED7">
        <w:rPr>
          <w:rFonts w:ascii="Verdana" w:hAnsi="Verdana" w:cs="Arial"/>
        </w:rPr>
        <w:t>.</w:t>
      </w:r>
    </w:p>
    <w:p w14:paraId="11238E8F" w14:textId="77777777" w:rsidR="0073199D" w:rsidRPr="00F51ED7" w:rsidRDefault="00FF0088" w:rsidP="0073199D">
      <w:pPr>
        <w:pStyle w:val="NormalWeb"/>
        <w:numPr>
          <w:ilvl w:val="0"/>
          <w:numId w:val="17"/>
        </w:numPr>
        <w:spacing w:before="0" w:beforeAutospacing="0" w:after="150" w:afterAutospacing="0" w:line="360" w:lineRule="auto"/>
        <w:jc w:val="both"/>
        <w:rPr>
          <w:rFonts w:ascii="Verdana" w:hAnsi="Verdana" w:cs="Arial"/>
        </w:rPr>
      </w:pPr>
      <w:r w:rsidRPr="00F51ED7">
        <w:rPr>
          <w:rFonts w:ascii="Verdana" w:hAnsi="Verdana" w:cs="Arial"/>
        </w:rPr>
        <w:t>Türkiye, klinik araştırma cazibesini artıracak temel faktörlerde iyileşme sağlayabilir</w:t>
      </w:r>
      <w:r w:rsidR="0073199D" w:rsidRPr="00F51ED7">
        <w:rPr>
          <w:rFonts w:ascii="Verdana" w:hAnsi="Verdana" w:cs="Arial"/>
        </w:rPr>
        <w:t>.</w:t>
      </w:r>
    </w:p>
    <w:p w14:paraId="7FB0C969" w14:textId="1C20CA89" w:rsidR="00FF0088" w:rsidRPr="00F51ED7" w:rsidRDefault="00FF0088" w:rsidP="0073199D">
      <w:pPr>
        <w:pStyle w:val="NormalWeb"/>
        <w:numPr>
          <w:ilvl w:val="0"/>
          <w:numId w:val="17"/>
        </w:numPr>
        <w:spacing w:before="0" w:beforeAutospacing="0" w:after="150" w:afterAutospacing="0" w:line="360" w:lineRule="auto"/>
        <w:jc w:val="both"/>
        <w:rPr>
          <w:rFonts w:ascii="Verdana" w:hAnsi="Verdana" w:cs="Arial"/>
        </w:rPr>
      </w:pPr>
      <w:r w:rsidRPr="00F51ED7">
        <w:rPr>
          <w:rFonts w:ascii="Verdana" w:hAnsi="Verdana" w:cs="Arial"/>
        </w:rPr>
        <w:t>Türkiye’nin ilk 10 klinik araştırma ülkesi arasına girmek için araştırma sayısını yaklaşık olarak üç katına çıkarması gerekiyor</w:t>
      </w:r>
      <w:r w:rsidR="0073199D" w:rsidRPr="00F51ED7">
        <w:rPr>
          <w:rFonts w:ascii="Verdana" w:hAnsi="Verdana" w:cs="Arial"/>
        </w:rPr>
        <w:t>.</w:t>
      </w:r>
    </w:p>
    <w:p w14:paraId="21FD9E22" w14:textId="77777777" w:rsidR="00C07FF8" w:rsidRPr="00F51ED7" w:rsidRDefault="00C07FF8" w:rsidP="0068778F">
      <w:pPr>
        <w:pStyle w:val="NormalWeb"/>
        <w:spacing w:before="0" w:beforeAutospacing="0" w:after="0" w:afterAutospacing="0" w:line="360" w:lineRule="auto"/>
        <w:jc w:val="both"/>
        <w:rPr>
          <w:rFonts w:ascii="Verdana" w:hAnsi="Verdana"/>
          <w:b/>
          <w:bCs/>
        </w:rPr>
      </w:pPr>
    </w:p>
    <w:p w14:paraId="198CDA6C" w14:textId="51FE4082" w:rsidR="00FF0088" w:rsidRPr="00F51ED7" w:rsidRDefault="0068778F" w:rsidP="0068778F">
      <w:pPr>
        <w:pStyle w:val="NormalWeb"/>
        <w:spacing w:before="0" w:beforeAutospacing="0" w:after="0" w:afterAutospacing="0" w:line="360" w:lineRule="auto"/>
        <w:jc w:val="both"/>
        <w:rPr>
          <w:rFonts w:ascii="Verdana" w:hAnsi="Verdana"/>
          <w:b/>
          <w:bCs/>
        </w:rPr>
      </w:pPr>
      <w:r w:rsidRPr="00F51ED7">
        <w:rPr>
          <w:rFonts w:ascii="Verdana" w:hAnsi="Verdana"/>
          <w:b/>
          <w:bCs/>
        </w:rPr>
        <w:t>Türkiye çapında 21 binin üzerinde hasta klinik araştırmalarda tedavi imkânı buluyor</w:t>
      </w:r>
    </w:p>
    <w:p w14:paraId="55E005EC" w14:textId="77777777" w:rsidR="00CB00FC" w:rsidRPr="00F51ED7" w:rsidRDefault="00C718AC" w:rsidP="00CB00FC">
      <w:pPr>
        <w:pStyle w:val="NormalWeb"/>
        <w:numPr>
          <w:ilvl w:val="0"/>
          <w:numId w:val="18"/>
        </w:numPr>
        <w:spacing w:before="0" w:beforeAutospacing="0" w:after="0" w:afterAutospacing="0" w:line="360" w:lineRule="auto"/>
        <w:jc w:val="both"/>
        <w:rPr>
          <w:rFonts w:ascii="Verdana" w:hAnsi="Verdana"/>
        </w:rPr>
      </w:pPr>
      <w:r w:rsidRPr="00F51ED7">
        <w:rPr>
          <w:rFonts w:ascii="Verdana" w:hAnsi="Verdana"/>
        </w:rPr>
        <w:t xml:space="preserve">Klinik araştırmalar, hastaların yaşam kalitesine sağladığı katkıyla daha iyi sağlık sonuçları yaratıyor. Klinik araştırmalara katılan hastalar, en yüksek hizmet kalitesinden ve en ileri seviyede, hatta yaşam kurtarabilen tedavi yöntemlerinden faydalanabiliyor. </w:t>
      </w:r>
    </w:p>
    <w:p w14:paraId="49061120" w14:textId="77777777" w:rsidR="00CB00FC" w:rsidRPr="00F51ED7" w:rsidRDefault="00C718AC" w:rsidP="00CB00FC">
      <w:pPr>
        <w:pStyle w:val="NormalWeb"/>
        <w:numPr>
          <w:ilvl w:val="0"/>
          <w:numId w:val="18"/>
        </w:numPr>
        <w:spacing w:before="0" w:beforeAutospacing="0" w:after="0" w:afterAutospacing="0" w:line="360" w:lineRule="auto"/>
        <w:jc w:val="both"/>
        <w:rPr>
          <w:rFonts w:ascii="Verdana" w:hAnsi="Verdana"/>
        </w:rPr>
      </w:pPr>
      <w:r w:rsidRPr="00F51ED7">
        <w:rPr>
          <w:rFonts w:ascii="Verdana" w:hAnsi="Verdana"/>
        </w:rPr>
        <w:t xml:space="preserve">Araştırmalar, klinik araştırmaların, dahil olan hastalar için plasebo ya da test grubunda olmaları fark etmeksizin daha olumlu sonuçlar yarattığını ortaya koyuyor. </w:t>
      </w:r>
    </w:p>
    <w:p w14:paraId="07486365" w14:textId="77777777" w:rsidR="00CB00FC" w:rsidRPr="00F51ED7" w:rsidRDefault="00FF0088" w:rsidP="00CB00FC">
      <w:pPr>
        <w:pStyle w:val="NormalWeb"/>
        <w:numPr>
          <w:ilvl w:val="0"/>
          <w:numId w:val="18"/>
        </w:numPr>
        <w:spacing w:before="0" w:beforeAutospacing="0" w:after="0" w:afterAutospacing="0" w:line="360" w:lineRule="auto"/>
        <w:jc w:val="both"/>
        <w:rPr>
          <w:rFonts w:ascii="Verdana" w:hAnsi="Verdana"/>
        </w:rPr>
      </w:pPr>
      <w:r w:rsidRPr="00F51ED7">
        <w:rPr>
          <w:rFonts w:ascii="Verdana" w:hAnsi="Verdana"/>
        </w:rPr>
        <w:t xml:space="preserve">Klinik araştırmalar sayesinde hastalar gelecekte kullanılabilecek yenilikçi ilaç, tıbbi cihazlar ve tedavilere erken erişim imkanına </w:t>
      </w:r>
      <w:r w:rsidR="00C718AC" w:rsidRPr="00F51ED7">
        <w:rPr>
          <w:rFonts w:ascii="Verdana" w:hAnsi="Verdana"/>
        </w:rPr>
        <w:t xml:space="preserve">da </w:t>
      </w:r>
      <w:r w:rsidRPr="00F51ED7">
        <w:rPr>
          <w:rFonts w:ascii="Verdana" w:hAnsi="Verdana"/>
        </w:rPr>
        <w:t xml:space="preserve">sahip </w:t>
      </w:r>
      <w:r w:rsidR="00C718AC" w:rsidRPr="00F51ED7">
        <w:rPr>
          <w:rFonts w:ascii="Verdana" w:hAnsi="Verdana"/>
        </w:rPr>
        <w:t>oluyor</w:t>
      </w:r>
      <w:r w:rsidRPr="00F51ED7">
        <w:rPr>
          <w:rFonts w:ascii="Verdana" w:hAnsi="Verdana"/>
        </w:rPr>
        <w:t xml:space="preserve">. </w:t>
      </w:r>
    </w:p>
    <w:p w14:paraId="26840876" w14:textId="6C6F5CCF" w:rsidR="00FF0088" w:rsidRPr="00F51ED7" w:rsidRDefault="00FF0088" w:rsidP="00CB00FC">
      <w:pPr>
        <w:pStyle w:val="NormalWeb"/>
        <w:numPr>
          <w:ilvl w:val="0"/>
          <w:numId w:val="18"/>
        </w:numPr>
        <w:spacing w:before="0" w:beforeAutospacing="0" w:after="0" w:afterAutospacing="0" w:line="360" w:lineRule="auto"/>
        <w:jc w:val="both"/>
        <w:rPr>
          <w:rFonts w:ascii="Verdana" w:hAnsi="Verdana"/>
        </w:rPr>
      </w:pPr>
      <w:r w:rsidRPr="00F51ED7">
        <w:rPr>
          <w:rFonts w:ascii="Verdana" w:hAnsi="Verdana"/>
        </w:rPr>
        <w:t>Halihazırda Türkiye çapında devam eden endüstri destekli klinik araştırmalarda yaklaşık 2</w:t>
      </w:r>
      <w:r w:rsidR="00C718AC" w:rsidRPr="00F51ED7">
        <w:rPr>
          <w:rFonts w:ascii="Verdana" w:hAnsi="Verdana"/>
        </w:rPr>
        <w:t>1</w:t>
      </w:r>
      <w:r w:rsidRPr="00F51ED7">
        <w:rPr>
          <w:rFonts w:ascii="Verdana" w:hAnsi="Verdana"/>
        </w:rPr>
        <w:t xml:space="preserve"> bin</w:t>
      </w:r>
      <w:r w:rsidR="00C718AC" w:rsidRPr="00F51ED7">
        <w:rPr>
          <w:rFonts w:ascii="Verdana" w:hAnsi="Verdana"/>
        </w:rPr>
        <w:t xml:space="preserve"> 700</w:t>
      </w:r>
      <w:r w:rsidRPr="00F51ED7">
        <w:rPr>
          <w:rFonts w:ascii="Verdana" w:hAnsi="Verdana"/>
        </w:rPr>
        <w:t xml:space="preserve"> hasta tedavi imkânı </w:t>
      </w:r>
      <w:r w:rsidR="00C718AC" w:rsidRPr="00F51ED7">
        <w:rPr>
          <w:rFonts w:ascii="Verdana" w:hAnsi="Verdana"/>
        </w:rPr>
        <w:t>buluyor</w:t>
      </w:r>
      <w:r w:rsidRPr="00F51ED7">
        <w:rPr>
          <w:rFonts w:ascii="Verdana" w:hAnsi="Verdana"/>
        </w:rPr>
        <w:t>.</w:t>
      </w:r>
      <w:r w:rsidR="00C718AC" w:rsidRPr="00F51ED7">
        <w:rPr>
          <w:rFonts w:ascii="Verdana" w:hAnsi="Verdana"/>
        </w:rPr>
        <w:t xml:space="preserve"> </w:t>
      </w:r>
      <w:r w:rsidRPr="00F51ED7">
        <w:rPr>
          <w:rFonts w:ascii="Verdana" w:hAnsi="Verdana"/>
        </w:rPr>
        <w:t>2019 yılında 521 adet olan klinik çalışmaların, rapordaki önerilerin hayata geçmesiyle birlikte sekiz yıl içinde üç katına çıkması</w:t>
      </w:r>
      <w:r w:rsidR="0068778F" w:rsidRPr="00F51ED7">
        <w:rPr>
          <w:rFonts w:ascii="Verdana" w:hAnsi="Verdana"/>
        </w:rPr>
        <w:t xml:space="preserve"> öngörülüyor. </w:t>
      </w:r>
    </w:p>
    <w:p w14:paraId="324567F1" w14:textId="77777777" w:rsidR="00FF0088" w:rsidRPr="00F51ED7" w:rsidRDefault="00FF0088" w:rsidP="00FF0088">
      <w:pPr>
        <w:pStyle w:val="NormalWeb"/>
        <w:spacing w:before="0" w:beforeAutospacing="0" w:after="150" w:afterAutospacing="0" w:line="360" w:lineRule="auto"/>
        <w:jc w:val="both"/>
        <w:rPr>
          <w:rFonts w:ascii="Verdana" w:hAnsi="Verdana"/>
        </w:rPr>
      </w:pPr>
    </w:p>
    <w:p w14:paraId="2BB1508F" w14:textId="730D4C7E" w:rsidR="00FF0088" w:rsidRPr="00F51ED7" w:rsidRDefault="00CB00FC" w:rsidP="00FF0088">
      <w:pPr>
        <w:pStyle w:val="NormalWeb"/>
        <w:spacing w:before="0" w:beforeAutospacing="0" w:after="150" w:afterAutospacing="0" w:line="360" w:lineRule="auto"/>
        <w:jc w:val="both"/>
        <w:rPr>
          <w:rFonts w:ascii="Verdana" w:hAnsi="Verdana"/>
          <w:b/>
          <w:bCs/>
        </w:rPr>
      </w:pPr>
      <w:r w:rsidRPr="00F51ED7">
        <w:rPr>
          <w:rFonts w:ascii="Verdana" w:hAnsi="Verdana"/>
          <w:b/>
          <w:bCs/>
        </w:rPr>
        <w:t>Klinik araştırmalar SGK üzerindeki mali ilaç yükünü 41,8 milyon dolar azalttı</w:t>
      </w:r>
    </w:p>
    <w:p w14:paraId="70E42F69" w14:textId="2F550138" w:rsidR="00FF0088" w:rsidRPr="00F51ED7" w:rsidRDefault="0068778F" w:rsidP="00CB00FC">
      <w:pPr>
        <w:pStyle w:val="NormalWeb"/>
        <w:numPr>
          <w:ilvl w:val="0"/>
          <w:numId w:val="19"/>
        </w:numPr>
        <w:spacing w:before="0" w:beforeAutospacing="0" w:after="150" w:afterAutospacing="0" w:line="360" w:lineRule="auto"/>
        <w:jc w:val="both"/>
        <w:rPr>
          <w:rFonts w:ascii="Verdana" w:hAnsi="Verdana"/>
        </w:rPr>
      </w:pPr>
      <w:r w:rsidRPr="00F51ED7">
        <w:rPr>
          <w:rFonts w:ascii="Verdana" w:hAnsi="Verdana"/>
        </w:rPr>
        <w:t xml:space="preserve">Türkiye'de yürütülen klinik araştırmaların toplam ekonomik değeri, Haziran 2019 itibarıyla tahminen yıllık 327,7 milyon </w:t>
      </w:r>
      <w:r w:rsidR="00CB00FC" w:rsidRPr="00F51ED7">
        <w:rPr>
          <w:rFonts w:ascii="Verdana" w:hAnsi="Verdana"/>
        </w:rPr>
        <w:t xml:space="preserve">dolar olarak (1.860,1 milyon TL) ölçülüyor. </w:t>
      </w:r>
    </w:p>
    <w:p w14:paraId="0C97C9D5" w14:textId="77777777" w:rsidR="00C07FF8" w:rsidRPr="00F51ED7" w:rsidRDefault="0068778F" w:rsidP="00CB00FC">
      <w:pPr>
        <w:pStyle w:val="NormalWeb"/>
        <w:numPr>
          <w:ilvl w:val="0"/>
          <w:numId w:val="19"/>
        </w:numPr>
        <w:spacing w:before="0" w:beforeAutospacing="0" w:after="150" w:afterAutospacing="0" w:line="360" w:lineRule="auto"/>
        <w:jc w:val="both"/>
        <w:rPr>
          <w:rFonts w:ascii="Verdana" w:hAnsi="Verdana"/>
        </w:rPr>
      </w:pPr>
      <w:r w:rsidRPr="00F51ED7">
        <w:rPr>
          <w:rFonts w:ascii="Verdana" w:hAnsi="Verdana"/>
        </w:rPr>
        <w:lastRenderedPageBreak/>
        <w:t xml:space="preserve">Türkiye'nin 139,0 milyon </w:t>
      </w:r>
      <w:r w:rsidR="00CB00FC" w:rsidRPr="00F51ED7">
        <w:rPr>
          <w:rFonts w:ascii="Verdana" w:hAnsi="Verdana"/>
        </w:rPr>
        <w:t>dolar</w:t>
      </w:r>
      <w:r w:rsidRPr="00F51ED7">
        <w:rPr>
          <w:rFonts w:ascii="Verdana" w:hAnsi="Verdana"/>
        </w:rPr>
        <w:t xml:space="preserve"> (788,8 milyon TL) değerindeki klinik araştırma yatırımı, 2019 yılında Türkiye ilaç sektörünün toplam büyüklüğünün </w:t>
      </w:r>
      <w:r w:rsidR="00CB00FC" w:rsidRPr="00F51ED7">
        <w:rPr>
          <w:rFonts w:ascii="Verdana" w:hAnsi="Verdana"/>
        </w:rPr>
        <w:t xml:space="preserve">yüzde </w:t>
      </w:r>
      <w:r w:rsidRPr="00F51ED7">
        <w:rPr>
          <w:rFonts w:ascii="Verdana" w:hAnsi="Verdana"/>
        </w:rPr>
        <w:t xml:space="preserve">1,8'ine (2015'teki </w:t>
      </w:r>
      <w:r w:rsidR="00CB00FC" w:rsidRPr="00F51ED7">
        <w:rPr>
          <w:rFonts w:ascii="Verdana" w:hAnsi="Verdana"/>
        </w:rPr>
        <w:t xml:space="preserve">yüzde </w:t>
      </w:r>
      <w:r w:rsidRPr="00F51ED7">
        <w:rPr>
          <w:rFonts w:ascii="Verdana" w:hAnsi="Verdana"/>
        </w:rPr>
        <w:t xml:space="preserve">2,7 oranına kıyasla düşüş söz konusu) ve Türkiye'nin GSYH toplamının </w:t>
      </w:r>
      <w:r w:rsidR="00CB00FC" w:rsidRPr="00F51ED7">
        <w:rPr>
          <w:rFonts w:ascii="Verdana" w:hAnsi="Verdana"/>
        </w:rPr>
        <w:t xml:space="preserve">yüzde </w:t>
      </w:r>
      <w:r w:rsidRPr="00F51ED7">
        <w:rPr>
          <w:rFonts w:ascii="Verdana" w:hAnsi="Verdana"/>
        </w:rPr>
        <w:t xml:space="preserve">0,02'sine karşılık </w:t>
      </w:r>
      <w:r w:rsidR="00CB00FC" w:rsidRPr="00F51ED7">
        <w:rPr>
          <w:rFonts w:ascii="Verdana" w:hAnsi="Verdana"/>
        </w:rPr>
        <w:t>geliyor</w:t>
      </w:r>
      <w:r w:rsidRPr="00F51ED7">
        <w:rPr>
          <w:rFonts w:ascii="Verdana" w:hAnsi="Verdana"/>
        </w:rPr>
        <w:t>.</w:t>
      </w:r>
    </w:p>
    <w:p w14:paraId="616D6304" w14:textId="1424879F" w:rsidR="00CB00FC" w:rsidRPr="00F51ED7" w:rsidRDefault="00C07FF8" w:rsidP="00CB00FC">
      <w:pPr>
        <w:pStyle w:val="NormalWeb"/>
        <w:numPr>
          <w:ilvl w:val="0"/>
          <w:numId w:val="19"/>
        </w:numPr>
        <w:spacing w:before="0" w:beforeAutospacing="0" w:after="150" w:afterAutospacing="0" w:line="360" w:lineRule="auto"/>
        <w:jc w:val="both"/>
        <w:rPr>
          <w:rFonts w:ascii="Verdana" w:hAnsi="Verdana"/>
        </w:rPr>
      </w:pPr>
      <w:r w:rsidRPr="00F51ED7">
        <w:rPr>
          <w:rFonts w:ascii="Verdana" w:hAnsi="Verdana"/>
        </w:rPr>
        <w:t>Türkiye’deki aktif çalışma sayısı son 10 yılda yaklaşık yüzde 3,6 bileşik büyüme hızıyla artış gösterdi.</w:t>
      </w:r>
    </w:p>
    <w:p w14:paraId="1F3AAAF6" w14:textId="13463F6D" w:rsidR="0068778F" w:rsidRPr="00F51ED7" w:rsidRDefault="00CB00FC" w:rsidP="00CB00FC">
      <w:pPr>
        <w:pStyle w:val="NormalWeb"/>
        <w:numPr>
          <w:ilvl w:val="0"/>
          <w:numId w:val="19"/>
        </w:numPr>
        <w:spacing w:before="0" w:beforeAutospacing="0" w:after="150" w:afterAutospacing="0" w:line="360" w:lineRule="auto"/>
        <w:jc w:val="both"/>
        <w:rPr>
          <w:rFonts w:ascii="Verdana" w:hAnsi="Verdana"/>
        </w:rPr>
      </w:pPr>
      <w:r w:rsidRPr="00F51ED7">
        <w:rPr>
          <w:rFonts w:ascii="Verdana" w:hAnsi="Verdana"/>
        </w:rPr>
        <w:t xml:space="preserve">Klinik araştırmalar sayesinde </w:t>
      </w:r>
      <w:r w:rsidR="0068778F" w:rsidRPr="00F51ED7">
        <w:rPr>
          <w:rFonts w:ascii="Verdana" w:hAnsi="Verdana"/>
        </w:rPr>
        <w:t xml:space="preserve">SGK’nın azalan mali ilaç yükü, toplam 41,8 milyon </w:t>
      </w:r>
      <w:r w:rsidRPr="00F51ED7">
        <w:rPr>
          <w:rFonts w:ascii="Verdana" w:hAnsi="Verdana"/>
        </w:rPr>
        <w:t>dolara</w:t>
      </w:r>
      <w:r w:rsidR="0068778F" w:rsidRPr="00F51ED7">
        <w:rPr>
          <w:rFonts w:ascii="Verdana" w:hAnsi="Verdana"/>
        </w:rPr>
        <w:t xml:space="preserve"> (237,3 milyon TL) karşılık </w:t>
      </w:r>
      <w:r w:rsidRPr="00F51ED7">
        <w:rPr>
          <w:rFonts w:ascii="Verdana" w:hAnsi="Verdana"/>
        </w:rPr>
        <w:t>geliyor</w:t>
      </w:r>
      <w:r w:rsidR="0068778F" w:rsidRPr="00F51ED7">
        <w:rPr>
          <w:rFonts w:ascii="Verdana" w:hAnsi="Verdana"/>
        </w:rPr>
        <w:t>.</w:t>
      </w:r>
      <w:r w:rsidRPr="00F51ED7">
        <w:rPr>
          <w:rFonts w:ascii="Verdana" w:hAnsi="Verdana"/>
        </w:rPr>
        <w:t xml:space="preserve"> </w:t>
      </w:r>
      <w:r w:rsidR="0068778F" w:rsidRPr="00F51ED7">
        <w:rPr>
          <w:rFonts w:ascii="Verdana" w:hAnsi="Verdana"/>
        </w:rPr>
        <w:t xml:space="preserve">Devam eden klinik çalışmalar sayesinde, SGK üzerindeki bu toplam mali yük her yıl </w:t>
      </w:r>
      <w:r w:rsidRPr="00F51ED7">
        <w:rPr>
          <w:rFonts w:ascii="Verdana" w:hAnsi="Verdana"/>
        </w:rPr>
        <w:t>azaltılıyor</w:t>
      </w:r>
      <w:r w:rsidR="0068778F" w:rsidRPr="00F51ED7">
        <w:rPr>
          <w:rFonts w:ascii="Verdana" w:hAnsi="Verdana"/>
        </w:rPr>
        <w:t>.</w:t>
      </w:r>
    </w:p>
    <w:p w14:paraId="22E21775" w14:textId="359140A6" w:rsidR="0068778F" w:rsidRPr="00F51ED7" w:rsidRDefault="0068778F" w:rsidP="00CB00FC">
      <w:pPr>
        <w:pStyle w:val="NormalWeb"/>
        <w:numPr>
          <w:ilvl w:val="0"/>
          <w:numId w:val="19"/>
        </w:numPr>
        <w:spacing w:before="0" w:beforeAutospacing="0" w:after="150" w:afterAutospacing="0" w:line="360" w:lineRule="auto"/>
        <w:jc w:val="both"/>
        <w:rPr>
          <w:rFonts w:ascii="Verdana" w:hAnsi="Verdana"/>
        </w:rPr>
      </w:pPr>
      <w:r w:rsidRPr="00F51ED7">
        <w:rPr>
          <w:rFonts w:ascii="Verdana" w:hAnsi="Verdana"/>
        </w:rPr>
        <w:t xml:space="preserve">Klinik araştırmalarla ilgili bu kaynaklardan sağlık kurumları için elde edilen ek gelir, yıllık 23,4 milyon </w:t>
      </w:r>
      <w:r w:rsidR="00CB00FC" w:rsidRPr="00F51ED7">
        <w:rPr>
          <w:rFonts w:ascii="Verdana" w:hAnsi="Verdana"/>
        </w:rPr>
        <w:t>dolar</w:t>
      </w:r>
      <w:r w:rsidRPr="00F51ED7">
        <w:rPr>
          <w:rFonts w:ascii="Verdana" w:hAnsi="Verdana"/>
        </w:rPr>
        <w:t xml:space="preserve"> (133,0 milyon TL) </w:t>
      </w:r>
      <w:r w:rsidR="00CB00FC" w:rsidRPr="00F51ED7">
        <w:rPr>
          <w:rFonts w:ascii="Verdana" w:hAnsi="Verdana"/>
        </w:rPr>
        <w:t>tutarında</w:t>
      </w:r>
      <w:r w:rsidRPr="00F51ED7">
        <w:rPr>
          <w:rFonts w:ascii="Verdana" w:hAnsi="Verdana"/>
        </w:rPr>
        <w:t>.</w:t>
      </w:r>
      <w:r w:rsidR="00CB00FC" w:rsidRPr="00F51ED7">
        <w:rPr>
          <w:rFonts w:ascii="Verdana" w:hAnsi="Verdana"/>
        </w:rPr>
        <w:t xml:space="preserve"> K</w:t>
      </w:r>
      <w:r w:rsidRPr="00F51ED7">
        <w:rPr>
          <w:rFonts w:ascii="Verdana" w:hAnsi="Verdana"/>
        </w:rPr>
        <w:t>linik araştırmalar sayesinde yaratılan istihdamın toplam tahmin</w:t>
      </w:r>
      <w:r w:rsidR="00CB00FC" w:rsidRPr="00F51ED7">
        <w:rPr>
          <w:rFonts w:ascii="Verdana" w:hAnsi="Verdana"/>
        </w:rPr>
        <w:t>i</w:t>
      </w:r>
      <w:r w:rsidRPr="00F51ED7">
        <w:rPr>
          <w:rFonts w:ascii="Verdana" w:hAnsi="Verdana"/>
        </w:rPr>
        <w:t xml:space="preserve"> değerinin yıllık 44,4 milyon </w:t>
      </w:r>
      <w:r w:rsidR="00CB00FC" w:rsidRPr="00F51ED7">
        <w:rPr>
          <w:rFonts w:ascii="Verdana" w:hAnsi="Verdana"/>
        </w:rPr>
        <w:t>dolar</w:t>
      </w:r>
      <w:r w:rsidRPr="00F51ED7">
        <w:rPr>
          <w:rFonts w:ascii="Verdana" w:hAnsi="Verdana"/>
        </w:rPr>
        <w:t xml:space="preserve"> (251,8 milyon TL) olduğ</w:t>
      </w:r>
      <w:r w:rsidR="00CB00FC" w:rsidRPr="00F51ED7">
        <w:rPr>
          <w:rFonts w:ascii="Verdana" w:hAnsi="Verdana"/>
        </w:rPr>
        <w:t>u tahmin ediliyor</w:t>
      </w:r>
      <w:r w:rsidRPr="00F51ED7">
        <w:rPr>
          <w:rFonts w:ascii="Verdana" w:hAnsi="Verdana"/>
        </w:rPr>
        <w:t>.</w:t>
      </w:r>
    </w:p>
    <w:p w14:paraId="2069FC52" w14:textId="603C7522" w:rsidR="00CB00FC" w:rsidRPr="00F51ED7" w:rsidRDefault="00CB00FC" w:rsidP="00CB00FC">
      <w:pPr>
        <w:pStyle w:val="NormalWeb"/>
        <w:numPr>
          <w:ilvl w:val="0"/>
          <w:numId w:val="19"/>
        </w:numPr>
        <w:spacing w:before="0" w:beforeAutospacing="0" w:after="150" w:afterAutospacing="0" w:line="360" w:lineRule="auto"/>
        <w:jc w:val="both"/>
        <w:rPr>
          <w:rFonts w:ascii="Verdana" w:hAnsi="Verdana"/>
        </w:rPr>
      </w:pPr>
      <w:r w:rsidRPr="00F51ED7">
        <w:rPr>
          <w:rFonts w:ascii="Verdana" w:hAnsi="Verdana"/>
        </w:rPr>
        <w:t>Klinik araştırmalar alanında “hızlı büyüme” senaryosunun hayata geçirilmesiyle birlikte Türkiye’nin 2027 yılında toplam klinik çalışma sayısı bakımından ilk 10 ülke arasına, yeni çalışma sayısı bakımındansa ilk altı veya yedi ülke arasına (ABD, Birleşik Krallık, İspanya, Almanya, Kanada, Fransa ve İtalya’nın arkasından) girmesi öngörülüyor.</w:t>
      </w:r>
    </w:p>
    <w:p w14:paraId="082B704E" w14:textId="0C31D9B3" w:rsidR="00CB00FC" w:rsidRPr="00F51ED7" w:rsidRDefault="00CB00FC" w:rsidP="00CB00FC">
      <w:pPr>
        <w:pStyle w:val="NormalWeb"/>
        <w:numPr>
          <w:ilvl w:val="0"/>
          <w:numId w:val="19"/>
        </w:numPr>
        <w:spacing w:after="150" w:line="360" w:lineRule="auto"/>
        <w:jc w:val="both"/>
        <w:rPr>
          <w:rFonts w:ascii="Verdana" w:hAnsi="Verdana"/>
        </w:rPr>
      </w:pPr>
      <w:r w:rsidRPr="00F51ED7">
        <w:rPr>
          <w:rFonts w:ascii="Verdana" w:hAnsi="Verdana"/>
        </w:rPr>
        <w:t xml:space="preserve">Türkiye'de endüstri destekli klinik araştırmaların büyük ölçüde çok uluslu ilaç şirketleri tarafından yürütülmesi nedeniyle, klinik araştırmalara </w:t>
      </w:r>
      <w:proofErr w:type="gramStart"/>
      <w:r w:rsidR="00271046" w:rsidRPr="00F51ED7">
        <w:rPr>
          <w:rFonts w:ascii="Verdana" w:hAnsi="Verdana"/>
        </w:rPr>
        <w:t>yapılan  yatırımın</w:t>
      </w:r>
      <w:proofErr w:type="gramEnd"/>
      <w:r w:rsidR="00271046" w:rsidRPr="00F51ED7">
        <w:rPr>
          <w:rFonts w:ascii="Verdana" w:hAnsi="Verdana"/>
        </w:rPr>
        <w:t xml:space="preserve"> </w:t>
      </w:r>
      <w:r w:rsidRPr="00F51ED7">
        <w:rPr>
          <w:rFonts w:ascii="Verdana" w:hAnsi="Verdana"/>
        </w:rPr>
        <w:t xml:space="preserve">büyük bir kısmı doğrudan yabancı yatırım olarak değerlendiriliyor. Klinik araştırma yatırımları bu yönüyle Yeni Ekonomi Programı'nın temel hedefleri arasında yer alan makroekonomik dengenin korunması ve cari hesap dengesinin iyileştirilmesine doğrudan katkıda bulunuyor.  </w:t>
      </w:r>
    </w:p>
    <w:p w14:paraId="2683D677" w14:textId="77777777" w:rsidR="0068778F" w:rsidRPr="00F51ED7" w:rsidRDefault="0068778F" w:rsidP="0068778F">
      <w:pPr>
        <w:pStyle w:val="NormalWeb"/>
        <w:spacing w:before="0" w:beforeAutospacing="0" w:after="150" w:afterAutospacing="0" w:line="360" w:lineRule="auto"/>
        <w:jc w:val="both"/>
        <w:rPr>
          <w:rFonts w:ascii="Verdana" w:hAnsi="Verdana"/>
        </w:rPr>
      </w:pPr>
    </w:p>
    <w:p w14:paraId="6104384B" w14:textId="3FA2575C" w:rsidR="00FF0088" w:rsidRPr="00F51ED7" w:rsidRDefault="00FF0088" w:rsidP="00FF0088">
      <w:pPr>
        <w:pStyle w:val="NormalWeb"/>
        <w:spacing w:before="0" w:beforeAutospacing="0" w:after="150" w:afterAutospacing="0" w:line="360" w:lineRule="auto"/>
        <w:jc w:val="both"/>
        <w:rPr>
          <w:rFonts w:ascii="Verdana" w:hAnsi="Verdana"/>
          <w:b/>
          <w:bCs/>
        </w:rPr>
      </w:pPr>
      <w:r w:rsidRPr="00F51ED7">
        <w:rPr>
          <w:rFonts w:ascii="Verdana" w:hAnsi="Verdana"/>
          <w:b/>
          <w:bCs/>
        </w:rPr>
        <w:t>Klinik araştırmalar</w:t>
      </w:r>
      <w:r w:rsidR="00C07FF8" w:rsidRPr="00F51ED7">
        <w:rPr>
          <w:rFonts w:ascii="Verdana" w:hAnsi="Verdana"/>
          <w:b/>
          <w:bCs/>
        </w:rPr>
        <w:t xml:space="preserve"> küresel bilgi birikiminin Türkiye’ye aktarılmasını sağlıyor</w:t>
      </w:r>
    </w:p>
    <w:p w14:paraId="3BB522F5" w14:textId="7FC7EE31" w:rsidR="00C07FF8" w:rsidRPr="00F51ED7" w:rsidRDefault="00C07FF8" w:rsidP="00C07FF8">
      <w:pPr>
        <w:pStyle w:val="NormalWeb"/>
        <w:numPr>
          <w:ilvl w:val="0"/>
          <w:numId w:val="8"/>
        </w:numPr>
        <w:spacing w:before="0" w:beforeAutospacing="0" w:after="150" w:afterAutospacing="0" w:line="360" w:lineRule="auto"/>
        <w:jc w:val="both"/>
        <w:rPr>
          <w:rFonts w:ascii="Verdana" w:hAnsi="Verdana"/>
        </w:rPr>
      </w:pPr>
      <w:r w:rsidRPr="00F51ED7">
        <w:rPr>
          <w:rFonts w:ascii="Verdana" w:hAnsi="Verdana"/>
        </w:rPr>
        <w:t xml:space="preserve">Klinik araştırmalar Türkiye’deki bilimsel gelişimi artırıyor, bilim dağarcığını genişletiyor ve küresel bilgi birikiminin Türkiye’ye aktarılmasını hızlandırıyor. </w:t>
      </w:r>
    </w:p>
    <w:p w14:paraId="79F07F0B" w14:textId="7456AEF5" w:rsidR="00FF0088" w:rsidRPr="00F51ED7" w:rsidRDefault="00FF0088" w:rsidP="00FF0088">
      <w:pPr>
        <w:pStyle w:val="NormalWeb"/>
        <w:numPr>
          <w:ilvl w:val="0"/>
          <w:numId w:val="8"/>
        </w:numPr>
        <w:spacing w:before="0" w:beforeAutospacing="0" w:after="150" w:afterAutospacing="0" w:line="360" w:lineRule="auto"/>
        <w:jc w:val="both"/>
        <w:rPr>
          <w:rFonts w:ascii="Verdana" w:hAnsi="Verdana"/>
        </w:rPr>
      </w:pPr>
      <w:r w:rsidRPr="00F51ED7">
        <w:rPr>
          <w:rFonts w:ascii="Verdana" w:hAnsi="Verdana"/>
        </w:rPr>
        <w:t xml:space="preserve">Klinik araştırmalara katılan </w:t>
      </w:r>
      <w:r w:rsidR="00C07FF8" w:rsidRPr="00F51ED7">
        <w:rPr>
          <w:rFonts w:ascii="Verdana" w:hAnsi="Verdana"/>
        </w:rPr>
        <w:t>Türk akademisyenler</w:t>
      </w:r>
      <w:r w:rsidRPr="00F51ED7">
        <w:rPr>
          <w:rFonts w:ascii="Verdana" w:hAnsi="Verdana"/>
        </w:rPr>
        <w:t xml:space="preserve"> yeni tedavilerle ilgili bilgi edinmenin ve erken deneyim kazanmanın yanı sıra ilaç geliştirme süreci ve yeni tedavi alanları ile ilgili güncel eğitimler alma, uluslararası bilimsel ağlara dahil olma, çalışma sonunda hazırlanacak uluslararası yayınlarda yer alma, </w:t>
      </w:r>
      <w:r w:rsidRPr="00F51ED7">
        <w:rPr>
          <w:rFonts w:ascii="Verdana" w:hAnsi="Verdana"/>
        </w:rPr>
        <w:lastRenderedPageBreak/>
        <w:t xml:space="preserve">ulusal/uluslararası karar verici komitelerde görev alma imkânı da elde </w:t>
      </w:r>
      <w:r w:rsidR="00C07FF8" w:rsidRPr="00F51ED7">
        <w:rPr>
          <w:rFonts w:ascii="Verdana" w:hAnsi="Verdana"/>
        </w:rPr>
        <w:t>ediyor.</w:t>
      </w:r>
    </w:p>
    <w:p w14:paraId="644C3216" w14:textId="410FB78B" w:rsidR="00FF0088" w:rsidRPr="00F51ED7" w:rsidRDefault="00FF0088" w:rsidP="00FF0088">
      <w:pPr>
        <w:pStyle w:val="NormalWeb"/>
        <w:numPr>
          <w:ilvl w:val="0"/>
          <w:numId w:val="8"/>
        </w:numPr>
        <w:spacing w:before="0" w:beforeAutospacing="0" w:after="150" w:afterAutospacing="0" w:line="360" w:lineRule="auto"/>
        <w:jc w:val="both"/>
        <w:rPr>
          <w:rFonts w:ascii="Verdana" w:hAnsi="Verdana"/>
        </w:rPr>
      </w:pPr>
      <w:r w:rsidRPr="00F51ED7">
        <w:rPr>
          <w:rFonts w:ascii="Verdana" w:hAnsi="Verdana"/>
        </w:rPr>
        <w:t>1995-2015 arasında klinik araştırma yayınları trendlerini inceleyen PubMed’e göre, en yüksek sayıda bilimsel içerik yayınlayan 30 ülkenin, tüm yayınların yüzde 94,6’sını ürettiği, küresel çapta ana klinik dergilerin yüzde 98,1’ini oluşturduğu</w:t>
      </w:r>
      <w:r w:rsidR="00C07FF8" w:rsidRPr="00F51ED7">
        <w:rPr>
          <w:rFonts w:ascii="Verdana" w:hAnsi="Verdana"/>
        </w:rPr>
        <w:t xml:space="preserve"> görülüyor.</w:t>
      </w:r>
      <w:r w:rsidRPr="00F51ED7">
        <w:rPr>
          <w:rFonts w:ascii="Verdana" w:hAnsi="Verdana"/>
        </w:rPr>
        <w:t xml:space="preserve"> Aynı analize göre Türkiye, “sistematik inceleme” ve “meta analiz” kategorilerindeki 55 yayınla 31’inci sırada yer alırken, “klinik çalışma” kategorisinde 671 yayınla 18’inci sırada yer alıyor. </w:t>
      </w:r>
      <w:r w:rsidR="00C07FF8" w:rsidRPr="00F51ED7">
        <w:rPr>
          <w:rFonts w:ascii="Verdana" w:hAnsi="Verdana"/>
        </w:rPr>
        <w:t>Türkiye t</w:t>
      </w:r>
      <w:r w:rsidRPr="00F51ED7">
        <w:rPr>
          <w:rFonts w:ascii="Verdana" w:hAnsi="Verdana"/>
        </w:rPr>
        <w:t xml:space="preserve">üm yayınlarda ise 19 bin 963 yayınla 17’nci sırada yer </w:t>
      </w:r>
      <w:r w:rsidR="00C07FF8" w:rsidRPr="00F51ED7">
        <w:rPr>
          <w:rFonts w:ascii="Verdana" w:hAnsi="Verdana"/>
        </w:rPr>
        <w:t>alıyor</w:t>
      </w:r>
      <w:r w:rsidRPr="00F51ED7">
        <w:rPr>
          <w:rFonts w:ascii="Verdana" w:hAnsi="Verdana"/>
        </w:rPr>
        <w:t xml:space="preserve">. </w:t>
      </w:r>
    </w:p>
    <w:p w14:paraId="5A2A7525" w14:textId="589F10FC" w:rsidR="00FF0088" w:rsidRPr="00F51ED7" w:rsidRDefault="00FF0088" w:rsidP="00FF0088">
      <w:pPr>
        <w:pStyle w:val="NormalWeb"/>
        <w:numPr>
          <w:ilvl w:val="0"/>
          <w:numId w:val="8"/>
        </w:numPr>
        <w:spacing w:before="0" w:beforeAutospacing="0" w:after="150" w:afterAutospacing="0" w:line="360" w:lineRule="auto"/>
        <w:jc w:val="both"/>
        <w:rPr>
          <w:rFonts w:ascii="Verdana" w:hAnsi="Verdana"/>
        </w:rPr>
      </w:pPr>
      <w:r w:rsidRPr="00F51ED7">
        <w:rPr>
          <w:rFonts w:ascii="Verdana" w:hAnsi="Verdana"/>
        </w:rPr>
        <w:t xml:space="preserve">Klinik çalışmalara katılan hekimlerden elde edilen veriler kişisel deneyimden ziyade kanıtlara </w:t>
      </w:r>
      <w:r w:rsidR="00C07FF8" w:rsidRPr="00F51ED7">
        <w:rPr>
          <w:rFonts w:ascii="Verdana" w:hAnsi="Verdana"/>
        </w:rPr>
        <w:t>dayanıyor</w:t>
      </w:r>
      <w:r w:rsidRPr="00F51ED7">
        <w:rPr>
          <w:rFonts w:ascii="Verdana" w:hAnsi="Verdana"/>
        </w:rPr>
        <w:t xml:space="preserve">. Bu nedenle bir hekim, klinik araştırmaya katıldığında elde edilecek kanıt tabanlı veriler daha sonra araştırmaya katılacak diğer bilim insanlarına kaynak teşkil </w:t>
      </w:r>
      <w:r w:rsidR="00C07FF8" w:rsidRPr="00F51ED7">
        <w:rPr>
          <w:rFonts w:ascii="Verdana" w:hAnsi="Verdana"/>
        </w:rPr>
        <w:t>edebiliyor</w:t>
      </w:r>
      <w:r w:rsidRPr="00F51ED7">
        <w:rPr>
          <w:rFonts w:ascii="Verdana" w:hAnsi="Verdana"/>
        </w:rPr>
        <w:t xml:space="preserve">. Nadir hastalıklar ve spesifik vakalara aşinalığı artan bilim insanları, gelecekte alacakları tedavi kararlarında daha güvenilir veriler ve deneyimlere </w:t>
      </w:r>
      <w:r w:rsidR="00C07FF8" w:rsidRPr="00F51ED7">
        <w:rPr>
          <w:rFonts w:ascii="Verdana" w:hAnsi="Verdana"/>
        </w:rPr>
        <w:t>dayanabiliyorlar.</w:t>
      </w:r>
      <w:r w:rsidRPr="00F51ED7">
        <w:rPr>
          <w:rFonts w:ascii="Verdana" w:hAnsi="Verdana"/>
        </w:rPr>
        <w:t xml:space="preserve"> </w:t>
      </w:r>
    </w:p>
    <w:p w14:paraId="36004A67" w14:textId="5873A51E" w:rsidR="00F06EFF" w:rsidRPr="00F51ED7" w:rsidRDefault="00F06EFF" w:rsidP="00F06EFF">
      <w:pPr>
        <w:rPr>
          <w:rFonts w:ascii="Arial" w:hAnsi="Arial" w:cs="Arial"/>
          <w:sz w:val="20"/>
          <w:szCs w:val="20"/>
          <w:lang w:val="tr-TR"/>
        </w:rPr>
      </w:pPr>
    </w:p>
    <w:p w14:paraId="30FE7EEE" w14:textId="77777777" w:rsidR="00B0563B" w:rsidRPr="00F51ED7" w:rsidRDefault="00B0563B" w:rsidP="00C07FF8">
      <w:pPr>
        <w:pStyle w:val="NormalWeb"/>
        <w:spacing w:before="0" w:beforeAutospacing="0" w:after="150" w:afterAutospacing="0" w:line="360" w:lineRule="auto"/>
        <w:jc w:val="both"/>
        <w:rPr>
          <w:rFonts w:ascii="Verdana" w:hAnsi="Verdana" w:cs="Arial"/>
        </w:rPr>
      </w:pPr>
    </w:p>
    <w:p w14:paraId="237D5702" w14:textId="6C1306F3" w:rsidR="00C07FF8" w:rsidRPr="00F51ED7" w:rsidRDefault="00C07FF8" w:rsidP="00C07FF8">
      <w:pPr>
        <w:pStyle w:val="NormalWeb"/>
        <w:spacing w:before="0" w:beforeAutospacing="0" w:after="150" w:afterAutospacing="0" w:line="360" w:lineRule="auto"/>
        <w:jc w:val="both"/>
        <w:rPr>
          <w:rFonts w:ascii="Verdana" w:hAnsi="Verdana" w:cs="Arial"/>
        </w:rPr>
      </w:pPr>
      <w:r w:rsidRPr="00F51ED7">
        <w:rPr>
          <w:rFonts w:ascii="Verdana" w:hAnsi="Verdana" w:cs="Arial"/>
        </w:rPr>
        <w:t>Raporda Türkiye’de klinik araştırmaların arttırılması amacıyla, farklı fırsat alanlarında 12 adım öneriliyor. Bu adımlar şöyle sıralanıyor:</w:t>
      </w:r>
    </w:p>
    <w:p w14:paraId="2EC91AAF" w14:textId="799A1462" w:rsidR="00C07FF8" w:rsidRPr="00F51ED7" w:rsidRDefault="00C07FF8" w:rsidP="00C07FF8">
      <w:pPr>
        <w:pStyle w:val="NormalWeb"/>
        <w:numPr>
          <w:ilvl w:val="0"/>
          <w:numId w:val="20"/>
        </w:numPr>
        <w:spacing w:before="0" w:beforeAutospacing="0" w:after="150" w:afterAutospacing="0" w:line="360" w:lineRule="auto"/>
        <w:jc w:val="both"/>
        <w:rPr>
          <w:rFonts w:ascii="Verdana" w:hAnsi="Verdana" w:cs="Arial"/>
        </w:rPr>
      </w:pPr>
      <w:r w:rsidRPr="00F51ED7">
        <w:rPr>
          <w:rFonts w:ascii="Verdana" w:hAnsi="Verdana"/>
        </w:rPr>
        <w:t>Merkez</w:t>
      </w:r>
      <w:r w:rsidR="00B0563B" w:rsidRPr="00F51ED7">
        <w:rPr>
          <w:rFonts w:ascii="Verdana" w:hAnsi="Verdana"/>
        </w:rPr>
        <w:t xml:space="preserve">i </w:t>
      </w:r>
      <w:r w:rsidRPr="00F51ED7">
        <w:rPr>
          <w:rFonts w:ascii="Verdana" w:hAnsi="Verdana"/>
        </w:rPr>
        <w:t>bir hasta veri tabanı oluşturma</w:t>
      </w:r>
    </w:p>
    <w:p w14:paraId="7411893B" w14:textId="77777777"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Hasta sevk sistemi tasarlama</w:t>
      </w:r>
    </w:p>
    <w:p w14:paraId="7B32A799" w14:textId="7AAA819C"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Kamuoyu farkındalığı yaratma</w:t>
      </w:r>
    </w:p>
    <w:p w14:paraId="615480E1" w14:textId="49FBB793"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Dokümantasyon ve etik kurul başvurusunu kolaylaştırma merkez</w:t>
      </w:r>
      <w:r w:rsidR="00B0563B" w:rsidRPr="00F51ED7">
        <w:rPr>
          <w:rFonts w:ascii="Verdana" w:hAnsi="Verdana"/>
        </w:rPr>
        <w:t>i</w:t>
      </w:r>
      <w:r w:rsidRPr="00F51ED7">
        <w:rPr>
          <w:rFonts w:ascii="Verdana" w:hAnsi="Verdana"/>
        </w:rPr>
        <w:t xml:space="preserve"> hale getirme</w:t>
      </w:r>
    </w:p>
    <w:p w14:paraId="3745F492" w14:textId="31F00E92"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Etik inceleme standartlarının uygulanmasını sağlama</w:t>
      </w:r>
    </w:p>
    <w:p w14:paraId="11C44ED9" w14:textId="77777777"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Araştırmacı ağı oluşturma</w:t>
      </w:r>
    </w:p>
    <w:p w14:paraId="3311A217" w14:textId="77777777"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Daha geniş bir kurum yelpazesinde kapasiteyi artırma</w:t>
      </w:r>
    </w:p>
    <w:p w14:paraId="46841C3B" w14:textId="77777777"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Örgün eğitim, akademik teşvikler ve kariyer geliştirme fırsatları sunma</w:t>
      </w:r>
    </w:p>
    <w:p w14:paraId="553BCF09" w14:textId="77777777"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Ar-Ge yönetmeliklerini gözden geçirme</w:t>
      </w:r>
    </w:p>
    <w:p w14:paraId="11295F9D" w14:textId="71C42455"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Özel personele sahip klinik araştırma merkezleri kurma</w:t>
      </w:r>
    </w:p>
    <w:p w14:paraId="7B45B783" w14:textId="77777777" w:rsidR="00C07FF8"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lastRenderedPageBreak/>
        <w:t>Sağlık kurumlarındaki muhasebe sistemlerini iyileştirme</w:t>
      </w:r>
    </w:p>
    <w:p w14:paraId="5A64712F" w14:textId="270CF980" w:rsidR="00012321" w:rsidRPr="00F51ED7"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F51ED7">
        <w:rPr>
          <w:rFonts w:ascii="Verdana" w:hAnsi="Verdana"/>
        </w:rPr>
        <w:t>Türkiye’de klinik araştırma yapmaları için şirketlere yönelik teşvikleri artırm</w:t>
      </w:r>
      <w:r w:rsidR="00B0563B" w:rsidRPr="00F51ED7">
        <w:rPr>
          <w:rFonts w:ascii="Verdana" w:hAnsi="Verdana"/>
        </w:rPr>
        <w:t>a</w:t>
      </w:r>
    </w:p>
    <w:p w14:paraId="4649FB7A" w14:textId="77777777" w:rsidR="006F1E2F" w:rsidRPr="00F51ED7" w:rsidRDefault="006F1E2F" w:rsidP="009D499F">
      <w:pPr>
        <w:pStyle w:val="NormalWeb"/>
        <w:shd w:val="clear" w:color="auto" w:fill="FFFFFF"/>
        <w:spacing w:before="0" w:beforeAutospacing="0" w:after="225" w:afterAutospacing="0" w:line="360" w:lineRule="auto"/>
        <w:jc w:val="both"/>
        <w:textAlignment w:val="baseline"/>
        <w:rPr>
          <w:rFonts w:ascii="Verdana" w:hAnsi="Verdana" w:cs="Arial"/>
        </w:rPr>
      </w:pPr>
    </w:p>
    <w:p w14:paraId="1F415E93" w14:textId="77777777" w:rsidR="00C3591E" w:rsidRPr="00F51ED7" w:rsidRDefault="00C3591E" w:rsidP="00C3591E">
      <w:pPr>
        <w:jc w:val="both"/>
        <w:rPr>
          <w:rFonts w:ascii="Verdana" w:hAnsi="Verdana" w:cs="Verdana"/>
          <w:sz w:val="16"/>
          <w:szCs w:val="16"/>
          <w:lang w:val="tr-TR"/>
        </w:rPr>
      </w:pPr>
      <w:r w:rsidRPr="00F51ED7">
        <w:rPr>
          <w:rFonts w:ascii="Verdana" w:hAnsi="Verdana" w:cs="Verdana"/>
          <w:b/>
          <w:bCs/>
          <w:sz w:val="16"/>
          <w:szCs w:val="16"/>
          <w:lang w:val="tr-TR"/>
        </w:rPr>
        <w:t>İlgili kişi:</w:t>
      </w:r>
    </w:p>
    <w:p w14:paraId="29D5EC6B" w14:textId="77777777" w:rsidR="00C3591E" w:rsidRPr="00F51ED7" w:rsidRDefault="00C3591E" w:rsidP="00C3591E">
      <w:pPr>
        <w:jc w:val="both"/>
        <w:rPr>
          <w:rFonts w:ascii="Verdana" w:hAnsi="Verdana" w:cs="Verdana"/>
          <w:sz w:val="16"/>
          <w:szCs w:val="16"/>
          <w:lang w:val="tr-TR"/>
        </w:rPr>
      </w:pPr>
      <w:r w:rsidRPr="00F51ED7">
        <w:rPr>
          <w:rFonts w:ascii="Verdana" w:hAnsi="Verdana" w:cs="Verdana"/>
          <w:sz w:val="16"/>
          <w:szCs w:val="16"/>
          <w:lang w:val="tr-TR"/>
        </w:rPr>
        <w:t>Eray Coşan</w:t>
      </w:r>
    </w:p>
    <w:p w14:paraId="0EDB957F" w14:textId="77777777" w:rsidR="00C3591E" w:rsidRPr="00F51ED7" w:rsidRDefault="00C3591E" w:rsidP="00C3591E">
      <w:pPr>
        <w:jc w:val="both"/>
        <w:rPr>
          <w:rFonts w:ascii="Verdana" w:hAnsi="Verdana" w:cs="Verdana"/>
          <w:sz w:val="16"/>
          <w:szCs w:val="16"/>
          <w:lang w:val="tr-TR"/>
        </w:rPr>
      </w:pPr>
      <w:r w:rsidRPr="00F51ED7">
        <w:rPr>
          <w:rFonts w:ascii="Verdana" w:hAnsi="Verdana" w:cs="Verdana"/>
          <w:sz w:val="16"/>
          <w:szCs w:val="16"/>
          <w:lang w:val="tr-TR"/>
        </w:rPr>
        <w:t>Marjinal Porter Novelli</w:t>
      </w:r>
    </w:p>
    <w:p w14:paraId="1902EDB3" w14:textId="77777777" w:rsidR="00C3591E" w:rsidRPr="00F51ED7" w:rsidRDefault="00C3591E" w:rsidP="00C3591E">
      <w:pPr>
        <w:jc w:val="both"/>
        <w:rPr>
          <w:rFonts w:ascii="Verdana" w:hAnsi="Verdana" w:cs="Verdana"/>
          <w:sz w:val="16"/>
          <w:szCs w:val="16"/>
          <w:lang w:val="tr-TR"/>
        </w:rPr>
      </w:pPr>
      <w:r w:rsidRPr="00F51ED7">
        <w:rPr>
          <w:rFonts w:ascii="Verdana" w:hAnsi="Verdana" w:cs="Verdana"/>
          <w:sz w:val="16"/>
          <w:szCs w:val="16"/>
          <w:lang w:val="tr-TR"/>
        </w:rPr>
        <w:t>0212 219 2971</w:t>
      </w:r>
    </w:p>
    <w:p w14:paraId="2065A739" w14:textId="40AD7837" w:rsidR="00C3591E" w:rsidRPr="00F51ED7" w:rsidRDefault="00A873CD" w:rsidP="00C3591E">
      <w:pPr>
        <w:jc w:val="both"/>
        <w:rPr>
          <w:rFonts w:ascii="Verdana" w:hAnsi="Verdana"/>
          <w:sz w:val="16"/>
          <w:szCs w:val="16"/>
          <w:lang w:val="tr-TR"/>
        </w:rPr>
      </w:pPr>
      <w:r w:rsidRPr="00F51ED7">
        <w:rPr>
          <w:rFonts w:ascii="Verdana" w:hAnsi="Verdana" w:cs="Verdana"/>
          <w:sz w:val="16"/>
          <w:szCs w:val="16"/>
          <w:lang w:val="tr-TR"/>
        </w:rPr>
        <w:t>0532 494 78 40</w:t>
      </w:r>
    </w:p>
    <w:p w14:paraId="76CCFC36" w14:textId="77777777" w:rsidR="003C0FDA" w:rsidRPr="00F51ED7" w:rsidRDefault="00106ECB" w:rsidP="00C3591E">
      <w:pPr>
        <w:autoSpaceDE w:val="0"/>
        <w:jc w:val="both"/>
        <w:rPr>
          <w:rStyle w:val="Kpr"/>
          <w:rFonts w:ascii="Verdana" w:hAnsi="Verdana" w:cs="Verdana"/>
          <w:sz w:val="16"/>
          <w:szCs w:val="16"/>
          <w:lang w:val="tr-TR"/>
        </w:rPr>
      </w:pPr>
      <w:hyperlink r:id="rId11" w:history="1">
        <w:r w:rsidR="00C3591E" w:rsidRPr="00F51ED7">
          <w:rPr>
            <w:rStyle w:val="Kpr"/>
            <w:rFonts w:ascii="Verdana" w:hAnsi="Verdana" w:cs="Verdana"/>
            <w:sz w:val="16"/>
            <w:szCs w:val="16"/>
            <w:lang w:val="tr-TR"/>
          </w:rPr>
          <w:t xml:space="preserve">erayc@marjinal.com.tr </w:t>
        </w:r>
      </w:hyperlink>
    </w:p>
    <w:p w14:paraId="30F4A0E6" w14:textId="77777777" w:rsidR="00D168F1" w:rsidRPr="00F51ED7" w:rsidRDefault="00D168F1" w:rsidP="00C3591E">
      <w:pPr>
        <w:autoSpaceDE w:val="0"/>
        <w:jc w:val="both"/>
        <w:rPr>
          <w:rFonts w:ascii="Verdana" w:hAnsi="Verdana" w:cs="Verdana"/>
          <w:sz w:val="16"/>
          <w:szCs w:val="16"/>
          <w:lang w:val="tr-TR"/>
        </w:rPr>
      </w:pPr>
    </w:p>
    <w:p w14:paraId="33CD6601" w14:textId="77777777" w:rsidR="00C3591E" w:rsidRPr="00F51ED7" w:rsidRDefault="00C3591E" w:rsidP="00C3591E">
      <w:pPr>
        <w:autoSpaceDE w:val="0"/>
        <w:jc w:val="both"/>
        <w:rPr>
          <w:rFonts w:ascii="Verdana" w:hAnsi="Verdana" w:cs="Verdana"/>
          <w:sz w:val="16"/>
          <w:szCs w:val="16"/>
          <w:lang w:val="tr-TR"/>
        </w:rPr>
      </w:pPr>
    </w:p>
    <w:p w14:paraId="1DF6372F" w14:textId="77777777" w:rsidR="00C07FF8" w:rsidRPr="00F51ED7" w:rsidRDefault="00C07FF8" w:rsidP="00C07FF8">
      <w:pPr>
        <w:rPr>
          <w:rFonts w:ascii="Verdana" w:hAnsi="Verdana"/>
          <w:b/>
          <w:bCs/>
          <w:sz w:val="18"/>
          <w:szCs w:val="18"/>
          <w:lang w:val="tr-TR"/>
        </w:rPr>
      </w:pPr>
      <w:r w:rsidRPr="00F51ED7">
        <w:rPr>
          <w:rFonts w:ascii="Verdana" w:hAnsi="Verdana"/>
          <w:b/>
          <w:bCs/>
          <w:sz w:val="18"/>
          <w:szCs w:val="18"/>
          <w:lang w:val="tr-TR"/>
        </w:rPr>
        <w:t xml:space="preserve">AIFD hakkında </w:t>
      </w:r>
    </w:p>
    <w:p w14:paraId="09AFBC40" w14:textId="77777777" w:rsidR="00C07FF8" w:rsidRPr="00F51ED7" w:rsidRDefault="00C07FF8" w:rsidP="00C07FF8">
      <w:pPr>
        <w:rPr>
          <w:rFonts w:ascii="Verdana" w:hAnsi="Verdana"/>
          <w:sz w:val="18"/>
          <w:szCs w:val="18"/>
          <w:lang w:val="tr-TR"/>
        </w:rPr>
      </w:pPr>
      <w:r w:rsidRPr="00F51ED7">
        <w:rPr>
          <w:rFonts w:ascii="Verdana" w:hAnsi="Verdana"/>
          <w:sz w:val="18"/>
          <w:szCs w:val="18"/>
          <w:lang w:val="tr-TR"/>
        </w:rPr>
        <w:t xml:space="preserve">Araştırmacı İlaç Firmaları Derneği (AIFD), Türk insanının yeni ve orijinal ilaçlara erişimini sağlamak ve ülkemizde sağlık sorunlarına etkin çözümler bulunmasına katkıda bulunmak amacıyla, Türkiye’de faaliyet gösteren araştırmacı ilaç firmaları tarafından 2003 yılında kurulmuştur. AIFD İstanbul’daki merkezi ve Ankara’daki temsilciliği aracılığıyla faaliyetlerini sürdürmektedir. AIFD üyeleri çağımızda hızla ilerleyen tıp biliminin başta biyogenetik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AIFD üyeleri, insanlarımızın yaşam kalitesini yükseltmek ve sağlık sorunlarına çözüm sunmak öncelikli olmak üzere, topluma karşı tüm sorumluluklarını eksiksiz bir şekilde yerine getirmek için çalışırlar. AIFD, IFPMA (Uluslararası İlaç Üreticileri ve Dernekleri Federasyonu) ve EFPIA (Avrupa İlaç Sanayi ve Dernekleri Federasyonu) üyesi bir kuruluştur. www.aifd.org.tr </w:t>
      </w:r>
    </w:p>
    <w:p w14:paraId="35D5A33D" w14:textId="77777777" w:rsidR="00C07FF8" w:rsidRPr="00F51ED7" w:rsidRDefault="00C07FF8" w:rsidP="00C07FF8">
      <w:pPr>
        <w:rPr>
          <w:rFonts w:ascii="Verdana" w:hAnsi="Verdana"/>
          <w:sz w:val="16"/>
          <w:szCs w:val="16"/>
          <w:lang w:val="tr-TR"/>
        </w:rPr>
      </w:pPr>
      <w:r w:rsidRPr="00F51ED7">
        <w:rPr>
          <w:rFonts w:ascii="Verdana" w:hAnsi="Verdana"/>
          <w:sz w:val="16"/>
          <w:szCs w:val="16"/>
          <w:lang w:val="tr-TR"/>
        </w:rPr>
        <w:t xml:space="preserve"> </w:t>
      </w:r>
    </w:p>
    <w:p w14:paraId="7B4DA510" w14:textId="77777777" w:rsidR="00C3591E" w:rsidRPr="00F51ED7" w:rsidRDefault="00C3591E" w:rsidP="00C3591E">
      <w:pPr>
        <w:spacing w:line="360" w:lineRule="auto"/>
        <w:rPr>
          <w:rFonts w:ascii="Verdana" w:hAnsi="Verdana" w:cs="Verdana"/>
          <w:sz w:val="16"/>
          <w:szCs w:val="16"/>
          <w:lang w:val="tr-TR"/>
        </w:rPr>
      </w:pPr>
    </w:p>
    <w:p w14:paraId="6CC261BA" w14:textId="77777777" w:rsidR="00C3591E" w:rsidRPr="00F51ED7" w:rsidRDefault="00C3591E" w:rsidP="009D499F">
      <w:pPr>
        <w:spacing w:line="360" w:lineRule="auto"/>
        <w:jc w:val="both"/>
        <w:rPr>
          <w:rFonts w:ascii="Verdana" w:hAnsi="Verdana"/>
          <w:sz w:val="16"/>
          <w:szCs w:val="16"/>
          <w:lang w:val="tr-TR"/>
        </w:rPr>
      </w:pPr>
    </w:p>
    <w:sectPr w:rsidR="00C3591E" w:rsidRPr="00F51ED7" w:rsidSect="00B2714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8206" w14:textId="77777777" w:rsidR="00106ECB" w:rsidRDefault="00106ECB" w:rsidP="003867E1">
      <w:r>
        <w:separator/>
      </w:r>
    </w:p>
  </w:endnote>
  <w:endnote w:type="continuationSeparator" w:id="0">
    <w:p w14:paraId="07A352F0" w14:textId="77777777" w:rsidR="00106ECB" w:rsidRDefault="00106ECB" w:rsidP="0038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w:altName w:val="Noto Sans"/>
    <w:panose1 w:val="00000000000000000000"/>
    <w:charset w:val="00"/>
    <w:family w:val="swiss"/>
    <w:notTrueType/>
    <w:pitch w:val="default"/>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99D06" w14:textId="77777777" w:rsidR="00106ECB" w:rsidRDefault="00106ECB" w:rsidP="003867E1">
      <w:r>
        <w:separator/>
      </w:r>
    </w:p>
  </w:footnote>
  <w:footnote w:type="continuationSeparator" w:id="0">
    <w:p w14:paraId="2D4648AB" w14:textId="77777777" w:rsidR="00106ECB" w:rsidRDefault="00106ECB" w:rsidP="0038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B59"/>
    <w:multiLevelType w:val="multilevel"/>
    <w:tmpl w:val="3E8E53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4722A"/>
    <w:multiLevelType w:val="hybridMultilevel"/>
    <w:tmpl w:val="04B8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61968"/>
    <w:multiLevelType w:val="hybridMultilevel"/>
    <w:tmpl w:val="DFDA5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95B9B"/>
    <w:multiLevelType w:val="hybridMultilevel"/>
    <w:tmpl w:val="1012E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7F2F68"/>
    <w:multiLevelType w:val="hybridMultilevel"/>
    <w:tmpl w:val="C4069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E9265C"/>
    <w:multiLevelType w:val="hybridMultilevel"/>
    <w:tmpl w:val="FB42C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322B7E"/>
    <w:multiLevelType w:val="hybridMultilevel"/>
    <w:tmpl w:val="95A8E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D6172E"/>
    <w:multiLevelType w:val="hybridMultilevel"/>
    <w:tmpl w:val="D102C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B61F20"/>
    <w:multiLevelType w:val="hybridMultilevel"/>
    <w:tmpl w:val="EA289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342707"/>
    <w:multiLevelType w:val="hybridMultilevel"/>
    <w:tmpl w:val="F196C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317710"/>
    <w:multiLevelType w:val="hybridMultilevel"/>
    <w:tmpl w:val="DCE86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0717CD"/>
    <w:multiLevelType w:val="hybridMultilevel"/>
    <w:tmpl w:val="89286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9B2125"/>
    <w:multiLevelType w:val="hybridMultilevel"/>
    <w:tmpl w:val="86A86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B80423"/>
    <w:multiLevelType w:val="hybridMultilevel"/>
    <w:tmpl w:val="D430D88E"/>
    <w:lvl w:ilvl="0" w:tplc="682CFF78">
      <w:start w:val="4"/>
      <w:numFmt w:val="decimal"/>
      <w:lvlText w:val="%1."/>
      <w:lvlJc w:val="left"/>
      <w:pPr>
        <w:tabs>
          <w:tab w:val="num" w:pos="720"/>
        </w:tabs>
        <w:ind w:left="720" w:hanging="360"/>
      </w:pPr>
    </w:lvl>
    <w:lvl w:ilvl="1" w:tplc="48508636" w:tentative="1">
      <w:start w:val="1"/>
      <w:numFmt w:val="decimal"/>
      <w:lvlText w:val="%2."/>
      <w:lvlJc w:val="left"/>
      <w:pPr>
        <w:tabs>
          <w:tab w:val="num" w:pos="1440"/>
        </w:tabs>
        <w:ind w:left="1440" w:hanging="360"/>
      </w:pPr>
    </w:lvl>
    <w:lvl w:ilvl="2" w:tplc="366EA136" w:tentative="1">
      <w:start w:val="1"/>
      <w:numFmt w:val="decimal"/>
      <w:lvlText w:val="%3."/>
      <w:lvlJc w:val="left"/>
      <w:pPr>
        <w:tabs>
          <w:tab w:val="num" w:pos="2160"/>
        </w:tabs>
        <w:ind w:left="2160" w:hanging="360"/>
      </w:pPr>
    </w:lvl>
    <w:lvl w:ilvl="3" w:tplc="4234356C" w:tentative="1">
      <w:start w:val="1"/>
      <w:numFmt w:val="decimal"/>
      <w:lvlText w:val="%4."/>
      <w:lvlJc w:val="left"/>
      <w:pPr>
        <w:tabs>
          <w:tab w:val="num" w:pos="2880"/>
        </w:tabs>
        <w:ind w:left="2880" w:hanging="360"/>
      </w:pPr>
    </w:lvl>
    <w:lvl w:ilvl="4" w:tplc="BD6E9E22" w:tentative="1">
      <w:start w:val="1"/>
      <w:numFmt w:val="decimal"/>
      <w:lvlText w:val="%5."/>
      <w:lvlJc w:val="left"/>
      <w:pPr>
        <w:tabs>
          <w:tab w:val="num" w:pos="3600"/>
        </w:tabs>
        <w:ind w:left="3600" w:hanging="360"/>
      </w:pPr>
    </w:lvl>
    <w:lvl w:ilvl="5" w:tplc="0F822F6E" w:tentative="1">
      <w:start w:val="1"/>
      <w:numFmt w:val="decimal"/>
      <w:lvlText w:val="%6."/>
      <w:lvlJc w:val="left"/>
      <w:pPr>
        <w:tabs>
          <w:tab w:val="num" w:pos="4320"/>
        </w:tabs>
        <w:ind w:left="4320" w:hanging="360"/>
      </w:pPr>
    </w:lvl>
    <w:lvl w:ilvl="6" w:tplc="FF90EC90" w:tentative="1">
      <w:start w:val="1"/>
      <w:numFmt w:val="decimal"/>
      <w:lvlText w:val="%7."/>
      <w:lvlJc w:val="left"/>
      <w:pPr>
        <w:tabs>
          <w:tab w:val="num" w:pos="5040"/>
        </w:tabs>
        <w:ind w:left="5040" w:hanging="360"/>
      </w:pPr>
    </w:lvl>
    <w:lvl w:ilvl="7" w:tplc="DCAEC322" w:tentative="1">
      <w:start w:val="1"/>
      <w:numFmt w:val="decimal"/>
      <w:lvlText w:val="%8."/>
      <w:lvlJc w:val="left"/>
      <w:pPr>
        <w:tabs>
          <w:tab w:val="num" w:pos="5760"/>
        </w:tabs>
        <w:ind w:left="5760" w:hanging="360"/>
      </w:pPr>
    </w:lvl>
    <w:lvl w:ilvl="8" w:tplc="8400897A" w:tentative="1">
      <w:start w:val="1"/>
      <w:numFmt w:val="decimal"/>
      <w:lvlText w:val="%9."/>
      <w:lvlJc w:val="left"/>
      <w:pPr>
        <w:tabs>
          <w:tab w:val="num" w:pos="6480"/>
        </w:tabs>
        <w:ind w:left="6480" w:hanging="360"/>
      </w:pPr>
    </w:lvl>
  </w:abstractNum>
  <w:abstractNum w:abstractNumId="14" w15:restartNumberingAfterBreak="0">
    <w:nsid w:val="65B92F62"/>
    <w:multiLevelType w:val="hybridMultilevel"/>
    <w:tmpl w:val="18DE62AA"/>
    <w:lvl w:ilvl="0" w:tplc="8E225B2E">
      <w:start w:val="6"/>
      <w:numFmt w:val="decimal"/>
      <w:lvlText w:val="%1."/>
      <w:lvlJc w:val="left"/>
      <w:pPr>
        <w:tabs>
          <w:tab w:val="num" w:pos="720"/>
        </w:tabs>
        <w:ind w:left="720" w:hanging="360"/>
      </w:pPr>
    </w:lvl>
    <w:lvl w:ilvl="1" w:tplc="7DBCF39A" w:tentative="1">
      <w:start w:val="1"/>
      <w:numFmt w:val="decimal"/>
      <w:lvlText w:val="%2."/>
      <w:lvlJc w:val="left"/>
      <w:pPr>
        <w:tabs>
          <w:tab w:val="num" w:pos="1440"/>
        </w:tabs>
        <w:ind w:left="1440" w:hanging="360"/>
      </w:pPr>
    </w:lvl>
    <w:lvl w:ilvl="2" w:tplc="FFA4EB7C" w:tentative="1">
      <w:start w:val="1"/>
      <w:numFmt w:val="decimal"/>
      <w:lvlText w:val="%3."/>
      <w:lvlJc w:val="left"/>
      <w:pPr>
        <w:tabs>
          <w:tab w:val="num" w:pos="2160"/>
        </w:tabs>
        <w:ind w:left="2160" w:hanging="360"/>
      </w:pPr>
    </w:lvl>
    <w:lvl w:ilvl="3" w:tplc="AC4433D2" w:tentative="1">
      <w:start w:val="1"/>
      <w:numFmt w:val="decimal"/>
      <w:lvlText w:val="%4."/>
      <w:lvlJc w:val="left"/>
      <w:pPr>
        <w:tabs>
          <w:tab w:val="num" w:pos="2880"/>
        </w:tabs>
        <w:ind w:left="2880" w:hanging="360"/>
      </w:pPr>
    </w:lvl>
    <w:lvl w:ilvl="4" w:tplc="75BAC43E" w:tentative="1">
      <w:start w:val="1"/>
      <w:numFmt w:val="decimal"/>
      <w:lvlText w:val="%5."/>
      <w:lvlJc w:val="left"/>
      <w:pPr>
        <w:tabs>
          <w:tab w:val="num" w:pos="3600"/>
        </w:tabs>
        <w:ind w:left="3600" w:hanging="360"/>
      </w:pPr>
    </w:lvl>
    <w:lvl w:ilvl="5" w:tplc="3288FEDC" w:tentative="1">
      <w:start w:val="1"/>
      <w:numFmt w:val="decimal"/>
      <w:lvlText w:val="%6."/>
      <w:lvlJc w:val="left"/>
      <w:pPr>
        <w:tabs>
          <w:tab w:val="num" w:pos="4320"/>
        </w:tabs>
        <w:ind w:left="4320" w:hanging="360"/>
      </w:pPr>
    </w:lvl>
    <w:lvl w:ilvl="6" w:tplc="E49251EC" w:tentative="1">
      <w:start w:val="1"/>
      <w:numFmt w:val="decimal"/>
      <w:lvlText w:val="%7."/>
      <w:lvlJc w:val="left"/>
      <w:pPr>
        <w:tabs>
          <w:tab w:val="num" w:pos="5040"/>
        </w:tabs>
        <w:ind w:left="5040" w:hanging="360"/>
      </w:pPr>
    </w:lvl>
    <w:lvl w:ilvl="7" w:tplc="396EBEF2" w:tentative="1">
      <w:start w:val="1"/>
      <w:numFmt w:val="decimal"/>
      <w:lvlText w:val="%8."/>
      <w:lvlJc w:val="left"/>
      <w:pPr>
        <w:tabs>
          <w:tab w:val="num" w:pos="5760"/>
        </w:tabs>
        <w:ind w:left="5760" w:hanging="360"/>
      </w:pPr>
    </w:lvl>
    <w:lvl w:ilvl="8" w:tplc="CEB4651C" w:tentative="1">
      <w:start w:val="1"/>
      <w:numFmt w:val="decimal"/>
      <w:lvlText w:val="%9."/>
      <w:lvlJc w:val="left"/>
      <w:pPr>
        <w:tabs>
          <w:tab w:val="num" w:pos="6480"/>
        </w:tabs>
        <w:ind w:left="6480" w:hanging="360"/>
      </w:pPr>
    </w:lvl>
  </w:abstractNum>
  <w:abstractNum w:abstractNumId="15" w15:restartNumberingAfterBreak="0">
    <w:nsid w:val="70AB263A"/>
    <w:multiLevelType w:val="hybridMultilevel"/>
    <w:tmpl w:val="E870B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5340EF"/>
    <w:multiLevelType w:val="hybridMultilevel"/>
    <w:tmpl w:val="50589794"/>
    <w:lvl w:ilvl="0" w:tplc="041F0001">
      <w:start w:val="1"/>
      <w:numFmt w:val="bullet"/>
      <w:lvlText w:val=""/>
      <w:lvlJc w:val="left"/>
      <w:pPr>
        <w:ind w:left="1440" w:hanging="360"/>
      </w:pPr>
      <w:rPr>
        <w:rFonts w:ascii="Symbol" w:hAnsi="Symbol" w:hint="default"/>
      </w:rPr>
    </w:lvl>
    <w:lvl w:ilvl="1" w:tplc="041F000F">
      <w:start w:val="1"/>
      <w:numFmt w:val="decimal"/>
      <w:lvlText w:val="%2."/>
      <w:lvlJc w:val="left"/>
      <w:pPr>
        <w:ind w:left="2160" w:hanging="360"/>
      </w:pPr>
      <w:rPr>
        <w:rFont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75841C58"/>
    <w:multiLevelType w:val="hybridMultilevel"/>
    <w:tmpl w:val="21C02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C43B20"/>
    <w:multiLevelType w:val="hybridMultilevel"/>
    <w:tmpl w:val="E57C7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532081"/>
    <w:multiLevelType w:val="hybridMultilevel"/>
    <w:tmpl w:val="B5B8F392"/>
    <w:lvl w:ilvl="0" w:tplc="A72CB874">
      <w:start w:val="3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B30D27"/>
    <w:multiLevelType w:val="hybridMultilevel"/>
    <w:tmpl w:val="D962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81AD8"/>
    <w:multiLevelType w:val="hybridMultilevel"/>
    <w:tmpl w:val="ECAAD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0"/>
  </w:num>
  <w:num w:numId="5">
    <w:abstractNumId w:val="7"/>
  </w:num>
  <w:num w:numId="6">
    <w:abstractNumId w:val="17"/>
  </w:num>
  <w:num w:numId="7">
    <w:abstractNumId w:val="3"/>
  </w:num>
  <w:num w:numId="8">
    <w:abstractNumId w:val="9"/>
  </w:num>
  <w:num w:numId="9">
    <w:abstractNumId w:val="11"/>
  </w:num>
  <w:num w:numId="10">
    <w:abstractNumId w:val="8"/>
  </w:num>
  <w:num w:numId="11">
    <w:abstractNumId w:val="12"/>
  </w:num>
  <w:num w:numId="12">
    <w:abstractNumId w:val="15"/>
  </w:num>
  <w:num w:numId="13">
    <w:abstractNumId w:val="5"/>
  </w:num>
  <w:num w:numId="14">
    <w:abstractNumId w:val="13"/>
  </w:num>
  <w:num w:numId="15">
    <w:abstractNumId w:val="14"/>
  </w:num>
  <w:num w:numId="16">
    <w:abstractNumId w:val="18"/>
  </w:num>
  <w:num w:numId="17">
    <w:abstractNumId w:val="10"/>
  </w:num>
  <w:num w:numId="18">
    <w:abstractNumId w:val="21"/>
  </w:num>
  <w:num w:numId="19">
    <w:abstractNumId w:val="2"/>
  </w:num>
  <w:num w:numId="20">
    <w:abstractNumId w:val="4"/>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jeyMLGwMDI3NjBW0lEKTi0uzszPAykwqQUAutJeqywAAAA="/>
  </w:docVars>
  <w:rsids>
    <w:rsidRoot w:val="009D499F"/>
    <w:rsid w:val="00002B36"/>
    <w:rsid w:val="00012321"/>
    <w:rsid w:val="00037F29"/>
    <w:rsid w:val="0004705E"/>
    <w:rsid w:val="00063F26"/>
    <w:rsid w:val="000826DB"/>
    <w:rsid w:val="0008340E"/>
    <w:rsid w:val="000875E6"/>
    <w:rsid w:val="000C228D"/>
    <w:rsid w:val="000C2B7D"/>
    <w:rsid w:val="000E43AC"/>
    <w:rsid w:val="000E59A7"/>
    <w:rsid w:val="000F07C7"/>
    <w:rsid w:val="00103E96"/>
    <w:rsid w:val="00106ECB"/>
    <w:rsid w:val="00163F2C"/>
    <w:rsid w:val="00171C13"/>
    <w:rsid w:val="001A1654"/>
    <w:rsid w:val="00201705"/>
    <w:rsid w:val="002272A9"/>
    <w:rsid w:val="00241834"/>
    <w:rsid w:val="0024301F"/>
    <w:rsid w:val="00271046"/>
    <w:rsid w:val="002C57C8"/>
    <w:rsid w:val="002E653B"/>
    <w:rsid w:val="002F2CED"/>
    <w:rsid w:val="0031045D"/>
    <w:rsid w:val="00310A5D"/>
    <w:rsid w:val="00323BC4"/>
    <w:rsid w:val="003438B9"/>
    <w:rsid w:val="003520D3"/>
    <w:rsid w:val="00357403"/>
    <w:rsid w:val="00365975"/>
    <w:rsid w:val="003867E1"/>
    <w:rsid w:val="003C0FDA"/>
    <w:rsid w:val="003C4B09"/>
    <w:rsid w:val="003D40DD"/>
    <w:rsid w:val="003D5ABA"/>
    <w:rsid w:val="00400C33"/>
    <w:rsid w:val="00414A4E"/>
    <w:rsid w:val="004306ED"/>
    <w:rsid w:val="004408D1"/>
    <w:rsid w:val="00450E49"/>
    <w:rsid w:val="004715BF"/>
    <w:rsid w:val="00471641"/>
    <w:rsid w:val="004843EB"/>
    <w:rsid w:val="00486C6B"/>
    <w:rsid w:val="00493A44"/>
    <w:rsid w:val="004A4389"/>
    <w:rsid w:val="004A6816"/>
    <w:rsid w:val="004D1A04"/>
    <w:rsid w:val="004D1A9B"/>
    <w:rsid w:val="004D763C"/>
    <w:rsid w:val="004E305A"/>
    <w:rsid w:val="004F03B3"/>
    <w:rsid w:val="004F6408"/>
    <w:rsid w:val="005111F8"/>
    <w:rsid w:val="00526A25"/>
    <w:rsid w:val="0053219B"/>
    <w:rsid w:val="005334D9"/>
    <w:rsid w:val="005579F3"/>
    <w:rsid w:val="00560AE7"/>
    <w:rsid w:val="00562DFC"/>
    <w:rsid w:val="00570592"/>
    <w:rsid w:val="00597A48"/>
    <w:rsid w:val="00597F38"/>
    <w:rsid w:val="005A4B47"/>
    <w:rsid w:val="005B1D62"/>
    <w:rsid w:val="005B38EC"/>
    <w:rsid w:val="005C272A"/>
    <w:rsid w:val="005E2B7C"/>
    <w:rsid w:val="005F3C7F"/>
    <w:rsid w:val="00611F29"/>
    <w:rsid w:val="00614AF4"/>
    <w:rsid w:val="00616FB7"/>
    <w:rsid w:val="00633F21"/>
    <w:rsid w:val="0063529C"/>
    <w:rsid w:val="00661EEF"/>
    <w:rsid w:val="00665993"/>
    <w:rsid w:val="00670B83"/>
    <w:rsid w:val="0068778F"/>
    <w:rsid w:val="00687F8E"/>
    <w:rsid w:val="00692B8D"/>
    <w:rsid w:val="006B017C"/>
    <w:rsid w:val="006D1DAF"/>
    <w:rsid w:val="006D65EC"/>
    <w:rsid w:val="006F1E2F"/>
    <w:rsid w:val="00710238"/>
    <w:rsid w:val="00717406"/>
    <w:rsid w:val="00725AA5"/>
    <w:rsid w:val="0073199D"/>
    <w:rsid w:val="007825E9"/>
    <w:rsid w:val="007A093E"/>
    <w:rsid w:val="00802203"/>
    <w:rsid w:val="00804947"/>
    <w:rsid w:val="00863A1A"/>
    <w:rsid w:val="00872A82"/>
    <w:rsid w:val="0089332F"/>
    <w:rsid w:val="008B198F"/>
    <w:rsid w:val="008B545A"/>
    <w:rsid w:val="008B6237"/>
    <w:rsid w:val="008D4FD7"/>
    <w:rsid w:val="008D684B"/>
    <w:rsid w:val="008E599F"/>
    <w:rsid w:val="0091444E"/>
    <w:rsid w:val="0092607D"/>
    <w:rsid w:val="009319B7"/>
    <w:rsid w:val="00937A2C"/>
    <w:rsid w:val="00982BBD"/>
    <w:rsid w:val="009844C4"/>
    <w:rsid w:val="009A6A4A"/>
    <w:rsid w:val="009A7280"/>
    <w:rsid w:val="009D2037"/>
    <w:rsid w:val="009D499F"/>
    <w:rsid w:val="009F58A9"/>
    <w:rsid w:val="00A1175B"/>
    <w:rsid w:val="00A32836"/>
    <w:rsid w:val="00A42BFA"/>
    <w:rsid w:val="00A50849"/>
    <w:rsid w:val="00A654A3"/>
    <w:rsid w:val="00A668F1"/>
    <w:rsid w:val="00A817B8"/>
    <w:rsid w:val="00A873CD"/>
    <w:rsid w:val="00A92D77"/>
    <w:rsid w:val="00AC15C1"/>
    <w:rsid w:val="00AC2D77"/>
    <w:rsid w:val="00AC7361"/>
    <w:rsid w:val="00AD5D72"/>
    <w:rsid w:val="00AF0F30"/>
    <w:rsid w:val="00B01D2A"/>
    <w:rsid w:val="00B01FBC"/>
    <w:rsid w:val="00B0563B"/>
    <w:rsid w:val="00B064A9"/>
    <w:rsid w:val="00B259BB"/>
    <w:rsid w:val="00B2714F"/>
    <w:rsid w:val="00B46E9E"/>
    <w:rsid w:val="00B710FE"/>
    <w:rsid w:val="00B71AC6"/>
    <w:rsid w:val="00B7590E"/>
    <w:rsid w:val="00B94088"/>
    <w:rsid w:val="00BA2FA9"/>
    <w:rsid w:val="00BA6DB2"/>
    <w:rsid w:val="00BC7B9B"/>
    <w:rsid w:val="00BF0933"/>
    <w:rsid w:val="00BF1DB4"/>
    <w:rsid w:val="00C07FF8"/>
    <w:rsid w:val="00C3591E"/>
    <w:rsid w:val="00C454EF"/>
    <w:rsid w:val="00C4673F"/>
    <w:rsid w:val="00C718AC"/>
    <w:rsid w:val="00C97864"/>
    <w:rsid w:val="00CB00FC"/>
    <w:rsid w:val="00CB79CB"/>
    <w:rsid w:val="00CD15C2"/>
    <w:rsid w:val="00CD5505"/>
    <w:rsid w:val="00CD57B9"/>
    <w:rsid w:val="00CE176E"/>
    <w:rsid w:val="00CE6308"/>
    <w:rsid w:val="00CF4318"/>
    <w:rsid w:val="00CF45D4"/>
    <w:rsid w:val="00CF741B"/>
    <w:rsid w:val="00D168F1"/>
    <w:rsid w:val="00D3702D"/>
    <w:rsid w:val="00D635FF"/>
    <w:rsid w:val="00D91059"/>
    <w:rsid w:val="00DB66A5"/>
    <w:rsid w:val="00DE6296"/>
    <w:rsid w:val="00DF47F9"/>
    <w:rsid w:val="00E00536"/>
    <w:rsid w:val="00E2365E"/>
    <w:rsid w:val="00E32090"/>
    <w:rsid w:val="00E3656D"/>
    <w:rsid w:val="00E4486C"/>
    <w:rsid w:val="00E51B8E"/>
    <w:rsid w:val="00E5720D"/>
    <w:rsid w:val="00E7036F"/>
    <w:rsid w:val="00EA5A2A"/>
    <w:rsid w:val="00EC10E6"/>
    <w:rsid w:val="00EC3AFB"/>
    <w:rsid w:val="00EE0D74"/>
    <w:rsid w:val="00EE1EAD"/>
    <w:rsid w:val="00EF4B0E"/>
    <w:rsid w:val="00F02034"/>
    <w:rsid w:val="00F06EFF"/>
    <w:rsid w:val="00F20A3F"/>
    <w:rsid w:val="00F223F8"/>
    <w:rsid w:val="00F22C99"/>
    <w:rsid w:val="00F51ED7"/>
    <w:rsid w:val="00F619A5"/>
    <w:rsid w:val="00F724DA"/>
    <w:rsid w:val="00F77066"/>
    <w:rsid w:val="00F84301"/>
    <w:rsid w:val="00FD1548"/>
    <w:rsid w:val="00FD4788"/>
    <w:rsid w:val="00FE6BEA"/>
    <w:rsid w:val="00FF0088"/>
    <w:rsid w:val="00FF3118"/>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DA47A"/>
  <w14:defaultImageDpi w14:val="330"/>
  <w15:docId w15:val="{D5551E61-9AC2-4CA7-90CC-D1DAB2E9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F07C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499F"/>
    <w:pPr>
      <w:spacing w:before="100" w:beforeAutospacing="1" w:after="100" w:afterAutospacing="1"/>
    </w:pPr>
    <w:rPr>
      <w:rFonts w:ascii="Times" w:hAnsi="Times" w:cs="Times New Roman"/>
      <w:sz w:val="20"/>
      <w:szCs w:val="20"/>
      <w:lang w:val="tr-TR"/>
    </w:rPr>
  </w:style>
  <w:style w:type="character" w:styleId="Gl">
    <w:name w:val="Strong"/>
    <w:basedOn w:val="VarsaylanParagrafYazTipi"/>
    <w:uiPriority w:val="22"/>
    <w:qFormat/>
    <w:rsid w:val="009D499F"/>
    <w:rPr>
      <w:b/>
      <w:bCs/>
    </w:rPr>
  </w:style>
  <w:style w:type="character" w:styleId="Kpr">
    <w:name w:val="Hyperlink"/>
    <w:rsid w:val="00C3591E"/>
  </w:style>
  <w:style w:type="character" w:styleId="zlenenKpr">
    <w:name w:val="FollowedHyperlink"/>
    <w:basedOn w:val="VarsaylanParagrafYazTipi"/>
    <w:uiPriority w:val="99"/>
    <w:semiHidden/>
    <w:unhideWhenUsed/>
    <w:rsid w:val="00C3591E"/>
    <w:rPr>
      <w:color w:val="800080" w:themeColor="followedHyperlink"/>
      <w:u w:val="single"/>
    </w:rPr>
  </w:style>
  <w:style w:type="paragraph" w:styleId="BalonMetni">
    <w:name w:val="Balloon Text"/>
    <w:basedOn w:val="Normal"/>
    <w:link w:val="BalonMetniChar"/>
    <w:uiPriority w:val="99"/>
    <w:semiHidden/>
    <w:unhideWhenUsed/>
    <w:rsid w:val="00163F2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63F2C"/>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6B017C"/>
    <w:rPr>
      <w:sz w:val="18"/>
      <w:szCs w:val="18"/>
    </w:rPr>
  </w:style>
  <w:style w:type="paragraph" w:styleId="AklamaMetni">
    <w:name w:val="annotation text"/>
    <w:basedOn w:val="Normal"/>
    <w:link w:val="AklamaMetniChar"/>
    <w:uiPriority w:val="99"/>
    <w:semiHidden/>
    <w:unhideWhenUsed/>
    <w:rsid w:val="006B017C"/>
  </w:style>
  <w:style w:type="character" w:customStyle="1" w:styleId="AklamaMetniChar">
    <w:name w:val="Açıklama Metni Char"/>
    <w:basedOn w:val="VarsaylanParagrafYazTipi"/>
    <w:link w:val="AklamaMetni"/>
    <w:uiPriority w:val="99"/>
    <w:semiHidden/>
    <w:rsid w:val="006B017C"/>
  </w:style>
  <w:style w:type="paragraph" w:styleId="AklamaKonusu">
    <w:name w:val="annotation subject"/>
    <w:basedOn w:val="AklamaMetni"/>
    <w:next w:val="AklamaMetni"/>
    <w:link w:val="AklamaKonusuChar"/>
    <w:uiPriority w:val="99"/>
    <w:semiHidden/>
    <w:unhideWhenUsed/>
    <w:rsid w:val="006B017C"/>
    <w:rPr>
      <w:b/>
      <w:bCs/>
      <w:sz w:val="20"/>
      <w:szCs w:val="20"/>
    </w:rPr>
  </w:style>
  <w:style w:type="character" w:customStyle="1" w:styleId="AklamaKonusuChar">
    <w:name w:val="Açıklama Konusu Char"/>
    <w:basedOn w:val="AklamaMetniChar"/>
    <w:link w:val="AklamaKonusu"/>
    <w:uiPriority w:val="99"/>
    <w:semiHidden/>
    <w:rsid w:val="006B017C"/>
    <w:rPr>
      <w:b/>
      <w:bCs/>
      <w:sz w:val="20"/>
      <w:szCs w:val="20"/>
    </w:rPr>
  </w:style>
  <w:style w:type="paragraph" w:styleId="DipnotMetni">
    <w:name w:val="footnote text"/>
    <w:basedOn w:val="Normal"/>
    <w:link w:val="DipnotMetniChar1"/>
    <w:uiPriority w:val="99"/>
    <w:semiHidden/>
    <w:unhideWhenUsed/>
    <w:rsid w:val="003867E1"/>
    <w:rPr>
      <w:rFonts w:eastAsiaTheme="minorHAnsi"/>
      <w:sz w:val="20"/>
      <w:szCs w:val="20"/>
    </w:rPr>
  </w:style>
  <w:style w:type="character" w:customStyle="1" w:styleId="DipnotMetniChar">
    <w:name w:val="Dipnot Metni Char"/>
    <w:basedOn w:val="VarsaylanParagrafYazTipi"/>
    <w:uiPriority w:val="99"/>
    <w:semiHidden/>
    <w:rsid w:val="003867E1"/>
    <w:rPr>
      <w:sz w:val="20"/>
      <w:szCs w:val="20"/>
    </w:rPr>
  </w:style>
  <w:style w:type="paragraph" w:styleId="ListeParagraf">
    <w:name w:val="List Paragraph"/>
    <w:basedOn w:val="Normal"/>
    <w:link w:val="ListeParagrafChar"/>
    <w:uiPriority w:val="34"/>
    <w:qFormat/>
    <w:rsid w:val="003867E1"/>
    <w:pPr>
      <w:ind w:left="720"/>
      <w:contextualSpacing/>
    </w:pPr>
    <w:rPr>
      <w:rFonts w:ascii="Calibri" w:eastAsiaTheme="minorHAnsi" w:hAnsi="Calibri" w:cs="Calibri"/>
      <w:sz w:val="22"/>
      <w:szCs w:val="22"/>
    </w:rPr>
  </w:style>
  <w:style w:type="character" w:styleId="DipnotBavurusu">
    <w:name w:val="footnote reference"/>
    <w:basedOn w:val="VarsaylanParagrafYazTipi"/>
    <w:uiPriority w:val="99"/>
    <w:semiHidden/>
    <w:unhideWhenUsed/>
    <w:rsid w:val="003867E1"/>
    <w:rPr>
      <w:vertAlign w:val="superscript"/>
    </w:rPr>
  </w:style>
  <w:style w:type="character" w:customStyle="1" w:styleId="DipnotMetniChar1">
    <w:name w:val="Dipnot Metni Char1"/>
    <w:basedOn w:val="VarsaylanParagrafYazTipi"/>
    <w:link w:val="DipnotMetni"/>
    <w:uiPriority w:val="99"/>
    <w:semiHidden/>
    <w:locked/>
    <w:rsid w:val="003867E1"/>
    <w:rPr>
      <w:rFonts w:eastAsiaTheme="minorHAnsi"/>
      <w:sz w:val="20"/>
      <w:szCs w:val="20"/>
    </w:rPr>
  </w:style>
  <w:style w:type="character" w:customStyle="1" w:styleId="Balk2Char">
    <w:name w:val="Başlık 2 Char"/>
    <w:basedOn w:val="VarsaylanParagrafYazTipi"/>
    <w:link w:val="Balk2"/>
    <w:uiPriority w:val="9"/>
    <w:rsid w:val="000F07C7"/>
    <w:rPr>
      <w:rFonts w:ascii="Times New Roman" w:eastAsia="Times New Roman" w:hAnsi="Times New Roman" w:cs="Times New Roman"/>
      <w:b/>
      <w:bCs/>
      <w:sz w:val="36"/>
      <w:szCs w:val="36"/>
    </w:rPr>
  </w:style>
  <w:style w:type="paragraph" w:customStyle="1" w:styleId="StudyTitle">
    <w:name w:val="Study Title"/>
    <w:basedOn w:val="Normal"/>
    <w:link w:val="StudyTitleChar"/>
    <w:rsid w:val="000F07C7"/>
    <w:pPr>
      <w:spacing w:after="120"/>
      <w:ind w:left="2160" w:hanging="2160"/>
    </w:pPr>
    <w:rPr>
      <w:rFonts w:ascii="Arial" w:eastAsia="Times New Roman" w:hAnsi="Arial" w:cs="Georgia"/>
      <w:color w:val="2B3A42"/>
      <w:sz w:val="32"/>
      <w:szCs w:val="32"/>
    </w:rPr>
  </w:style>
  <w:style w:type="character" w:customStyle="1" w:styleId="StudyTitleChar">
    <w:name w:val="Study Title Char"/>
    <w:link w:val="StudyTitle"/>
    <w:rsid w:val="000F07C7"/>
    <w:rPr>
      <w:rFonts w:ascii="Arial" w:eastAsia="Times New Roman" w:hAnsi="Arial" w:cs="Georgia"/>
      <w:color w:val="2B3A42"/>
      <w:sz w:val="32"/>
      <w:szCs w:val="32"/>
    </w:rPr>
  </w:style>
  <w:style w:type="paragraph" w:customStyle="1" w:styleId="Coverpagecustomername">
    <w:name w:val="Cover page customer name"/>
    <w:basedOn w:val="Normal"/>
    <w:rsid w:val="000F07C7"/>
    <w:pPr>
      <w:spacing w:before="360" w:after="140"/>
      <w:jc w:val="right"/>
    </w:pPr>
    <w:rPr>
      <w:rFonts w:ascii="Arial" w:eastAsia="Times New Roman" w:hAnsi="Arial" w:cs="Times New Roman"/>
      <w:bCs/>
      <w:i/>
      <w:color w:val="00A3E0"/>
      <w:sz w:val="40"/>
      <w:szCs w:val="48"/>
    </w:rPr>
  </w:style>
  <w:style w:type="character" w:customStyle="1" w:styleId="ListeParagrafChar">
    <w:name w:val="Liste Paragraf Char"/>
    <w:basedOn w:val="VarsaylanParagrafYazTipi"/>
    <w:link w:val="ListeParagraf"/>
    <w:uiPriority w:val="34"/>
    <w:rsid w:val="003D40D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5017">
      <w:bodyDiv w:val="1"/>
      <w:marLeft w:val="0"/>
      <w:marRight w:val="0"/>
      <w:marTop w:val="0"/>
      <w:marBottom w:val="0"/>
      <w:divBdr>
        <w:top w:val="none" w:sz="0" w:space="0" w:color="auto"/>
        <w:left w:val="none" w:sz="0" w:space="0" w:color="auto"/>
        <w:bottom w:val="none" w:sz="0" w:space="0" w:color="auto"/>
        <w:right w:val="none" w:sz="0" w:space="0" w:color="auto"/>
      </w:divBdr>
      <w:divsChild>
        <w:div w:id="1075398493">
          <w:marLeft w:val="547"/>
          <w:marRight w:val="0"/>
          <w:marTop w:val="240"/>
          <w:marBottom w:val="0"/>
          <w:divBdr>
            <w:top w:val="none" w:sz="0" w:space="0" w:color="auto"/>
            <w:left w:val="none" w:sz="0" w:space="0" w:color="auto"/>
            <w:bottom w:val="none" w:sz="0" w:space="0" w:color="auto"/>
            <w:right w:val="none" w:sz="0" w:space="0" w:color="auto"/>
          </w:divBdr>
        </w:div>
        <w:div w:id="1960333575">
          <w:marLeft w:val="547"/>
          <w:marRight w:val="0"/>
          <w:marTop w:val="240"/>
          <w:marBottom w:val="0"/>
          <w:divBdr>
            <w:top w:val="none" w:sz="0" w:space="0" w:color="auto"/>
            <w:left w:val="none" w:sz="0" w:space="0" w:color="auto"/>
            <w:bottom w:val="none" w:sz="0" w:space="0" w:color="auto"/>
            <w:right w:val="none" w:sz="0" w:space="0" w:color="auto"/>
          </w:divBdr>
        </w:div>
      </w:divsChild>
    </w:div>
    <w:div w:id="287860107">
      <w:bodyDiv w:val="1"/>
      <w:marLeft w:val="0"/>
      <w:marRight w:val="0"/>
      <w:marTop w:val="0"/>
      <w:marBottom w:val="0"/>
      <w:divBdr>
        <w:top w:val="none" w:sz="0" w:space="0" w:color="auto"/>
        <w:left w:val="none" w:sz="0" w:space="0" w:color="auto"/>
        <w:bottom w:val="none" w:sz="0" w:space="0" w:color="auto"/>
        <w:right w:val="none" w:sz="0" w:space="0" w:color="auto"/>
      </w:divBdr>
    </w:div>
    <w:div w:id="403916562">
      <w:bodyDiv w:val="1"/>
      <w:marLeft w:val="0"/>
      <w:marRight w:val="0"/>
      <w:marTop w:val="0"/>
      <w:marBottom w:val="0"/>
      <w:divBdr>
        <w:top w:val="none" w:sz="0" w:space="0" w:color="auto"/>
        <w:left w:val="none" w:sz="0" w:space="0" w:color="auto"/>
        <w:bottom w:val="none" w:sz="0" w:space="0" w:color="auto"/>
        <w:right w:val="none" w:sz="0" w:space="0" w:color="auto"/>
      </w:divBdr>
    </w:div>
    <w:div w:id="449859342">
      <w:bodyDiv w:val="1"/>
      <w:marLeft w:val="0"/>
      <w:marRight w:val="0"/>
      <w:marTop w:val="0"/>
      <w:marBottom w:val="0"/>
      <w:divBdr>
        <w:top w:val="none" w:sz="0" w:space="0" w:color="auto"/>
        <w:left w:val="none" w:sz="0" w:space="0" w:color="auto"/>
        <w:bottom w:val="none" w:sz="0" w:space="0" w:color="auto"/>
        <w:right w:val="none" w:sz="0" w:space="0" w:color="auto"/>
      </w:divBdr>
    </w:div>
    <w:div w:id="458308149">
      <w:bodyDiv w:val="1"/>
      <w:marLeft w:val="0"/>
      <w:marRight w:val="0"/>
      <w:marTop w:val="0"/>
      <w:marBottom w:val="0"/>
      <w:divBdr>
        <w:top w:val="none" w:sz="0" w:space="0" w:color="auto"/>
        <w:left w:val="none" w:sz="0" w:space="0" w:color="auto"/>
        <w:bottom w:val="none" w:sz="0" w:space="0" w:color="auto"/>
        <w:right w:val="none" w:sz="0" w:space="0" w:color="auto"/>
      </w:divBdr>
      <w:divsChild>
        <w:div w:id="1284574406">
          <w:marLeft w:val="0"/>
          <w:marRight w:val="0"/>
          <w:marTop w:val="0"/>
          <w:marBottom w:val="0"/>
          <w:divBdr>
            <w:top w:val="none" w:sz="0" w:space="0" w:color="auto"/>
            <w:left w:val="none" w:sz="0" w:space="0" w:color="auto"/>
            <w:bottom w:val="none" w:sz="0" w:space="0" w:color="auto"/>
            <w:right w:val="none" w:sz="0" w:space="0" w:color="auto"/>
          </w:divBdr>
          <w:divsChild>
            <w:div w:id="1042707543">
              <w:marLeft w:val="0"/>
              <w:marRight w:val="0"/>
              <w:marTop w:val="0"/>
              <w:marBottom w:val="0"/>
              <w:divBdr>
                <w:top w:val="none" w:sz="0" w:space="0" w:color="auto"/>
                <w:left w:val="none" w:sz="0" w:space="0" w:color="auto"/>
                <w:bottom w:val="none" w:sz="0" w:space="0" w:color="auto"/>
                <w:right w:val="none" w:sz="0" w:space="0" w:color="auto"/>
              </w:divBdr>
              <w:divsChild>
                <w:div w:id="1177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8787">
      <w:bodyDiv w:val="1"/>
      <w:marLeft w:val="0"/>
      <w:marRight w:val="0"/>
      <w:marTop w:val="0"/>
      <w:marBottom w:val="0"/>
      <w:divBdr>
        <w:top w:val="none" w:sz="0" w:space="0" w:color="auto"/>
        <w:left w:val="none" w:sz="0" w:space="0" w:color="auto"/>
        <w:bottom w:val="none" w:sz="0" w:space="0" w:color="auto"/>
        <w:right w:val="none" w:sz="0" w:space="0" w:color="auto"/>
      </w:divBdr>
    </w:div>
    <w:div w:id="676346646">
      <w:bodyDiv w:val="1"/>
      <w:marLeft w:val="0"/>
      <w:marRight w:val="0"/>
      <w:marTop w:val="0"/>
      <w:marBottom w:val="0"/>
      <w:divBdr>
        <w:top w:val="none" w:sz="0" w:space="0" w:color="auto"/>
        <w:left w:val="none" w:sz="0" w:space="0" w:color="auto"/>
        <w:bottom w:val="none" w:sz="0" w:space="0" w:color="auto"/>
        <w:right w:val="none" w:sz="0" w:space="0" w:color="auto"/>
      </w:divBdr>
    </w:div>
    <w:div w:id="1052996387">
      <w:bodyDiv w:val="1"/>
      <w:marLeft w:val="0"/>
      <w:marRight w:val="0"/>
      <w:marTop w:val="0"/>
      <w:marBottom w:val="0"/>
      <w:divBdr>
        <w:top w:val="none" w:sz="0" w:space="0" w:color="auto"/>
        <w:left w:val="none" w:sz="0" w:space="0" w:color="auto"/>
        <w:bottom w:val="none" w:sz="0" w:space="0" w:color="auto"/>
        <w:right w:val="none" w:sz="0" w:space="0" w:color="auto"/>
      </w:divBdr>
    </w:div>
    <w:div w:id="1209995453">
      <w:bodyDiv w:val="1"/>
      <w:marLeft w:val="0"/>
      <w:marRight w:val="0"/>
      <w:marTop w:val="0"/>
      <w:marBottom w:val="0"/>
      <w:divBdr>
        <w:top w:val="none" w:sz="0" w:space="0" w:color="auto"/>
        <w:left w:val="none" w:sz="0" w:space="0" w:color="auto"/>
        <w:bottom w:val="none" w:sz="0" w:space="0" w:color="auto"/>
        <w:right w:val="none" w:sz="0" w:space="0" w:color="auto"/>
      </w:divBdr>
      <w:divsChild>
        <w:div w:id="1287278633">
          <w:marLeft w:val="0"/>
          <w:marRight w:val="0"/>
          <w:marTop w:val="0"/>
          <w:marBottom w:val="0"/>
          <w:divBdr>
            <w:top w:val="none" w:sz="0" w:space="0" w:color="auto"/>
            <w:left w:val="none" w:sz="0" w:space="0" w:color="auto"/>
            <w:bottom w:val="none" w:sz="0" w:space="0" w:color="auto"/>
            <w:right w:val="none" w:sz="0" w:space="0" w:color="auto"/>
          </w:divBdr>
          <w:divsChild>
            <w:div w:id="1595439411">
              <w:marLeft w:val="0"/>
              <w:marRight w:val="0"/>
              <w:marTop w:val="0"/>
              <w:marBottom w:val="0"/>
              <w:divBdr>
                <w:top w:val="none" w:sz="0" w:space="0" w:color="auto"/>
                <w:left w:val="none" w:sz="0" w:space="0" w:color="auto"/>
                <w:bottom w:val="none" w:sz="0" w:space="0" w:color="auto"/>
                <w:right w:val="none" w:sz="0" w:space="0" w:color="auto"/>
              </w:divBdr>
              <w:divsChild>
                <w:div w:id="941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1747">
      <w:bodyDiv w:val="1"/>
      <w:marLeft w:val="0"/>
      <w:marRight w:val="0"/>
      <w:marTop w:val="0"/>
      <w:marBottom w:val="0"/>
      <w:divBdr>
        <w:top w:val="none" w:sz="0" w:space="0" w:color="auto"/>
        <w:left w:val="none" w:sz="0" w:space="0" w:color="auto"/>
        <w:bottom w:val="none" w:sz="0" w:space="0" w:color="auto"/>
        <w:right w:val="none" w:sz="0" w:space="0" w:color="auto"/>
      </w:divBdr>
    </w:div>
    <w:div w:id="1247035035">
      <w:bodyDiv w:val="1"/>
      <w:marLeft w:val="0"/>
      <w:marRight w:val="0"/>
      <w:marTop w:val="0"/>
      <w:marBottom w:val="0"/>
      <w:divBdr>
        <w:top w:val="none" w:sz="0" w:space="0" w:color="auto"/>
        <w:left w:val="none" w:sz="0" w:space="0" w:color="auto"/>
        <w:bottom w:val="none" w:sz="0" w:space="0" w:color="auto"/>
        <w:right w:val="none" w:sz="0" w:space="0" w:color="auto"/>
      </w:divBdr>
    </w:div>
    <w:div w:id="1368989588">
      <w:bodyDiv w:val="1"/>
      <w:marLeft w:val="0"/>
      <w:marRight w:val="0"/>
      <w:marTop w:val="0"/>
      <w:marBottom w:val="0"/>
      <w:divBdr>
        <w:top w:val="none" w:sz="0" w:space="0" w:color="auto"/>
        <w:left w:val="none" w:sz="0" w:space="0" w:color="auto"/>
        <w:bottom w:val="none" w:sz="0" w:space="0" w:color="auto"/>
        <w:right w:val="none" w:sz="0" w:space="0" w:color="auto"/>
      </w:divBdr>
    </w:div>
    <w:div w:id="1451901658">
      <w:bodyDiv w:val="1"/>
      <w:marLeft w:val="0"/>
      <w:marRight w:val="0"/>
      <w:marTop w:val="0"/>
      <w:marBottom w:val="0"/>
      <w:divBdr>
        <w:top w:val="none" w:sz="0" w:space="0" w:color="auto"/>
        <w:left w:val="none" w:sz="0" w:space="0" w:color="auto"/>
        <w:bottom w:val="none" w:sz="0" w:space="0" w:color="auto"/>
        <w:right w:val="none" w:sz="0" w:space="0" w:color="auto"/>
      </w:divBdr>
    </w:div>
    <w:div w:id="1471168177">
      <w:bodyDiv w:val="1"/>
      <w:marLeft w:val="0"/>
      <w:marRight w:val="0"/>
      <w:marTop w:val="0"/>
      <w:marBottom w:val="0"/>
      <w:divBdr>
        <w:top w:val="none" w:sz="0" w:space="0" w:color="auto"/>
        <w:left w:val="none" w:sz="0" w:space="0" w:color="auto"/>
        <w:bottom w:val="none" w:sz="0" w:space="0" w:color="auto"/>
        <w:right w:val="none" w:sz="0" w:space="0" w:color="auto"/>
      </w:divBdr>
    </w:div>
    <w:div w:id="1513716142">
      <w:bodyDiv w:val="1"/>
      <w:marLeft w:val="0"/>
      <w:marRight w:val="0"/>
      <w:marTop w:val="0"/>
      <w:marBottom w:val="0"/>
      <w:divBdr>
        <w:top w:val="none" w:sz="0" w:space="0" w:color="auto"/>
        <w:left w:val="none" w:sz="0" w:space="0" w:color="auto"/>
        <w:bottom w:val="none" w:sz="0" w:space="0" w:color="auto"/>
        <w:right w:val="none" w:sz="0" w:space="0" w:color="auto"/>
      </w:divBdr>
    </w:div>
    <w:div w:id="1572933794">
      <w:bodyDiv w:val="1"/>
      <w:marLeft w:val="0"/>
      <w:marRight w:val="0"/>
      <w:marTop w:val="0"/>
      <w:marBottom w:val="0"/>
      <w:divBdr>
        <w:top w:val="none" w:sz="0" w:space="0" w:color="auto"/>
        <w:left w:val="none" w:sz="0" w:space="0" w:color="auto"/>
        <w:bottom w:val="none" w:sz="0" w:space="0" w:color="auto"/>
        <w:right w:val="none" w:sz="0" w:space="0" w:color="auto"/>
      </w:divBdr>
    </w:div>
    <w:div w:id="1576821014">
      <w:bodyDiv w:val="1"/>
      <w:marLeft w:val="0"/>
      <w:marRight w:val="0"/>
      <w:marTop w:val="0"/>
      <w:marBottom w:val="0"/>
      <w:divBdr>
        <w:top w:val="none" w:sz="0" w:space="0" w:color="auto"/>
        <w:left w:val="none" w:sz="0" w:space="0" w:color="auto"/>
        <w:bottom w:val="none" w:sz="0" w:space="0" w:color="auto"/>
        <w:right w:val="none" w:sz="0" w:space="0" w:color="auto"/>
      </w:divBdr>
    </w:div>
    <w:div w:id="1692337425">
      <w:bodyDiv w:val="1"/>
      <w:marLeft w:val="0"/>
      <w:marRight w:val="0"/>
      <w:marTop w:val="0"/>
      <w:marBottom w:val="0"/>
      <w:divBdr>
        <w:top w:val="none" w:sz="0" w:space="0" w:color="auto"/>
        <w:left w:val="none" w:sz="0" w:space="0" w:color="auto"/>
        <w:bottom w:val="none" w:sz="0" w:space="0" w:color="auto"/>
        <w:right w:val="none" w:sz="0" w:space="0" w:color="auto"/>
      </w:divBdr>
      <w:divsChild>
        <w:div w:id="1760642639">
          <w:marLeft w:val="0"/>
          <w:marRight w:val="0"/>
          <w:marTop w:val="0"/>
          <w:marBottom w:val="0"/>
          <w:divBdr>
            <w:top w:val="none" w:sz="0" w:space="0" w:color="auto"/>
            <w:left w:val="none" w:sz="0" w:space="0" w:color="auto"/>
            <w:bottom w:val="none" w:sz="0" w:space="0" w:color="auto"/>
            <w:right w:val="none" w:sz="0" w:space="0" w:color="auto"/>
          </w:divBdr>
          <w:divsChild>
            <w:div w:id="631791008">
              <w:marLeft w:val="0"/>
              <w:marRight w:val="0"/>
              <w:marTop w:val="0"/>
              <w:marBottom w:val="0"/>
              <w:divBdr>
                <w:top w:val="none" w:sz="0" w:space="0" w:color="auto"/>
                <w:left w:val="none" w:sz="0" w:space="0" w:color="auto"/>
                <w:bottom w:val="none" w:sz="0" w:space="0" w:color="auto"/>
                <w:right w:val="none" w:sz="0" w:space="0" w:color="auto"/>
              </w:divBdr>
              <w:divsChild>
                <w:div w:id="19065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307">
      <w:bodyDiv w:val="1"/>
      <w:marLeft w:val="0"/>
      <w:marRight w:val="0"/>
      <w:marTop w:val="0"/>
      <w:marBottom w:val="0"/>
      <w:divBdr>
        <w:top w:val="none" w:sz="0" w:space="0" w:color="auto"/>
        <w:left w:val="none" w:sz="0" w:space="0" w:color="auto"/>
        <w:bottom w:val="none" w:sz="0" w:space="0" w:color="auto"/>
        <w:right w:val="none" w:sz="0" w:space="0" w:color="auto"/>
      </w:divBdr>
    </w:div>
    <w:div w:id="1767731819">
      <w:bodyDiv w:val="1"/>
      <w:marLeft w:val="0"/>
      <w:marRight w:val="0"/>
      <w:marTop w:val="0"/>
      <w:marBottom w:val="0"/>
      <w:divBdr>
        <w:top w:val="none" w:sz="0" w:space="0" w:color="auto"/>
        <w:left w:val="none" w:sz="0" w:space="0" w:color="auto"/>
        <w:bottom w:val="none" w:sz="0" w:space="0" w:color="auto"/>
        <w:right w:val="none" w:sz="0" w:space="0" w:color="auto"/>
      </w:divBdr>
    </w:div>
    <w:div w:id="207592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30616-1164-1E41-95E1-B56B176F7A96}">
  <ds:schemaRefs>
    <ds:schemaRef ds:uri="http://schemas.openxmlformats.org/officeDocument/2006/bibliography"/>
  </ds:schemaRefs>
</ds:datastoreItem>
</file>

<file path=customXml/itemProps2.xml><?xml version="1.0" encoding="utf-8"?>
<ds:datastoreItem xmlns:ds="http://schemas.openxmlformats.org/officeDocument/2006/customXml" ds:itemID="{686D1B43-AB8E-485C-BE57-2D429C339FC2}">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BC9ECBB6-F7F4-4B59-A0F5-BDE60294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20134-C7FA-4764-88E7-9AFA23614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1751</Words>
  <Characters>9985</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Eryigit</dc:creator>
  <cp:keywords/>
  <dc:description/>
  <cp:lastModifiedBy>Eray Cosan</cp:lastModifiedBy>
  <cp:revision>7</cp:revision>
  <cp:lastPrinted>2020-02-13T13:17:00Z</cp:lastPrinted>
  <dcterms:created xsi:type="dcterms:W3CDTF">2020-09-17T10:29:00Z</dcterms:created>
  <dcterms:modified xsi:type="dcterms:W3CDTF">2020-09-17T15:13:00Z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