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EED0" w14:textId="28103823" w:rsidR="00DF1F44" w:rsidRPr="00BE2D6F" w:rsidRDefault="00DF1F44" w:rsidP="00BE2D6F">
      <w:pPr>
        <w:pBdr>
          <w:bottom w:val="single" w:sz="4" w:space="1" w:color="auto"/>
        </w:pBdr>
        <w:rPr>
          <w:rFonts w:ascii="Tahoma" w:eastAsia="Tahoma" w:hAnsi="Tahoma" w:cs="Tahoma"/>
          <w:b/>
          <w:bCs/>
        </w:rPr>
      </w:pPr>
      <w:r w:rsidRPr="00BE2D6F">
        <w:rPr>
          <w:rFonts w:ascii="Tahoma" w:eastAsia="Tahoma" w:hAnsi="Tahoma" w:cs="Tahoma"/>
          <w:b/>
          <w:bCs/>
        </w:rPr>
        <w:t>BASIN BÜLTENİ</w:t>
      </w:r>
      <w:r w:rsidRPr="00BE2D6F">
        <w:tab/>
      </w:r>
      <w:r w:rsidRPr="00BE2D6F">
        <w:tab/>
      </w:r>
      <w:r w:rsidRPr="00BE2D6F">
        <w:tab/>
      </w:r>
      <w:r w:rsidRPr="00BE2D6F">
        <w:tab/>
      </w:r>
      <w:r w:rsidRPr="00BE2D6F">
        <w:tab/>
      </w:r>
      <w:r w:rsidRPr="00BE2D6F">
        <w:rPr>
          <w:rFonts w:ascii="Tahoma" w:eastAsia="Tahoma" w:hAnsi="Tahoma" w:cs="Tahoma"/>
          <w:b/>
          <w:bCs/>
        </w:rPr>
        <w:t xml:space="preserve">                                            </w:t>
      </w:r>
      <w:r w:rsidR="00BE2D6F">
        <w:rPr>
          <w:rFonts w:ascii="Tahoma" w:eastAsia="Tahoma" w:hAnsi="Tahoma" w:cs="Tahoma"/>
          <w:b/>
          <w:bCs/>
        </w:rPr>
        <w:t xml:space="preserve">      </w:t>
      </w:r>
      <w:r w:rsidR="780E861E" w:rsidRPr="00BE2D6F">
        <w:rPr>
          <w:rFonts w:ascii="Tahoma" w:eastAsia="Tahoma" w:hAnsi="Tahoma" w:cs="Tahoma"/>
          <w:b/>
          <w:bCs/>
        </w:rPr>
        <w:t>17</w:t>
      </w:r>
      <w:r w:rsidRPr="00BE2D6F">
        <w:rPr>
          <w:rFonts w:ascii="Tahoma" w:eastAsia="Tahoma" w:hAnsi="Tahoma" w:cs="Tahoma"/>
          <w:b/>
          <w:bCs/>
        </w:rPr>
        <w:t>.03.2023</w:t>
      </w:r>
    </w:p>
    <w:p w14:paraId="389539D0" w14:textId="77777777" w:rsidR="00DF1F44" w:rsidRPr="00DF1F44" w:rsidRDefault="00DF1F44" w:rsidP="00DF1F44">
      <w:pPr>
        <w:pStyle w:val="Balk1"/>
        <w:spacing w:line="300" w:lineRule="auto"/>
        <w:rPr>
          <w:rFonts w:ascii="Arial" w:hAnsi="Arial" w:cs="Arial"/>
          <w:sz w:val="22"/>
          <w:szCs w:val="22"/>
        </w:rPr>
      </w:pPr>
    </w:p>
    <w:p w14:paraId="654DDAC9" w14:textId="102E21FF" w:rsidR="00DF1F44" w:rsidRDefault="00DF1F44" w:rsidP="007926FE">
      <w:pPr>
        <w:spacing w:before="0" w:after="0"/>
        <w:contextualSpacing/>
        <w:jc w:val="center"/>
        <w:rPr>
          <w:rFonts w:ascii="Arial" w:hAnsi="Arial" w:cs="Arial"/>
          <w:b/>
          <w:bCs/>
          <w:sz w:val="40"/>
          <w:szCs w:val="40"/>
        </w:rPr>
      </w:pPr>
      <w:r w:rsidRPr="00DF1F44">
        <w:rPr>
          <w:rFonts w:ascii="Arial" w:hAnsi="Arial" w:cs="Arial"/>
          <w:b/>
          <w:bCs/>
          <w:sz w:val="40"/>
          <w:szCs w:val="40"/>
        </w:rPr>
        <w:t>Türkiye ve Avrupa’da en uzun galibiyet ve yenilmezlik serileri</w:t>
      </w:r>
    </w:p>
    <w:p w14:paraId="7420A84F" w14:textId="77777777" w:rsidR="007926FE" w:rsidRDefault="007926FE" w:rsidP="007926FE">
      <w:pPr>
        <w:spacing w:before="0" w:after="0"/>
        <w:contextualSpacing/>
        <w:jc w:val="center"/>
        <w:rPr>
          <w:rFonts w:ascii="Arial" w:hAnsi="Arial" w:cs="Arial"/>
          <w:b/>
          <w:bCs/>
          <w:sz w:val="24"/>
          <w:szCs w:val="24"/>
        </w:rPr>
      </w:pPr>
    </w:p>
    <w:p w14:paraId="4FD1C067" w14:textId="47424D83" w:rsidR="007926FE" w:rsidRDefault="007926FE" w:rsidP="00E15AB4">
      <w:pPr>
        <w:spacing w:before="0" w:after="0"/>
        <w:contextualSpacing/>
        <w:jc w:val="center"/>
        <w:rPr>
          <w:rFonts w:ascii="Arial" w:hAnsi="Arial" w:cs="Arial"/>
          <w:b/>
          <w:bCs/>
          <w:sz w:val="24"/>
          <w:szCs w:val="24"/>
        </w:rPr>
      </w:pPr>
      <w:r w:rsidRPr="007926FE">
        <w:rPr>
          <w:rFonts w:ascii="Arial" w:hAnsi="Arial" w:cs="Arial"/>
          <w:b/>
          <w:bCs/>
          <w:sz w:val="24"/>
          <w:szCs w:val="24"/>
        </w:rPr>
        <w:t xml:space="preserve">KPMG </w:t>
      </w:r>
      <w:proofErr w:type="spellStart"/>
      <w:r w:rsidRPr="007926FE">
        <w:rPr>
          <w:rFonts w:ascii="Arial" w:hAnsi="Arial" w:cs="Arial"/>
          <w:b/>
          <w:bCs/>
          <w:sz w:val="24"/>
          <w:szCs w:val="24"/>
        </w:rPr>
        <w:t>SportsBusiness</w:t>
      </w:r>
      <w:proofErr w:type="spellEnd"/>
      <w:r w:rsidRPr="007926FE">
        <w:rPr>
          <w:rFonts w:ascii="Arial" w:hAnsi="Arial" w:cs="Arial"/>
          <w:b/>
          <w:bCs/>
          <w:sz w:val="24"/>
          <w:szCs w:val="24"/>
        </w:rPr>
        <w:t xml:space="preserve"> Ekibi, Türkiye ve Avrupa’daki en uzun galibiyet ve yenilmezlik serilerini mercek altına aldı.</w:t>
      </w:r>
      <w:r>
        <w:rPr>
          <w:rFonts w:ascii="Arial" w:hAnsi="Arial" w:cs="Arial"/>
          <w:b/>
          <w:bCs/>
          <w:sz w:val="24"/>
          <w:szCs w:val="24"/>
        </w:rPr>
        <w:t xml:space="preserve"> Türkiye’de </w:t>
      </w:r>
      <w:r w:rsidRPr="007926FE">
        <w:rPr>
          <w:rFonts w:ascii="Arial" w:hAnsi="Arial" w:cs="Arial"/>
          <w:b/>
          <w:bCs/>
          <w:sz w:val="24"/>
          <w:szCs w:val="24"/>
        </w:rPr>
        <w:t>Galatasaray</w:t>
      </w:r>
      <w:r>
        <w:rPr>
          <w:rFonts w:ascii="Arial" w:hAnsi="Arial" w:cs="Arial"/>
          <w:b/>
          <w:bCs/>
          <w:sz w:val="24"/>
          <w:szCs w:val="24"/>
        </w:rPr>
        <w:t xml:space="preserve"> </w:t>
      </w:r>
      <w:r w:rsidRPr="007926FE">
        <w:rPr>
          <w:rFonts w:ascii="Arial" w:hAnsi="Arial" w:cs="Arial"/>
          <w:b/>
          <w:bCs/>
          <w:sz w:val="24"/>
          <w:szCs w:val="24"/>
        </w:rPr>
        <w:t>Süper Lig tarihindeki en uzun galibiyet serisine sahip takım unvanını kazan</w:t>
      </w:r>
      <w:r>
        <w:rPr>
          <w:rFonts w:ascii="Arial" w:hAnsi="Arial" w:cs="Arial"/>
          <w:b/>
          <w:bCs/>
          <w:sz w:val="24"/>
          <w:szCs w:val="24"/>
        </w:rPr>
        <w:t>ırken e</w:t>
      </w:r>
      <w:r w:rsidRPr="007926FE">
        <w:rPr>
          <w:rFonts w:ascii="Arial" w:hAnsi="Arial" w:cs="Arial"/>
          <w:b/>
          <w:bCs/>
          <w:sz w:val="24"/>
          <w:szCs w:val="24"/>
        </w:rPr>
        <w:t xml:space="preserve">n uzun süre yenilmeyen ekip unvanı ise Beşiktaş’ta bulunuyor. </w:t>
      </w:r>
      <w:r>
        <w:rPr>
          <w:rFonts w:ascii="Arial" w:hAnsi="Arial" w:cs="Arial"/>
          <w:b/>
          <w:bCs/>
          <w:sz w:val="24"/>
          <w:szCs w:val="24"/>
        </w:rPr>
        <w:t xml:space="preserve">Avrupa’da ise </w:t>
      </w:r>
      <w:r w:rsidRPr="007926FE">
        <w:rPr>
          <w:rFonts w:ascii="Arial" w:hAnsi="Arial" w:cs="Arial"/>
          <w:b/>
          <w:bCs/>
          <w:sz w:val="24"/>
          <w:szCs w:val="24"/>
        </w:rPr>
        <w:t>Benfica,</w:t>
      </w:r>
      <w:r>
        <w:rPr>
          <w:rFonts w:ascii="Arial" w:hAnsi="Arial" w:cs="Arial"/>
          <w:b/>
          <w:bCs/>
          <w:sz w:val="24"/>
          <w:szCs w:val="24"/>
        </w:rPr>
        <w:t xml:space="preserve"> </w:t>
      </w:r>
      <w:r w:rsidRPr="007926FE">
        <w:rPr>
          <w:rFonts w:ascii="Arial" w:hAnsi="Arial" w:cs="Arial"/>
          <w:b/>
          <w:bCs/>
          <w:sz w:val="24"/>
          <w:szCs w:val="24"/>
        </w:rPr>
        <w:t xml:space="preserve">üst üste galibiyet </w:t>
      </w:r>
      <w:r>
        <w:rPr>
          <w:rFonts w:ascii="Arial" w:hAnsi="Arial" w:cs="Arial"/>
          <w:b/>
          <w:bCs/>
          <w:sz w:val="24"/>
          <w:szCs w:val="24"/>
        </w:rPr>
        <w:t xml:space="preserve">serisinin </w:t>
      </w:r>
      <w:r w:rsidRPr="007926FE">
        <w:rPr>
          <w:rFonts w:ascii="Arial" w:hAnsi="Arial" w:cs="Arial"/>
          <w:b/>
          <w:bCs/>
          <w:sz w:val="24"/>
          <w:szCs w:val="24"/>
        </w:rPr>
        <w:t>lider</w:t>
      </w:r>
      <w:r>
        <w:rPr>
          <w:rFonts w:ascii="Arial" w:hAnsi="Arial" w:cs="Arial"/>
          <w:b/>
          <w:bCs/>
          <w:sz w:val="24"/>
          <w:szCs w:val="24"/>
        </w:rPr>
        <w:t>i</w:t>
      </w:r>
      <w:r w:rsidRPr="007926FE">
        <w:rPr>
          <w:rFonts w:ascii="Arial" w:hAnsi="Arial" w:cs="Arial"/>
          <w:b/>
          <w:bCs/>
          <w:sz w:val="24"/>
          <w:szCs w:val="24"/>
        </w:rPr>
        <w:t xml:space="preserve"> konumda</w:t>
      </w:r>
      <w:r>
        <w:rPr>
          <w:rFonts w:ascii="Arial" w:hAnsi="Arial" w:cs="Arial"/>
          <w:b/>
          <w:bCs/>
          <w:sz w:val="24"/>
          <w:szCs w:val="24"/>
        </w:rPr>
        <w:t xml:space="preserve"> iken </w:t>
      </w:r>
      <w:r w:rsidRPr="007926FE">
        <w:rPr>
          <w:rFonts w:ascii="Arial" w:hAnsi="Arial" w:cs="Arial"/>
          <w:b/>
          <w:bCs/>
          <w:sz w:val="24"/>
          <w:szCs w:val="24"/>
        </w:rPr>
        <w:t>en uzun süre namağlup olarak ilerleyen takım Romanya temsilcisi FCSB</w:t>
      </w:r>
      <w:r>
        <w:rPr>
          <w:rFonts w:ascii="Arial" w:hAnsi="Arial" w:cs="Arial"/>
          <w:b/>
          <w:bCs/>
          <w:sz w:val="24"/>
          <w:szCs w:val="24"/>
        </w:rPr>
        <w:t xml:space="preserve"> oldu.</w:t>
      </w:r>
    </w:p>
    <w:p w14:paraId="681ADC90" w14:textId="77777777" w:rsidR="007926FE" w:rsidRPr="00DF1F44" w:rsidRDefault="007926FE" w:rsidP="007926FE">
      <w:pPr>
        <w:spacing w:before="0" w:after="0"/>
        <w:contextualSpacing/>
        <w:jc w:val="center"/>
        <w:rPr>
          <w:rFonts w:ascii="Arial" w:hAnsi="Arial" w:cs="Arial"/>
          <w:sz w:val="22"/>
          <w:szCs w:val="22"/>
        </w:rPr>
      </w:pPr>
    </w:p>
    <w:p w14:paraId="2AF0463F" w14:textId="67CA44B7" w:rsidR="00871344" w:rsidRPr="00DF1F44" w:rsidRDefault="00871344" w:rsidP="00DF1F44">
      <w:pPr>
        <w:spacing w:before="0" w:after="0" w:line="300" w:lineRule="auto"/>
        <w:contextualSpacing/>
        <w:rPr>
          <w:rFonts w:ascii="Arial" w:hAnsi="Arial" w:cs="Arial"/>
          <w:sz w:val="22"/>
          <w:szCs w:val="22"/>
        </w:rPr>
      </w:pPr>
      <w:r w:rsidRPr="007926FE">
        <w:rPr>
          <w:rFonts w:ascii="Arial" w:hAnsi="Arial" w:cs="Arial"/>
          <w:sz w:val="22"/>
          <w:szCs w:val="22"/>
        </w:rPr>
        <w:t xml:space="preserve">Galatasaray, Nef </w:t>
      </w:r>
      <w:r w:rsidR="001D507F" w:rsidRPr="007926FE">
        <w:rPr>
          <w:rFonts w:ascii="Arial" w:hAnsi="Arial" w:cs="Arial"/>
          <w:sz w:val="22"/>
          <w:szCs w:val="22"/>
        </w:rPr>
        <w:t>Stadyumu’nda</w:t>
      </w:r>
      <w:r w:rsidRPr="007926FE">
        <w:rPr>
          <w:rFonts w:ascii="Arial" w:hAnsi="Arial" w:cs="Arial"/>
          <w:sz w:val="22"/>
          <w:szCs w:val="22"/>
        </w:rPr>
        <w:t xml:space="preserve"> Kasımpaşa’yı </w:t>
      </w:r>
      <w:proofErr w:type="gramStart"/>
      <w:r w:rsidRPr="007926FE">
        <w:rPr>
          <w:rFonts w:ascii="Arial" w:hAnsi="Arial" w:cs="Arial"/>
          <w:sz w:val="22"/>
          <w:szCs w:val="22"/>
        </w:rPr>
        <w:t>1</w:t>
      </w:r>
      <w:r w:rsidR="00DF1F44" w:rsidRPr="007A50C4">
        <w:rPr>
          <w:rFonts w:ascii="Arial" w:hAnsi="Arial" w:cs="Arial"/>
          <w:sz w:val="22"/>
          <w:szCs w:val="22"/>
        </w:rPr>
        <w:t xml:space="preserve"> </w:t>
      </w:r>
      <w:r w:rsidRPr="007926FE">
        <w:rPr>
          <w:rFonts w:ascii="Arial" w:hAnsi="Arial" w:cs="Arial"/>
          <w:sz w:val="22"/>
          <w:szCs w:val="22"/>
        </w:rPr>
        <w:t>-</w:t>
      </w:r>
      <w:proofErr w:type="gramEnd"/>
      <w:r w:rsidR="00DF1F44" w:rsidRPr="007926FE">
        <w:rPr>
          <w:rFonts w:ascii="Arial" w:hAnsi="Arial" w:cs="Arial"/>
          <w:sz w:val="22"/>
          <w:szCs w:val="22"/>
        </w:rPr>
        <w:t xml:space="preserve"> </w:t>
      </w:r>
      <w:r w:rsidRPr="007926FE">
        <w:rPr>
          <w:rFonts w:ascii="Arial" w:hAnsi="Arial" w:cs="Arial"/>
          <w:sz w:val="22"/>
          <w:szCs w:val="22"/>
        </w:rPr>
        <w:t xml:space="preserve">0 mağlup ettiği mücadelenin ardından 3 puanın yanı sıra 14 maç ile Süper Lig tarihindeki en uzun galibiyet serisine sahip takım unvanını da kazandı. </w:t>
      </w:r>
      <w:proofErr w:type="gramStart"/>
      <w:r w:rsidRPr="007926FE">
        <w:rPr>
          <w:rFonts w:ascii="Arial" w:hAnsi="Arial" w:cs="Arial"/>
          <w:sz w:val="22"/>
          <w:szCs w:val="22"/>
        </w:rPr>
        <w:t>1959</w:t>
      </w:r>
      <w:r w:rsidR="00DF1F44">
        <w:rPr>
          <w:rFonts w:ascii="Arial" w:hAnsi="Arial" w:cs="Arial"/>
          <w:sz w:val="22"/>
          <w:szCs w:val="22"/>
        </w:rPr>
        <w:t xml:space="preserve"> </w:t>
      </w:r>
      <w:r w:rsidRPr="00DF1F44">
        <w:rPr>
          <w:rFonts w:ascii="Arial" w:hAnsi="Arial" w:cs="Arial"/>
          <w:sz w:val="22"/>
          <w:szCs w:val="22"/>
        </w:rPr>
        <w:t>-</w:t>
      </w:r>
      <w:proofErr w:type="gramEnd"/>
      <w:r w:rsidR="00DF1F44">
        <w:rPr>
          <w:rFonts w:ascii="Arial" w:hAnsi="Arial" w:cs="Arial"/>
          <w:sz w:val="22"/>
          <w:szCs w:val="22"/>
        </w:rPr>
        <w:t xml:space="preserve"> </w:t>
      </w:r>
      <w:r w:rsidRPr="00DF1F44">
        <w:rPr>
          <w:rFonts w:ascii="Arial" w:hAnsi="Arial" w:cs="Arial"/>
          <w:sz w:val="22"/>
          <w:szCs w:val="22"/>
        </w:rPr>
        <w:t>1960 sezonunda üst üste 13 maç kazanan Beşiktaş</w:t>
      </w:r>
      <w:r w:rsidR="0091222E" w:rsidRPr="00DF1F44">
        <w:rPr>
          <w:rFonts w:ascii="Arial" w:hAnsi="Arial" w:cs="Arial"/>
          <w:sz w:val="22"/>
          <w:szCs w:val="22"/>
        </w:rPr>
        <w:t xml:space="preserve">, </w:t>
      </w:r>
      <w:r w:rsidRPr="00DF1F44">
        <w:rPr>
          <w:rFonts w:ascii="Arial" w:hAnsi="Arial" w:cs="Arial"/>
          <w:sz w:val="22"/>
          <w:szCs w:val="22"/>
        </w:rPr>
        <w:t xml:space="preserve">bu rekoru tam </w:t>
      </w:r>
      <w:r w:rsidR="00784AEE" w:rsidRPr="00DF1F44">
        <w:rPr>
          <w:rFonts w:ascii="Arial" w:hAnsi="Arial" w:cs="Arial"/>
          <w:sz w:val="22"/>
          <w:szCs w:val="22"/>
        </w:rPr>
        <w:t>6</w:t>
      </w:r>
      <w:r w:rsidRPr="00DF1F44">
        <w:rPr>
          <w:rFonts w:ascii="Arial" w:hAnsi="Arial" w:cs="Arial"/>
          <w:sz w:val="22"/>
          <w:szCs w:val="22"/>
        </w:rPr>
        <w:t xml:space="preserve">3 yıl sonra Galatasaray’a bıraktı. </w:t>
      </w:r>
      <w:r w:rsidRPr="007926FE">
        <w:rPr>
          <w:rFonts w:ascii="Arial" w:hAnsi="Arial" w:cs="Arial"/>
          <w:sz w:val="22"/>
          <w:szCs w:val="22"/>
        </w:rPr>
        <w:t xml:space="preserve">En uzun süre yenilmeyen ekip unvanı ise hala </w:t>
      </w:r>
      <w:proofErr w:type="gramStart"/>
      <w:r w:rsidRPr="007926FE">
        <w:rPr>
          <w:rFonts w:ascii="Arial" w:hAnsi="Arial" w:cs="Arial"/>
          <w:sz w:val="22"/>
          <w:szCs w:val="22"/>
        </w:rPr>
        <w:t>1991</w:t>
      </w:r>
      <w:r w:rsidR="00DF1F44" w:rsidRPr="007926FE">
        <w:rPr>
          <w:rFonts w:ascii="Arial" w:hAnsi="Arial" w:cs="Arial"/>
          <w:sz w:val="22"/>
          <w:szCs w:val="22"/>
        </w:rPr>
        <w:t xml:space="preserve"> </w:t>
      </w:r>
      <w:r w:rsidRPr="007926FE">
        <w:rPr>
          <w:rFonts w:ascii="Arial" w:hAnsi="Arial" w:cs="Arial"/>
          <w:sz w:val="22"/>
          <w:szCs w:val="22"/>
        </w:rPr>
        <w:t>-</w:t>
      </w:r>
      <w:proofErr w:type="gramEnd"/>
      <w:r w:rsidR="00DF1F44" w:rsidRPr="007926FE">
        <w:rPr>
          <w:rFonts w:ascii="Arial" w:hAnsi="Arial" w:cs="Arial"/>
          <w:sz w:val="22"/>
          <w:szCs w:val="22"/>
        </w:rPr>
        <w:t xml:space="preserve"> </w:t>
      </w:r>
      <w:r w:rsidRPr="007926FE">
        <w:rPr>
          <w:rFonts w:ascii="Arial" w:hAnsi="Arial" w:cs="Arial"/>
          <w:sz w:val="22"/>
          <w:szCs w:val="22"/>
        </w:rPr>
        <w:t xml:space="preserve">1993 sezonları arasında 48 maç </w:t>
      </w:r>
      <w:r w:rsidR="0091222E" w:rsidRPr="007926FE">
        <w:rPr>
          <w:rFonts w:ascii="Arial" w:hAnsi="Arial" w:cs="Arial"/>
          <w:sz w:val="22"/>
          <w:szCs w:val="22"/>
        </w:rPr>
        <w:t xml:space="preserve">boyunca </w:t>
      </w:r>
      <w:r w:rsidRPr="007926FE">
        <w:rPr>
          <w:rFonts w:ascii="Arial" w:hAnsi="Arial" w:cs="Arial"/>
          <w:sz w:val="22"/>
          <w:szCs w:val="22"/>
        </w:rPr>
        <w:t>bileği bükülmeyen Beşiktaş’ta bulunuyor.</w:t>
      </w:r>
      <w:r w:rsidRPr="00DF1F44">
        <w:rPr>
          <w:rFonts w:ascii="Arial" w:hAnsi="Arial" w:cs="Arial"/>
          <w:sz w:val="22"/>
          <w:szCs w:val="22"/>
        </w:rPr>
        <w:t xml:space="preserve"> Öte yandan Beşiktaş, 65 sezonluk lig tarihinde sezonu namağlup şampiyon</w:t>
      </w:r>
      <w:r w:rsidR="00C36C5D" w:rsidRPr="00DF1F44">
        <w:rPr>
          <w:rFonts w:ascii="Arial" w:hAnsi="Arial" w:cs="Arial"/>
          <w:sz w:val="22"/>
          <w:szCs w:val="22"/>
        </w:rPr>
        <w:t xml:space="preserve"> olarak</w:t>
      </w:r>
      <w:r w:rsidRPr="00DF1F44">
        <w:rPr>
          <w:rFonts w:ascii="Arial" w:hAnsi="Arial" w:cs="Arial"/>
          <w:sz w:val="22"/>
          <w:szCs w:val="22"/>
        </w:rPr>
        <w:t xml:space="preserve"> tamamlayan tek takım durumunda.</w:t>
      </w:r>
    </w:p>
    <w:p w14:paraId="36181D41" w14:textId="77777777" w:rsidR="00DF1F44" w:rsidRDefault="00DF1F44" w:rsidP="00DF1F44">
      <w:pPr>
        <w:spacing w:before="0" w:after="0" w:line="300" w:lineRule="auto"/>
        <w:contextualSpacing/>
        <w:rPr>
          <w:rFonts w:ascii="Arial" w:hAnsi="Arial" w:cs="Arial"/>
          <w:sz w:val="22"/>
          <w:szCs w:val="22"/>
        </w:rPr>
      </w:pPr>
    </w:p>
    <w:p w14:paraId="11961728" w14:textId="69E40516" w:rsidR="00871344" w:rsidRPr="00E15AB4" w:rsidRDefault="00871344" w:rsidP="00E15AB4">
      <w:pPr>
        <w:spacing w:before="0" w:after="0"/>
        <w:contextualSpacing/>
        <w:jc w:val="left"/>
        <w:rPr>
          <w:rFonts w:ascii="Arial" w:hAnsi="Arial" w:cs="Arial"/>
          <w:b/>
          <w:bCs/>
          <w:sz w:val="22"/>
          <w:szCs w:val="22"/>
        </w:rPr>
      </w:pPr>
      <w:r w:rsidRPr="00E15AB4">
        <w:rPr>
          <w:rFonts w:ascii="Arial" w:hAnsi="Arial" w:cs="Arial"/>
          <w:b/>
          <w:bCs/>
          <w:sz w:val="22"/>
          <w:szCs w:val="22"/>
        </w:rPr>
        <w:t xml:space="preserve">Avrupa </w:t>
      </w:r>
      <w:r w:rsidR="00DF1F44" w:rsidRPr="00E15AB4">
        <w:rPr>
          <w:rFonts w:ascii="Arial" w:hAnsi="Arial" w:cs="Arial"/>
          <w:b/>
          <w:bCs/>
          <w:sz w:val="22"/>
          <w:szCs w:val="22"/>
        </w:rPr>
        <w:t>l</w:t>
      </w:r>
      <w:r w:rsidRPr="00E15AB4">
        <w:rPr>
          <w:rFonts w:ascii="Arial" w:hAnsi="Arial" w:cs="Arial"/>
          <w:b/>
          <w:bCs/>
          <w:sz w:val="22"/>
          <w:szCs w:val="22"/>
        </w:rPr>
        <w:t xml:space="preserve">iglerinde </w:t>
      </w:r>
      <w:r w:rsidR="00DF1F44" w:rsidRPr="00E15AB4">
        <w:rPr>
          <w:rFonts w:ascii="Arial" w:hAnsi="Arial" w:cs="Arial"/>
          <w:b/>
          <w:bCs/>
          <w:sz w:val="22"/>
          <w:szCs w:val="22"/>
        </w:rPr>
        <w:t>e</w:t>
      </w:r>
      <w:r w:rsidRPr="00E15AB4">
        <w:rPr>
          <w:rFonts w:ascii="Arial" w:hAnsi="Arial" w:cs="Arial"/>
          <w:b/>
          <w:bCs/>
          <w:sz w:val="22"/>
          <w:szCs w:val="22"/>
        </w:rPr>
        <w:t xml:space="preserve">n </w:t>
      </w:r>
      <w:r w:rsidR="00DF1F44" w:rsidRPr="00E15AB4">
        <w:rPr>
          <w:rFonts w:ascii="Arial" w:hAnsi="Arial" w:cs="Arial"/>
          <w:b/>
          <w:bCs/>
          <w:sz w:val="22"/>
          <w:szCs w:val="22"/>
        </w:rPr>
        <w:t>u</w:t>
      </w:r>
      <w:r w:rsidRPr="00E15AB4">
        <w:rPr>
          <w:rFonts w:ascii="Arial" w:hAnsi="Arial" w:cs="Arial"/>
          <w:b/>
          <w:bCs/>
          <w:sz w:val="22"/>
          <w:szCs w:val="22"/>
        </w:rPr>
        <w:t xml:space="preserve">zun </w:t>
      </w:r>
      <w:r w:rsidR="00DF1F44" w:rsidRPr="00E15AB4">
        <w:rPr>
          <w:rFonts w:ascii="Arial" w:hAnsi="Arial" w:cs="Arial"/>
          <w:b/>
          <w:bCs/>
          <w:sz w:val="22"/>
          <w:szCs w:val="22"/>
        </w:rPr>
        <w:t>g</w:t>
      </w:r>
      <w:r w:rsidRPr="00E15AB4">
        <w:rPr>
          <w:rFonts w:ascii="Arial" w:hAnsi="Arial" w:cs="Arial"/>
          <w:b/>
          <w:bCs/>
          <w:sz w:val="22"/>
          <w:szCs w:val="22"/>
        </w:rPr>
        <w:t xml:space="preserve">alibiyet </w:t>
      </w:r>
      <w:r w:rsidR="00DF1F44" w:rsidRPr="00E15AB4">
        <w:rPr>
          <w:rFonts w:ascii="Arial" w:hAnsi="Arial" w:cs="Arial"/>
          <w:b/>
          <w:bCs/>
          <w:sz w:val="22"/>
          <w:szCs w:val="22"/>
        </w:rPr>
        <w:t>s</w:t>
      </w:r>
      <w:r w:rsidRPr="00E15AB4">
        <w:rPr>
          <w:rFonts w:ascii="Arial" w:hAnsi="Arial" w:cs="Arial"/>
          <w:b/>
          <w:bCs/>
          <w:sz w:val="22"/>
          <w:szCs w:val="22"/>
        </w:rPr>
        <w:t>erileri</w:t>
      </w:r>
    </w:p>
    <w:p w14:paraId="460311BA" w14:textId="6BA3FDCC" w:rsidR="00871344" w:rsidRPr="00DF1F44" w:rsidRDefault="00DF1F44" w:rsidP="00DF1F44">
      <w:pPr>
        <w:spacing w:before="0" w:after="0" w:line="300" w:lineRule="auto"/>
        <w:contextualSpacing/>
        <w:rPr>
          <w:rFonts w:ascii="Arial" w:hAnsi="Arial" w:cs="Arial"/>
          <w:sz w:val="22"/>
          <w:szCs w:val="22"/>
        </w:rPr>
      </w:pPr>
      <w:r w:rsidRPr="00DF1F44">
        <w:rPr>
          <w:rFonts w:ascii="Arial" w:hAnsi="Arial" w:cs="Arial"/>
          <w:sz w:val="22"/>
          <w:szCs w:val="22"/>
        </w:rPr>
        <w:t>Türkiye’deki en uzun galibiyet ve yenilmezlik serisinin yanı sıra KPMG SportsBusiness Ekibi, Avrupa liglerinde mevcut olan en uzun serileri de inceledi.</w:t>
      </w:r>
      <w:r>
        <w:rPr>
          <w:rFonts w:ascii="Arial" w:hAnsi="Arial" w:cs="Arial"/>
          <w:sz w:val="22"/>
          <w:szCs w:val="22"/>
        </w:rPr>
        <w:t xml:space="preserve"> </w:t>
      </w:r>
      <w:r w:rsidR="00871344" w:rsidRPr="00DF1F44">
        <w:rPr>
          <w:rFonts w:ascii="Arial" w:hAnsi="Arial" w:cs="Arial"/>
          <w:sz w:val="22"/>
          <w:szCs w:val="22"/>
        </w:rPr>
        <w:t xml:space="preserve">Portekiz Ligi’nde </w:t>
      </w:r>
      <w:proofErr w:type="gramStart"/>
      <w:r w:rsidR="00871344" w:rsidRPr="00DF1F44">
        <w:rPr>
          <w:rFonts w:ascii="Arial" w:hAnsi="Arial" w:cs="Arial"/>
          <w:sz w:val="22"/>
          <w:szCs w:val="22"/>
        </w:rPr>
        <w:t>1972</w:t>
      </w:r>
      <w:r>
        <w:rPr>
          <w:rFonts w:ascii="Arial" w:hAnsi="Arial" w:cs="Arial"/>
          <w:sz w:val="22"/>
          <w:szCs w:val="22"/>
        </w:rPr>
        <w:t xml:space="preserve"> </w:t>
      </w:r>
      <w:r w:rsidR="00871344" w:rsidRPr="00DF1F44">
        <w:rPr>
          <w:rFonts w:ascii="Arial" w:hAnsi="Arial" w:cs="Arial"/>
          <w:sz w:val="22"/>
          <w:szCs w:val="22"/>
        </w:rPr>
        <w:t>-</w:t>
      </w:r>
      <w:proofErr w:type="gramEnd"/>
      <w:r>
        <w:rPr>
          <w:rFonts w:ascii="Arial" w:hAnsi="Arial" w:cs="Arial"/>
          <w:sz w:val="22"/>
          <w:szCs w:val="22"/>
        </w:rPr>
        <w:t xml:space="preserve"> </w:t>
      </w:r>
      <w:r w:rsidR="00871344" w:rsidRPr="00DF1F44">
        <w:rPr>
          <w:rFonts w:ascii="Arial" w:hAnsi="Arial" w:cs="Arial"/>
          <w:sz w:val="22"/>
          <w:szCs w:val="22"/>
        </w:rPr>
        <w:t xml:space="preserve">1973 yıllarında 29 maç üst üste galibiyet alan Benfica, Avrupa futbolunda bu alanda lider konumda bulunuyor. Bu seriye en çok yaklaşan takımlar ise </w:t>
      </w:r>
      <w:proofErr w:type="gramStart"/>
      <w:r w:rsidR="00871344" w:rsidRPr="00DF1F44">
        <w:rPr>
          <w:rFonts w:ascii="Arial" w:hAnsi="Arial" w:cs="Arial"/>
          <w:sz w:val="22"/>
          <w:szCs w:val="22"/>
        </w:rPr>
        <w:t>2006</w:t>
      </w:r>
      <w:r>
        <w:rPr>
          <w:rFonts w:ascii="Arial" w:hAnsi="Arial" w:cs="Arial"/>
          <w:sz w:val="22"/>
          <w:szCs w:val="22"/>
        </w:rPr>
        <w:t xml:space="preserve"> </w:t>
      </w:r>
      <w:r w:rsidR="00871344" w:rsidRPr="00DF1F44">
        <w:rPr>
          <w:rFonts w:ascii="Arial" w:hAnsi="Arial" w:cs="Arial"/>
          <w:sz w:val="22"/>
          <w:szCs w:val="22"/>
        </w:rPr>
        <w:t>-</w:t>
      </w:r>
      <w:proofErr w:type="gramEnd"/>
      <w:r>
        <w:rPr>
          <w:rFonts w:ascii="Arial" w:hAnsi="Arial" w:cs="Arial"/>
          <w:sz w:val="22"/>
          <w:szCs w:val="22"/>
        </w:rPr>
        <w:t xml:space="preserve"> </w:t>
      </w:r>
      <w:r w:rsidR="00871344" w:rsidRPr="00DF1F44">
        <w:rPr>
          <w:rFonts w:ascii="Arial" w:hAnsi="Arial" w:cs="Arial"/>
          <w:sz w:val="22"/>
          <w:szCs w:val="22"/>
        </w:rPr>
        <w:t xml:space="preserve">2007 yıllarında 28 maç üst üste </w:t>
      </w:r>
      <w:r w:rsidR="009E72B4" w:rsidRPr="00DF1F44">
        <w:rPr>
          <w:rFonts w:ascii="Arial" w:hAnsi="Arial" w:cs="Arial"/>
          <w:sz w:val="22"/>
          <w:szCs w:val="22"/>
        </w:rPr>
        <w:t>3 puanı hanesine yazdıran</w:t>
      </w:r>
      <w:r w:rsidR="00871344" w:rsidRPr="00DF1F44">
        <w:rPr>
          <w:rFonts w:ascii="Arial" w:hAnsi="Arial" w:cs="Arial"/>
          <w:sz w:val="22"/>
          <w:szCs w:val="22"/>
        </w:rPr>
        <w:t xml:space="preserve"> Hırvat temsilcisi Dinamo Zagreb ve 2003</w:t>
      </w:r>
      <w:r>
        <w:rPr>
          <w:rFonts w:ascii="Arial" w:hAnsi="Arial" w:cs="Arial"/>
          <w:sz w:val="22"/>
          <w:szCs w:val="22"/>
        </w:rPr>
        <w:t xml:space="preserve"> </w:t>
      </w:r>
      <w:r w:rsidR="00871344" w:rsidRPr="00DF1F44">
        <w:rPr>
          <w:rFonts w:ascii="Arial" w:hAnsi="Arial" w:cs="Arial"/>
          <w:sz w:val="22"/>
          <w:szCs w:val="22"/>
        </w:rPr>
        <w:t>-</w:t>
      </w:r>
      <w:r>
        <w:rPr>
          <w:rFonts w:ascii="Arial" w:hAnsi="Arial" w:cs="Arial"/>
          <w:sz w:val="22"/>
          <w:szCs w:val="22"/>
        </w:rPr>
        <w:t xml:space="preserve"> </w:t>
      </w:r>
      <w:r w:rsidR="00871344" w:rsidRPr="00DF1F44">
        <w:rPr>
          <w:rFonts w:ascii="Arial" w:hAnsi="Arial" w:cs="Arial"/>
          <w:sz w:val="22"/>
          <w:szCs w:val="22"/>
        </w:rPr>
        <w:t xml:space="preserve">2004 yıllarında art arda 25 maç </w:t>
      </w:r>
      <w:r w:rsidR="009E72B4" w:rsidRPr="00DF1F44">
        <w:rPr>
          <w:rFonts w:ascii="Arial" w:hAnsi="Arial" w:cs="Arial"/>
          <w:sz w:val="22"/>
          <w:szCs w:val="22"/>
        </w:rPr>
        <w:t>galip gelen</w:t>
      </w:r>
      <w:r w:rsidR="00871344" w:rsidRPr="00DF1F44">
        <w:rPr>
          <w:rFonts w:ascii="Arial" w:hAnsi="Arial" w:cs="Arial"/>
          <w:sz w:val="22"/>
          <w:szCs w:val="22"/>
        </w:rPr>
        <w:t xml:space="preserve"> İskoçya temsilcisi Celtic</w:t>
      </w:r>
      <w:r>
        <w:rPr>
          <w:rFonts w:ascii="Arial" w:hAnsi="Arial" w:cs="Arial"/>
          <w:sz w:val="22"/>
          <w:szCs w:val="22"/>
        </w:rPr>
        <w:t xml:space="preserve"> oldu</w:t>
      </w:r>
      <w:r w:rsidR="00871344" w:rsidRPr="00DF1F44">
        <w:rPr>
          <w:rFonts w:ascii="Arial" w:hAnsi="Arial" w:cs="Arial"/>
          <w:sz w:val="22"/>
          <w:szCs w:val="22"/>
        </w:rPr>
        <w:t>.</w:t>
      </w:r>
    </w:p>
    <w:p w14:paraId="7E658F13" w14:textId="77777777" w:rsidR="00DF1F44" w:rsidRDefault="00DF1F44" w:rsidP="00DF1F44">
      <w:pPr>
        <w:spacing w:before="0" w:after="0" w:line="300" w:lineRule="auto"/>
        <w:contextualSpacing/>
        <w:rPr>
          <w:rFonts w:ascii="Arial" w:hAnsi="Arial" w:cs="Arial"/>
          <w:sz w:val="22"/>
          <w:szCs w:val="22"/>
        </w:rPr>
      </w:pPr>
    </w:p>
    <w:p w14:paraId="7ECBEF3F" w14:textId="6DC374D2" w:rsidR="00871344" w:rsidRPr="00DF1F44" w:rsidRDefault="00871344" w:rsidP="00DF1F44">
      <w:pPr>
        <w:spacing w:before="0" w:after="0" w:line="300" w:lineRule="auto"/>
        <w:contextualSpacing/>
        <w:rPr>
          <w:rFonts w:ascii="Arial" w:hAnsi="Arial" w:cs="Arial"/>
          <w:sz w:val="22"/>
          <w:szCs w:val="22"/>
        </w:rPr>
      </w:pPr>
      <w:r w:rsidRPr="00DF1F44">
        <w:rPr>
          <w:rFonts w:ascii="Arial" w:hAnsi="Arial" w:cs="Arial"/>
          <w:sz w:val="22"/>
          <w:szCs w:val="22"/>
        </w:rPr>
        <w:t>İşte Avrupa’nın önde gelen liglerinde en uzun galibiyet serilerine sahip diğer takımlar:</w:t>
      </w:r>
    </w:p>
    <w:tbl>
      <w:tblPr>
        <w:tblW w:w="5000" w:type="pct"/>
        <w:tblCellMar>
          <w:left w:w="70" w:type="dxa"/>
          <w:right w:w="70" w:type="dxa"/>
        </w:tblCellMar>
        <w:tblLook w:val="04A0" w:firstRow="1" w:lastRow="0" w:firstColumn="1" w:lastColumn="0" w:noHBand="0" w:noVBand="1"/>
      </w:tblPr>
      <w:tblGrid>
        <w:gridCol w:w="1970"/>
        <w:gridCol w:w="2684"/>
        <w:gridCol w:w="2678"/>
        <w:gridCol w:w="1730"/>
      </w:tblGrid>
      <w:tr w:rsidR="00871344" w:rsidRPr="00DF1F44" w14:paraId="0F1CA137" w14:textId="77777777" w:rsidTr="00B83C3E">
        <w:trPr>
          <w:trHeight w:val="57"/>
        </w:trPr>
        <w:tc>
          <w:tcPr>
            <w:tcW w:w="1123" w:type="pct"/>
            <w:tcBorders>
              <w:top w:val="single" w:sz="4" w:space="0" w:color="auto"/>
              <w:left w:val="single" w:sz="4" w:space="0" w:color="auto"/>
              <w:bottom w:val="single" w:sz="4" w:space="0" w:color="auto"/>
              <w:right w:val="single" w:sz="4" w:space="0" w:color="auto"/>
            </w:tcBorders>
            <w:shd w:val="clear" w:color="auto" w:fill="00338D"/>
            <w:noWrap/>
            <w:vAlign w:val="center"/>
            <w:hideMark/>
          </w:tcPr>
          <w:p w14:paraId="70A64C8E"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Lig</w:t>
            </w:r>
          </w:p>
        </w:tc>
        <w:tc>
          <w:tcPr>
            <w:tcW w:w="1516" w:type="pct"/>
            <w:tcBorders>
              <w:top w:val="single" w:sz="4" w:space="0" w:color="auto"/>
              <w:left w:val="nil"/>
              <w:bottom w:val="single" w:sz="4" w:space="0" w:color="auto"/>
              <w:right w:val="single" w:sz="4" w:space="0" w:color="auto"/>
            </w:tcBorders>
            <w:shd w:val="clear" w:color="auto" w:fill="00338D"/>
            <w:noWrap/>
            <w:vAlign w:val="center"/>
            <w:hideMark/>
          </w:tcPr>
          <w:p w14:paraId="36D3C96A"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Takım</w:t>
            </w:r>
          </w:p>
        </w:tc>
        <w:tc>
          <w:tcPr>
            <w:tcW w:w="1513" w:type="pct"/>
            <w:tcBorders>
              <w:top w:val="single" w:sz="4" w:space="0" w:color="auto"/>
              <w:left w:val="nil"/>
              <w:bottom w:val="single" w:sz="4" w:space="0" w:color="auto"/>
              <w:right w:val="single" w:sz="4" w:space="0" w:color="auto"/>
            </w:tcBorders>
            <w:shd w:val="clear" w:color="auto" w:fill="00338D"/>
            <w:noWrap/>
            <w:vAlign w:val="center"/>
            <w:hideMark/>
          </w:tcPr>
          <w:p w14:paraId="75E2BBA6"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Yıl</w:t>
            </w:r>
          </w:p>
        </w:tc>
        <w:tc>
          <w:tcPr>
            <w:tcW w:w="848" w:type="pct"/>
            <w:tcBorders>
              <w:top w:val="single" w:sz="4" w:space="0" w:color="auto"/>
              <w:left w:val="nil"/>
              <w:bottom w:val="single" w:sz="4" w:space="0" w:color="auto"/>
              <w:right w:val="single" w:sz="4" w:space="0" w:color="auto"/>
            </w:tcBorders>
            <w:shd w:val="clear" w:color="auto" w:fill="00338D"/>
            <w:noWrap/>
            <w:vAlign w:val="center"/>
            <w:hideMark/>
          </w:tcPr>
          <w:p w14:paraId="1645CED6"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Galibiyet Serisi</w:t>
            </w:r>
          </w:p>
        </w:tc>
      </w:tr>
      <w:tr w:rsidR="00871344" w:rsidRPr="00DF1F44" w14:paraId="34D9B05D" w14:textId="77777777" w:rsidTr="00B83C3E">
        <w:trPr>
          <w:trHeight w:val="565"/>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58617AAB"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Hollanda</w:t>
            </w:r>
          </w:p>
        </w:tc>
        <w:tc>
          <w:tcPr>
            <w:tcW w:w="1516" w:type="pct"/>
            <w:tcBorders>
              <w:top w:val="nil"/>
              <w:left w:val="nil"/>
              <w:bottom w:val="single" w:sz="4" w:space="0" w:color="auto"/>
              <w:right w:val="single" w:sz="4" w:space="0" w:color="auto"/>
            </w:tcBorders>
            <w:shd w:val="clear" w:color="auto" w:fill="auto"/>
            <w:noWrap/>
            <w:vAlign w:val="center"/>
            <w:hideMark/>
          </w:tcPr>
          <w:p w14:paraId="2EABDB19" w14:textId="77777777" w:rsidR="00871344" w:rsidRPr="00DF1F44" w:rsidRDefault="00871344" w:rsidP="00DF1F44">
            <w:pPr>
              <w:spacing w:line="300" w:lineRule="auto"/>
              <w:jc w:val="left"/>
              <w:rPr>
                <w:rFonts w:ascii="Arial" w:hAnsi="Arial" w:cs="Arial"/>
                <w:sz w:val="22"/>
                <w:szCs w:val="22"/>
                <w:lang w:eastAsia="tr-TR"/>
              </w:rPr>
            </w:pPr>
            <w:proofErr w:type="spellStart"/>
            <w:r w:rsidRPr="00DF1F44">
              <w:rPr>
                <w:rFonts w:ascii="Arial" w:hAnsi="Arial" w:cs="Arial"/>
                <w:sz w:val="22"/>
                <w:szCs w:val="22"/>
                <w:lang w:eastAsia="tr-TR"/>
              </w:rPr>
              <w:t>Ajax</w:t>
            </w:r>
            <w:proofErr w:type="spellEnd"/>
          </w:p>
        </w:tc>
        <w:tc>
          <w:tcPr>
            <w:tcW w:w="1513" w:type="pct"/>
            <w:tcBorders>
              <w:top w:val="nil"/>
              <w:left w:val="nil"/>
              <w:bottom w:val="single" w:sz="4" w:space="0" w:color="auto"/>
              <w:right w:val="single" w:sz="4" w:space="0" w:color="auto"/>
            </w:tcBorders>
            <w:shd w:val="clear" w:color="auto" w:fill="auto"/>
            <w:vAlign w:val="center"/>
            <w:hideMark/>
          </w:tcPr>
          <w:p w14:paraId="120113EB" w14:textId="4FC735F3"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1971-1972</w:t>
            </w:r>
            <w:r w:rsidR="00A91B3A" w:rsidRPr="00DF1F44">
              <w:rPr>
                <w:rFonts w:ascii="Arial" w:hAnsi="Arial" w:cs="Arial"/>
                <w:sz w:val="22"/>
                <w:szCs w:val="22"/>
                <w:lang w:eastAsia="tr-TR"/>
              </w:rPr>
              <w:t xml:space="preserve">, </w:t>
            </w:r>
            <w:r w:rsidRPr="00DF1F44">
              <w:rPr>
                <w:rFonts w:ascii="Arial" w:hAnsi="Arial" w:cs="Arial"/>
                <w:sz w:val="22"/>
                <w:szCs w:val="22"/>
                <w:lang w:eastAsia="tr-TR"/>
              </w:rPr>
              <w:t>1994-1995</w:t>
            </w:r>
          </w:p>
        </w:tc>
        <w:tc>
          <w:tcPr>
            <w:tcW w:w="848" w:type="pct"/>
            <w:tcBorders>
              <w:top w:val="nil"/>
              <w:left w:val="nil"/>
              <w:bottom w:val="single" w:sz="4" w:space="0" w:color="auto"/>
              <w:right w:val="single" w:sz="4" w:space="0" w:color="auto"/>
            </w:tcBorders>
            <w:shd w:val="clear" w:color="auto" w:fill="auto"/>
            <w:noWrap/>
            <w:vAlign w:val="center"/>
            <w:hideMark/>
          </w:tcPr>
          <w:p w14:paraId="4E65DCF0"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19</w:t>
            </w:r>
          </w:p>
        </w:tc>
      </w:tr>
      <w:tr w:rsidR="00871344" w:rsidRPr="00DF1F44" w14:paraId="2803CD3E" w14:textId="77777777" w:rsidTr="00B83C3E">
        <w:trPr>
          <w:trHeight w:val="282"/>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1E4FBD13"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Almanya</w:t>
            </w:r>
          </w:p>
        </w:tc>
        <w:tc>
          <w:tcPr>
            <w:tcW w:w="1516" w:type="pct"/>
            <w:tcBorders>
              <w:top w:val="nil"/>
              <w:left w:val="nil"/>
              <w:bottom w:val="single" w:sz="4" w:space="0" w:color="auto"/>
              <w:right w:val="single" w:sz="4" w:space="0" w:color="auto"/>
            </w:tcBorders>
            <w:shd w:val="clear" w:color="auto" w:fill="auto"/>
            <w:noWrap/>
            <w:vAlign w:val="center"/>
            <w:hideMark/>
          </w:tcPr>
          <w:p w14:paraId="74153AD8"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Bayern Münih</w:t>
            </w:r>
          </w:p>
        </w:tc>
        <w:tc>
          <w:tcPr>
            <w:tcW w:w="1513" w:type="pct"/>
            <w:tcBorders>
              <w:top w:val="nil"/>
              <w:left w:val="nil"/>
              <w:bottom w:val="single" w:sz="4" w:space="0" w:color="auto"/>
              <w:right w:val="single" w:sz="4" w:space="0" w:color="auto"/>
            </w:tcBorders>
            <w:shd w:val="clear" w:color="auto" w:fill="auto"/>
            <w:noWrap/>
            <w:vAlign w:val="center"/>
            <w:hideMark/>
          </w:tcPr>
          <w:p w14:paraId="6D7F7278"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2013-2014</w:t>
            </w:r>
          </w:p>
        </w:tc>
        <w:tc>
          <w:tcPr>
            <w:tcW w:w="848" w:type="pct"/>
            <w:tcBorders>
              <w:top w:val="nil"/>
              <w:left w:val="nil"/>
              <w:bottom w:val="single" w:sz="4" w:space="0" w:color="auto"/>
              <w:right w:val="single" w:sz="4" w:space="0" w:color="auto"/>
            </w:tcBorders>
            <w:shd w:val="clear" w:color="auto" w:fill="auto"/>
            <w:noWrap/>
            <w:vAlign w:val="center"/>
            <w:hideMark/>
          </w:tcPr>
          <w:p w14:paraId="4D574520"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19</w:t>
            </w:r>
          </w:p>
        </w:tc>
      </w:tr>
      <w:tr w:rsidR="00871344" w:rsidRPr="00DF1F44" w14:paraId="581CB8BB" w14:textId="77777777" w:rsidTr="00B83C3E">
        <w:trPr>
          <w:trHeight w:val="282"/>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34E59D97"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İngiltere</w:t>
            </w:r>
          </w:p>
        </w:tc>
        <w:tc>
          <w:tcPr>
            <w:tcW w:w="1516" w:type="pct"/>
            <w:tcBorders>
              <w:top w:val="nil"/>
              <w:left w:val="nil"/>
              <w:bottom w:val="single" w:sz="4" w:space="0" w:color="auto"/>
              <w:right w:val="single" w:sz="4" w:space="0" w:color="auto"/>
            </w:tcBorders>
            <w:shd w:val="clear" w:color="auto" w:fill="auto"/>
            <w:noWrap/>
            <w:vAlign w:val="center"/>
            <w:hideMark/>
          </w:tcPr>
          <w:p w14:paraId="67DB6A11"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Manchester City</w:t>
            </w:r>
          </w:p>
        </w:tc>
        <w:tc>
          <w:tcPr>
            <w:tcW w:w="1513" w:type="pct"/>
            <w:tcBorders>
              <w:top w:val="nil"/>
              <w:left w:val="nil"/>
              <w:bottom w:val="single" w:sz="4" w:space="0" w:color="auto"/>
              <w:right w:val="single" w:sz="4" w:space="0" w:color="auto"/>
            </w:tcBorders>
            <w:shd w:val="clear" w:color="auto" w:fill="auto"/>
            <w:noWrap/>
            <w:vAlign w:val="center"/>
            <w:hideMark/>
          </w:tcPr>
          <w:p w14:paraId="67810190"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2017-2018</w:t>
            </w:r>
          </w:p>
        </w:tc>
        <w:tc>
          <w:tcPr>
            <w:tcW w:w="848" w:type="pct"/>
            <w:tcBorders>
              <w:top w:val="nil"/>
              <w:left w:val="nil"/>
              <w:bottom w:val="single" w:sz="4" w:space="0" w:color="auto"/>
              <w:right w:val="single" w:sz="4" w:space="0" w:color="auto"/>
            </w:tcBorders>
            <w:shd w:val="clear" w:color="auto" w:fill="auto"/>
            <w:noWrap/>
            <w:vAlign w:val="center"/>
            <w:hideMark/>
          </w:tcPr>
          <w:p w14:paraId="5B25E706"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18</w:t>
            </w:r>
          </w:p>
        </w:tc>
      </w:tr>
      <w:tr w:rsidR="00871344" w:rsidRPr="00DF1F44" w14:paraId="40FDC883" w14:textId="77777777" w:rsidTr="00B83C3E">
        <w:trPr>
          <w:trHeight w:val="565"/>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60E7B8D2"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İspanya</w:t>
            </w:r>
          </w:p>
        </w:tc>
        <w:tc>
          <w:tcPr>
            <w:tcW w:w="1516" w:type="pct"/>
            <w:tcBorders>
              <w:top w:val="nil"/>
              <w:left w:val="nil"/>
              <w:bottom w:val="single" w:sz="4" w:space="0" w:color="auto"/>
              <w:right w:val="single" w:sz="4" w:space="0" w:color="auto"/>
            </w:tcBorders>
            <w:shd w:val="clear" w:color="auto" w:fill="auto"/>
            <w:vAlign w:val="center"/>
            <w:hideMark/>
          </w:tcPr>
          <w:p w14:paraId="34AA36CB" w14:textId="400655D2"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Real</w:t>
            </w:r>
            <w:r w:rsidR="00A91B3A" w:rsidRPr="00DF1F44">
              <w:rPr>
                <w:rFonts w:ascii="Arial" w:hAnsi="Arial" w:cs="Arial"/>
                <w:sz w:val="22"/>
                <w:szCs w:val="22"/>
                <w:lang w:eastAsia="tr-TR"/>
              </w:rPr>
              <w:t xml:space="preserve"> </w:t>
            </w:r>
            <w:r w:rsidRPr="00DF1F44">
              <w:rPr>
                <w:rFonts w:ascii="Arial" w:hAnsi="Arial" w:cs="Arial"/>
                <w:sz w:val="22"/>
                <w:szCs w:val="22"/>
                <w:lang w:eastAsia="tr-TR"/>
              </w:rPr>
              <w:t>Madrid</w:t>
            </w:r>
            <w:r w:rsidR="00A91B3A" w:rsidRPr="00DF1F44">
              <w:rPr>
                <w:rFonts w:ascii="Arial" w:hAnsi="Arial" w:cs="Arial"/>
                <w:sz w:val="22"/>
                <w:szCs w:val="22"/>
                <w:lang w:eastAsia="tr-TR"/>
              </w:rPr>
              <w:t xml:space="preserve"> </w:t>
            </w:r>
            <w:r w:rsidRPr="00DF1F44">
              <w:rPr>
                <w:rFonts w:ascii="Arial" w:hAnsi="Arial" w:cs="Arial"/>
                <w:sz w:val="22"/>
                <w:szCs w:val="22"/>
                <w:lang w:eastAsia="tr-TR"/>
              </w:rPr>
              <w:t>Barcelona</w:t>
            </w:r>
          </w:p>
        </w:tc>
        <w:tc>
          <w:tcPr>
            <w:tcW w:w="1513" w:type="pct"/>
            <w:tcBorders>
              <w:top w:val="nil"/>
              <w:left w:val="nil"/>
              <w:bottom w:val="single" w:sz="4" w:space="0" w:color="auto"/>
              <w:right w:val="single" w:sz="4" w:space="0" w:color="auto"/>
            </w:tcBorders>
            <w:shd w:val="clear" w:color="auto" w:fill="auto"/>
            <w:vAlign w:val="center"/>
            <w:hideMark/>
          </w:tcPr>
          <w:p w14:paraId="0104CFCF" w14:textId="286D9BE5"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2016</w:t>
            </w:r>
            <w:r w:rsidR="00A91B3A" w:rsidRPr="00DF1F44">
              <w:rPr>
                <w:rFonts w:ascii="Arial" w:hAnsi="Arial" w:cs="Arial"/>
                <w:sz w:val="22"/>
                <w:szCs w:val="22"/>
                <w:lang w:eastAsia="tr-TR"/>
              </w:rPr>
              <w:t xml:space="preserve">, </w:t>
            </w:r>
            <w:r w:rsidRPr="00DF1F44">
              <w:rPr>
                <w:rFonts w:ascii="Arial" w:hAnsi="Arial" w:cs="Arial"/>
                <w:sz w:val="22"/>
                <w:szCs w:val="22"/>
                <w:lang w:eastAsia="tr-TR"/>
              </w:rPr>
              <w:t>2010-2011</w:t>
            </w:r>
          </w:p>
        </w:tc>
        <w:tc>
          <w:tcPr>
            <w:tcW w:w="848" w:type="pct"/>
            <w:tcBorders>
              <w:top w:val="nil"/>
              <w:left w:val="nil"/>
              <w:bottom w:val="single" w:sz="4" w:space="0" w:color="auto"/>
              <w:right w:val="single" w:sz="4" w:space="0" w:color="auto"/>
            </w:tcBorders>
            <w:shd w:val="clear" w:color="auto" w:fill="auto"/>
            <w:noWrap/>
            <w:vAlign w:val="center"/>
            <w:hideMark/>
          </w:tcPr>
          <w:p w14:paraId="30A4E54F"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16</w:t>
            </w:r>
          </w:p>
        </w:tc>
      </w:tr>
      <w:tr w:rsidR="00871344" w:rsidRPr="00DF1F44" w14:paraId="1232CA0E" w14:textId="77777777" w:rsidTr="00B83C3E">
        <w:trPr>
          <w:trHeight w:val="282"/>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63023380"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Fransa</w:t>
            </w:r>
          </w:p>
        </w:tc>
        <w:tc>
          <w:tcPr>
            <w:tcW w:w="1516" w:type="pct"/>
            <w:tcBorders>
              <w:top w:val="nil"/>
              <w:left w:val="nil"/>
              <w:bottom w:val="single" w:sz="4" w:space="0" w:color="auto"/>
              <w:right w:val="single" w:sz="4" w:space="0" w:color="auto"/>
            </w:tcBorders>
            <w:shd w:val="clear" w:color="auto" w:fill="auto"/>
            <w:noWrap/>
            <w:vAlign w:val="center"/>
            <w:hideMark/>
          </w:tcPr>
          <w:p w14:paraId="667E98DA" w14:textId="699E7B57" w:rsidR="00A851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Bordeaux</w:t>
            </w:r>
            <w:r w:rsidR="00A91B3A" w:rsidRPr="00DF1F44">
              <w:rPr>
                <w:rFonts w:ascii="Arial" w:hAnsi="Arial" w:cs="Arial"/>
                <w:sz w:val="22"/>
                <w:szCs w:val="22"/>
                <w:lang w:eastAsia="tr-TR"/>
              </w:rPr>
              <w:t xml:space="preserve"> </w:t>
            </w:r>
            <w:r w:rsidR="00A85144" w:rsidRPr="00DF1F44">
              <w:rPr>
                <w:rFonts w:ascii="Arial" w:hAnsi="Arial" w:cs="Arial"/>
                <w:sz w:val="22"/>
                <w:szCs w:val="22"/>
                <w:lang w:eastAsia="tr-TR"/>
              </w:rPr>
              <w:t>PSG</w:t>
            </w:r>
          </w:p>
        </w:tc>
        <w:tc>
          <w:tcPr>
            <w:tcW w:w="1513" w:type="pct"/>
            <w:tcBorders>
              <w:top w:val="nil"/>
              <w:left w:val="nil"/>
              <w:bottom w:val="single" w:sz="4" w:space="0" w:color="auto"/>
              <w:right w:val="single" w:sz="4" w:space="0" w:color="auto"/>
            </w:tcBorders>
            <w:shd w:val="clear" w:color="auto" w:fill="auto"/>
            <w:noWrap/>
            <w:vAlign w:val="center"/>
            <w:hideMark/>
          </w:tcPr>
          <w:p w14:paraId="21BADDDB" w14:textId="10027A42" w:rsidR="00A851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2009</w:t>
            </w:r>
            <w:r w:rsidR="00A91B3A" w:rsidRPr="00DF1F44">
              <w:rPr>
                <w:rFonts w:ascii="Arial" w:hAnsi="Arial" w:cs="Arial"/>
                <w:sz w:val="22"/>
                <w:szCs w:val="22"/>
                <w:lang w:eastAsia="tr-TR"/>
              </w:rPr>
              <w:t xml:space="preserve">, </w:t>
            </w:r>
            <w:r w:rsidR="00A85144" w:rsidRPr="00DF1F44">
              <w:rPr>
                <w:rFonts w:ascii="Arial" w:hAnsi="Arial" w:cs="Arial"/>
                <w:sz w:val="22"/>
                <w:szCs w:val="22"/>
                <w:lang w:eastAsia="tr-TR"/>
              </w:rPr>
              <w:t>2018-2019</w:t>
            </w:r>
          </w:p>
        </w:tc>
        <w:tc>
          <w:tcPr>
            <w:tcW w:w="848" w:type="pct"/>
            <w:tcBorders>
              <w:top w:val="nil"/>
              <w:left w:val="nil"/>
              <w:bottom w:val="single" w:sz="4" w:space="0" w:color="auto"/>
              <w:right w:val="single" w:sz="4" w:space="0" w:color="auto"/>
            </w:tcBorders>
            <w:shd w:val="clear" w:color="auto" w:fill="auto"/>
            <w:noWrap/>
            <w:vAlign w:val="center"/>
            <w:hideMark/>
          </w:tcPr>
          <w:p w14:paraId="18DDDB4D"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14</w:t>
            </w:r>
          </w:p>
        </w:tc>
      </w:tr>
      <w:tr w:rsidR="00871344" w:rsidRPr="00DF1F44" w14:paraId="20E95277" w14:textId="77777777" w:rsidTr="00B83C3E">
        <w:trPr>
          <w:trHeight w:val="282"/>
        </w:trPr>
        <w:tc>
          <w:tcPr>
            <w:tcW w:w="1123" w:type="pct"/>
            <w:tcBorders>
              <w:top w:val="nil"/>
              <w:left w:val="single" w:sz="4" w:space="0" w:color="auto"/>
              <w:bottom w:val="single" w:sz="4" w:space="0" w:color="auto"/>
              <w:right w:val="single" w:sz="4" w:space="0" w:color="auto"/>
            </w:tcBorders>
            <w:shd w:val="clear" w:color="auto" w:fill="auto"/>
            <w:noWrap/>
            <w:vAlign w:val="center"/>
            <w:hideMark/>
          </w:tcPr>
          <w:p w14:paraId="417E2D96"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lastRenderedPageBreak/>
              <w:t>İtalya</w:t>
            </w:r>
          </w:p>
        </w:tc>
        <w:tc>
          <w:tcPr>
            <w:tcW w:w="1516" w:type="pct"/>
            <w:tcBorders>
              <w:top w:val="nil"/>
              <w:left w:val="nil"/>
              <w:bottom w:val="single" w:sz="4" w:space="0" w:color="auto"/>
              <w:right w:val="single" w:sz="4" w:space="0" w:color="auto"/>
            </w:tcBorders>
            <w:shd w:val="clear" w:color="auto" w:fill="auto"/>
            <w:vAlign w:val="center"/>
            <w:hideMark/>
          </w:tcPr>
          <w:p w14:paraId="20A7BDAB" w14:textId="77777777" w:rsidR="00871344" w:rsidRPr="00DF1F44" w:rsidRDefault="00871344" w:rsidP="00DF1F44">
            <w:pPr>
              <w:spacing w:line="300" w:lineRule="auto"/>
              <w:jc w:val="left"/>
              <w:rPr>
                <w:rFonts w:ascii="Arial" w:hAnsi="Arial" w:cs="Arial"/>
                <w:sz w:val="22"/>
                <w:szCs w:val="22"/>
                <w:lang w:eastAsia="tr-TR"/>
              </w:rPr>
            </w:pPr>
            <w:r w:rsidRPr="00DF1F44">
              <w:rPr>
                <w:rFonts w:ascii="Arial" w:hAnsi="Arial" w:cs="Arial"/>
                <w:sz w:val="22"/>
                <w:szCs w:val="22"/>
                <w:lang w:eastAsia="tr-TR"/>
              </w:rPr>
              <w:t>Inter</w:t>
            </w:r>
          </w:p>
        </w:tc>
        <w:tc>
          <w:tcPr>
            <w:tcW w:w="1513" w:type="pct"/>
            <w:tcBorders>
              <w:top w:val="nil"/>
              <w:left w:val="nil"/>
              <w:bottom w:val="single" w:sz="4" w:space="0" w:color="auto"/>
              <w:right w:val="single" w:sz="4" w:space="0" w:color="auto"/>
            </w:tcBorders>
            <w:shd w:val="clear" w:color="auto" w:fill="auto"/>
            <w:vAlign w:val="center"/>
            <w:hideMark/>
          </w:tcPr>
          <w:p w14:paraId="5E240B5B"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2006-2007</w:t>
            </w:r>
          </w:p>
        </w:tc>
        <w:tc>
          <w:tcPr>
            <w:tcW w:w="848" w:type="pct"/>
            <w:tcBorders>
              <w:top w:val="nil"/>
              <w:left w:val="nil"/>
              <w:bottom w:val="single" w:sz="4" w:space="0" w:color="auto"/>
              <w:right w:val="single" w:sz="4" w:space="0" w:color="auto"/>
            </w:tcBorders>
            <w:shd w:val="clear" w:color="auto" w:fill="auto"/>
            <w:noWrap/>
            <w:vAlign w:val="center"/>
            <w:hideMark/>
          </w:tcPr>
          <w:p w14:paraId="27D491C7"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13</w:t>
            </w:r>
          </w:p>
        </w:tc>
      </w:tr>
    </w:tbl>
    <w:p w14:paraId="75AC31D6" w14:textId="77777777" w:rsidR="00DF1F44" w:rsidRDefault="00DF1F44" w:rsidP="00DF1F44">
      <w:pPr>
        <w:pStyle w:val="Balk1"/>
        <w:spacing w:before="0" w:after="0" w:line="300" w:lineRule="auto"/>
        <w:contextualSpacing/>
        <w:rPr>
          <w:rFonts w:ascii="Arial" w:hAnsi="Arial" w:cs="Arial"/>
          <w:sz w:val="22"/>
          <w:szCs w:val="22"/>
        </w:rPr>
      </w:pPr>
    </w:p>
    <w:p w14:paraId="47BCD24D" w14:textId="684DF3BB" w:rsidR="00871344" w:rsidRPr="00E15AB4" w:rsidRDefault="00871344" w:rsidP="00E15AB4">
      <w:pPr>
        <w:spacing w:before="0" w:after="0"/>
        <w:contextualSpacing/>
        <w:jc w:val="left"/>
        <w:rPr>
          <w:rFonts w:ascii="Arial" w:hAnsi="Arial" w:cs="Arial"/>
          <w:b/>
          <w:bCs/>
          <w:sz w:val="22"/>
          <w:szCs w:val="22"/>
        </w:rPr>
      </w:pPr>
      <w:r w:rsidRPr="00E15AB4">
        <w:rPr>
          <w:rFonts w:ascii="Arial" w:hAnsi="Arial" w:cs="Arial"/>
          <w:b/>
          <w:bCs/>
          <w:sz w:val="22"/>
          <w:szCs w:val="22"/>
        </w:rPr>
        <w:t xml:space="preserve">Avrupa </w:t>
      </w:r>
      <w:r w:rsidR="00DF1F44" w:rsidRPr="00E15AB4">
        <w:rPr>
          <w:rFonts w:ascii="Arial" w:hAnsi="Arial" w:cs="Arial"/>
          <w:b/>
          <w:bCs/>
          <w:sz w:val="22"/>
          <w:szCs w:val="22"/>
        </w:rPr>
        <w:t>l</w:t>
      </w:r>
      <w:r w:rsidRPr="00E15AB4">
        <w:rPr>
          <w:rFonts w:ascii="Arial" w:hAnsi="Arial" w:cs="Arial"/>
          <w:b/>
          <w:bCs/>
          <w:sz w:val="22"/>
          <w:szCs w:val="22"/>
        </w:rPr>
        <w:t xml:space="preserve">iglerinde </w:t>
      </w:r>
      <w:r w:rsidR="00DF1F44" w:rsidRPr="00E15AB4">
        <w:rPr>
          <w:rFonts w:ascii="Arial" w:hAnsi="Arial" w:cs="Arial"/>
          <w:b/>
          <w:bCs/>
          <w:sz w:val="22"/>
          <w:szCs w:val="22"/>
        </w:rPr>
        <w:t>e</w:t>
      </w:r>
      <w:r w:rsidRPr="00E15AB4">
        <w:rPr>
          <w:rFonts w:ascii="Arial" w:hAnsi="Arial" w:cs="Arial"/>
          <w:b/>
          <w:bCs/>
          <w:sz w:val="22"/>
          <w:szCs w:val="22"/>
        </w:rPr>
        <w:t xml:space="preserve">n </w:t>
      </w:r>
      <w:r w:rsidR="00DF1F44" w:rsidRPr="00E15AB4">
        <w:rPr>
          <w:rFonts w:ascii="Arial" w:hAnsi="Arial" w:cs="Arial"/>
          <w:b/>
          <w:bCs/>
          <w:sz w:val="22"/>
          <w:szCs w:val="22"/>
        </w:rPr>
        <w:t>u</w:t>
      </w:r>
      <w:r w:rsidRPr="00E15AB4">
        <w:rPr>
          <w:rFonts w:ascii="Arial" w:hAnsi="Arial" w:cs="Arial"/>
          <w:b/>
          <w:bCs/>
          <w:sz w:val="22"/>
          <w:szCs w:val="22"/>
        </w:rPr>
        <w:t xml:space="preserve">zun </w:t>
      </w:r>
      <w:r w:rsidR="00DF1F44" w:rsidRPr="00E15AB4">
        <w:rPr>
          <w:rFonts w:ascii="Arial" w:hAnsi="Arial" w:cs="Arial"/>
          <w:b/>
          <w:bCs/>
          <w:sz w:val="22"/>
          <w:szCs w:val="22"/>
        </w:rPr>
        <w:t>y</w:t>
      </w:r>
      <w:r w:rsidRPr="00E15AB4">
        <w:rPr>
          <w:rFonts w:ascii="Arial" w:hAnsi="Arial" w:cs="Arial"/>
          <w:b/>
          <w:bCs/>
          <w:sz w:val="22"/>
          <w:szCs w:val="22"/>
        </w:rPr>
        <w:t xml:space="preserve">enilmezlik </w:t>
      </w:r>
      <w:r w:rsidR="00DF1F44" w:rsidRPr="00E15AB4">
        <w:rPr>
          <w:rFonts w:ascii="Arial" w:hAnsi="Arial" w:cs="Arial"/>
          <w:b/>
          <w:bCs/>
          <w:sz w:val="22"/>
          <w:szCs w:val="22"/>
        </w:rPr>
        <w:t>s</w:t>
      </w:r>
      <w:r w:rsidRPr="00E15AB4">
        <w:rPr>
          <w:rFonts w:ascii="Arial" w:hAnsi="Arial" w:cs="Arial"/>
          <w:b/>
          <w:bCs/>
          <w:sz w:val="22"/>
          <w:szCs w:val="22"/>
        </w:rPr>
        <w:t>erileri</w:t>
      </w:r>
    </w:p>
    <w:p w14:paraId="31DCA738" w14:textId="42BF56C8" w:rsidR="00871344" w:rsidRDefault="00871344" w:rsidP="00DF1F44">
      <w:pPr>
        <w:spacing w:before="0" w:after="0" w:line="300" w:lineRule="auto"/>
        <w:contextualSpacing/>
        <w:rPr>
          <w:rFonts w:ascii="Arial" w:hAnsi="Arial" w:cs="Arial"/>
          <w:sz w:val="22"/>
          <w:szCs w:val="22"/>
        </w:rPr>
      </w:pPr>
      <w:r w:rsidRPr="00DF1F44">
        <w:rPr>
          <w:rFonts w:ascii="Arial" w:hAnsi="Arial" w:cs="Arial"/>
          <w:sz w:val="22"/>
          <w:szCs w:val="22"/>
        </w:rPr>
        <w:t xml:space="preserve">Avrupa futbol ligleri tarihinde en uzun süre namağlup olarak ilerleyen takım </w:t>
      </w:r>
      <w:proofErr w:type="gramStart"/>
      <w:r w:rsidRPr="00DF1F44">
        <w:rPr>
          <w:rFonts w:ascii="Arial" w:hAnsi="Arial" w:cs="Arial"/>
          <w:sz w:val="22"/>
          <w:szCs w:val="22"/>
        </w:rPr>
        <w:t>1986</w:t>
      </w:r>
      <w:r w:rsidR="007926FE">
        <w:rPr>
          <w:rFonts w:ascii="Arial" w:hAnsi="Arial" w:cs="Arial"/>
          <w:sz w:val="22"/>
          <w:szCs w:val="22"/>
        </w:rPr>
        <w:t xml:space="preserve"> </w:t>
      </w:r>
      <w:r w:rsidRPr="00DF1F44">
        <w:rPr>
          <w:rFonts w:ascii="Arial" w:hAnsi="Arial" w:cs="Arial"/>
          <w:sz w:val="22"/>
          <w:szCs w:val="22"/>
        </w:rPr>
        <w:t>-</w:t>
      </w:r>
      <w:proofErr w:type="gramEnd"/>
      <w:r w:rsidR="007926FE">
        <w:rPr>
          <w:rFonts w:ascii="Arial" w:hAnsi="Arial" w:cs="Arial"/>
          <w:sz w:val="22"/>
          <w:szCs w:val="22"/>
        </w:rPr>
        <w:t xml:space="preserve"> </w:t>
      </w:r>
      <w:r w:rsidRPr="00DF1F44">
        <w:rPr>
          <w:rFonts w:ascii="Arial" w:hAnsi="Arial" w:cs="Arial"/>
          <w:sz w:val="22"/>
          <w:szCs w:val="22"/>
        </w:rPr>
        <w:t xml:space="preserve">1989 yılları arasında tam 104 maç mağlubiyet yüzü görmeyen Romanya temsilcisi FCSB (eski adıyla </w:t>
      </w:r>
      <w:proofErr w:type="spellStart"/>
      <w:r w:rsidRPr="00DF1F44">
        <w:rPr>
          <w:rFonts w:ascii="Arial" w:hAnsi="Arial" w:cs="Arial"/>
          <w:sz w:val="22"/>
          <w:szCs w:val="22"/>
        </w:rPr>
        <w:t>Steaua</w:t>
      </w:r>
      <w:proofErr w:type="spellEnd"/>
      <w:r w:rsidRPr="00DF1F44">
        <w:rPr>
          <w:rFonts w:ascii="Arial" w:hAnsi="Arial" w:cs="Arial"/>
          <w:sz w:val="22"/>
          <w:szCs w:val="22"/>
        </w:rPr>
        <w:t xml:space="preserve"> Bükreş). 104 maçlık olağanüstü performans sonrasında gelen rekor uzun yıllar kırılamayacak gibi görünüyor. En yakın yenilmezlik serileri ise </w:t>
      </w:r>
      <w:proofErr w:type="gramStart"/>
      <w:r w:rsidRPr="00DF1F44">
        <w:rPr>
          <w:rFonts w:ascii="Arial" w:hAnsi="Arial" w:cs="Arial"/>
          <w:sz w:val="22"/>
          <w:szCs w:val="22"/>
        </w:rPr>
        <w:t>2009</w:t>
      </w:r>
      <w:r w:rsidR="007926FE">
        <w:rPr>
          <w:rFonts w:ascii="Arial" w:hAnsi="Arial" w:cs="Arial"/>
          <w:sz w:val="22"/>
          <w:szCs w:val="22"/>
        </w:rPr>
        <w:t xml:space="preserve"> </w:t>
      </w:r>
      <w:r w:rsidRPr="00DF1F44">
        <w:rPr>
          <w:rFonts w:ascii="Arial" w:hAnsi="Arial" w:cs="Arial"/>
          <w:sz w:val="22"/>
          <w:szCs w:val="22"/>
        </w:rPr>
        <w:t>-</w:t>
      </w:r>
      <w:proofErr w:type="gramEnd"/>
      <w:r w:rsidR="007926FE">
        <w:rPr>
          <w:rFonts w:ascii="Arial" w:hAnsi="Arial" w:cs="Arial"/>
          <w:sz w:val="22"/>
          <w:szCs w:val="22"/>
        </w:rPr>
        <w:t xml:space="preserve"> </w:t>
      </w:r>
      <w:r w:rsidRPr="00DF1F44">
        <w:rPr>
          <w:rFonts w:ascii="Arial" w:hAnsi="Arial" w:cs="Arial"/>
          <w:sz w:val="22"/>
          <w:szCs w:val="22"/>
        </w:rPr>
        <w:t xml:space="preserve">2014 yılları arasında 88 maç ile Cebelitarık temsilcisi Lincoln </w:t>
      </w:r>
      <w:proofErr w:type="spellStart"/>
      <w:r w:rsidRPr="00DF1F44">
        <w:rPr>
          <w:rFonts w:ascii="Arial" w:hAnsi="Arial" w:cs="Arial"/>
          <w:sz w:val="22"/>
          <w:szCs w:val="22"/>
        </w:rPr>
        <w:t>Red</w:t>
      </w:r>
      <w:proofErr w:type="spellEnd"/>
      <w:r w:rsidRPr="00DF1F44">
        <w:rPr>
          <w:rFonts w:ascii="Arial" w:hAnsi="Arial" w:cs="Arial"/>
          <w:sz w:val="22"/>
          <w:szCs w:val="22"/>
        </w:rPr>
        <w:t xml:space="preserve"> </w:t>
      </w:r>
      <w:proofErr w:type="spellStart"/>
      <w:r w:rsidRPr="00DF1F44">
        <w:rPr>
          <w:rFonts w:ascii="Arial" w:hAnsi="Arial" w:cs="Arial"/>
          <w:sz w:val="22"/>
          <w:szCs w:val="22"/>
        </w:rPr>
        <w:t>Imps</w:t>
      </w:r>
      <w:proofErr w:type="spellEnd"/>
      <w:r w:rsidRPr="00DF1F44">
        <w:rPr>
          <w:rFonts w:ascii="Arial" w:hAnsi="Arial" w:cs="Arial"/>
          <w:sz w:val="22"/>
          <w:szCs w:val="22"/>
        </w:rPr>
        <w:t xml:space="preserve"> ve 2006</w:t>
      </w:r>
      <w:r w:rsidR="007926FE">
        <w:rPr>
          <w:rFonts w:ascii="Arial" w:hAnsi="Arial" w:cs="Arial"/>
          <w:sz w:val="22"/>
          <w:szCs w:val="22"/>
        </w:rPr>
        <w:t xml:space="preserve"> </w:t>
      </w:r>
      <w:r w:rsidRPr="00DF1F44">
        <w:rPr>
          <w:rFonts w:ascii="Arial" w:hAnsi="Arial" w:cs="Arial"/>
          <w:sz w:val="22"/>
          <w:szCs w:val="22"/>
        </w:rPr>
        <w:t>-</w:t>
      </w:r>
      <w:r w:rsidR="007926FE">
        <w:rPr>
          <w:rFonts w:ascii="Arial" w:hAnsi="Arial" w:cs="Arial"/>
          <w:sz w:val="22"/>
          <w:szCs w:val="22"/>
        </w:rPr>
        <w:t xml:space="preserve"> </w:t>
      </w:r>
      <w:r w:rsidRPr="00DF1F44">
        <w:rPr>
          <w:rFonts w:ascii="Arial" w:hAnsi="Arial" w:cs="Arial"/>
          <w:sz w:val="22"/>
          <w:szCs w:val="22"/>
        </w:rPr>
        <w:t xml:space="preserve">2008 yılları arasında </w:t>
      </w:r>
      <w:r w:rsidR="00B01B2A" w:rsidRPr="00DF1F44">
        <w:rPr>
          <w:rFonts w:ascii="Arial" w:hAnsi="Arial" w:cs="Arial"/>
          <w:sz w:val="22"/>
          <w:szCs w:val="22"/>
        </w:rPr>
        <w:t>63</w:t>
      </w:r>
      <w:r w:rsidRPr="00DF1F44">
        <w:rPr>
          <w:rFonts w:ascii="Arial" w:hAnsi="Arial" w:cs="Arial"/>
          <w:sz w:val="22"/>
          <w:szCs w:val="22"/>
        </w:rPr>
        <w:t xml:space="preserve"> maç ile Moldova takımı </w:t>
      </w:r>
      <w:proofErr w:type="spellStart"/>
      <w:r w:rsidRPr="00DF1F44">
        <w:rPr>
          <w:rFonts w:ascii="Arial" w:hAnsi="Arial" w:cs="Arial"/>
          <w:sz w:val="22"/>
          <w:szCs w:val="22"/>
        </w:rPr>
        <w:t>Sheriff’te</w:t>
      </w:r>
      <w:proofErr w:type="spellEnd"/>
      <w:r w:rsidRPr="00DF1F44">
        <w:rPr>
          <w:rFonts w:ascii="Arial" w:hAnsi="Arial" w:cs="Arial"/>
          <w:sz w:val="22"/>
          <w:szCs w:val="22"/>
        </w:rPr>
        <w:t xml:space="preserve"> bulunuyor.</w:t>
      </w:r>
    </w:p>
    <w:p w14:paraId="3F7750BB" w14:textId="77777777" w:rsidR="00DF1F44" w:rsidRPr="00DF1F44" w:rsidRDefault="00DF1F44" w:rsidP="00DF1F44">
      <w:pPr>
        <w:spacing w:before="0" w:after="0" w:line="300" w:lineRule="auto"/>
        <w:contextualSpacing/>
        <w:rPr>
          <w:rFonts w:ascii="Arial" w:hAnsi="Arial" w:cs="Arial"/>
          <w:sz w:val="22"/>
          <w:szCs w:val="22"/>
        </w:rPr>
      </w:pPr>
    </w:p>
    <w:p w14:paraId="7907E19D" w14:textId="77777777" w:rsidR="00871344" w:rsidRPr="00DF1F44" w:rsidRDefault="00871344" w:rsidP="00DF1F44">
      <w:pPr>
        <w:spacing w:before="0" w:after="0" w:line="300" w:lineRule="auto"/>
        <w:contextualSpacing/>
        <w:rPr>
          <w:rFonts w:ascii="Arial" w:hAnsi="Arial" w:cs="Arial"/>
          <w:sz w:val="22"/>
          <w:szCs w:val="22"/>
        </w:rPr>
      </w:pPr>
      <w:r w:rsidRPr="00DF1F44">
        <w:rPr>
          <w:rFonts w:ascii="Arial" w:hAnsi="Arial" w:cs="Arial"/>
          <w:sz w:val="22"/>
          <w:szCs w:val="22"/>
        </w:rPr>
        <w:t>Avrupa’nın önde gelen liglerinde namağlup unvanını en uzun süre taşıyan diğer takımlar ise aşağıdaki tabloda yer alıyor:</w:t>
      </w:r>
    </w:p>
    <w:tbl>
      <w:tblPr>
        <w:tblW w:w="5000" w:type="pct"/>
        <w:tblCellMar>
          <w:left w:w="70" w:type="dxa"/>
          <w:right w:w="70" w:type="dxa"/>
        </w:tblCellMar>
        <w:tblLook w:val="04A0" w:firstRow="1" w:lastRow="0" w:firstColumn="1" w:lastColumn="0" w:noHBand="0" w:noVBand="1"/>
      </w:tblPr>
      <w:tblGrid>
        <w:gridCol w:w="2035"/>
        <w:gridCol w:w="2748"/>
        <w:gridCol w:w="2193"/>
        <w:gridCol w:w="2086"/>
      </w:tblGrid>
      <w:tr w:rsidR="00871344" w:rsidRPr="00DF1F44" w14:paraId="18D3443F" w14:textId="77777777" w:rsidTr="00FF18B3">
        <w:trPr>
          <w:trHeight w:val="267"/>
          <w:tblHeader/>
        </w:trPr>
        <w:tc>
          <w:tcPr>
            <w:tcW w:w="1122" w:type="pct"/>
            <w:tcBorders>
              <w:top w:val="single" w:sz="4" w:space="0" w:color="auto"/>
              <w:left w:val="single" w:sz="4" w:space="0" w:color="auto"/>
              <w:bottom w:val="single" w:sz="4" w:space="0" w:color="auto"/>
              <w:right w:val="single" w:sz="4" w:space="0" w:color="auto"/>
            </w:tcBorders>
            <w:shd w:val="clear" w:color="auto" w:fill="00338D"/>
            <w:noWrap/>
            <w:vAlign w:val="center"/>
            <w:hideMark/>
          </w:tcPr>
          <w:p w14:paraId="3E672ECF"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Lig</w:t>
            </w:r>
          </w:p>
        </w:tc>
        <w:tc>
          <w:tcPr>
            <w:tcW w:w="1516" w:type="pct"/>
            <w:tcBorders>
              <w:top w:val="single" w:sz="4" w:space="0" w:color="auto"/>
              <w:left w:val="nil"/>
              <w:bottom w:val="single" w:sz="4" w:space="0" w:color="auto"/>
              <w:right w:val="single" w:sz="4" w:space="0" w:color="auto"/>
            </w:tcBorders>
            <w:shd w:val="clear" w:color="auto" w:fill="00338D"/>
            <w:noWrap/>
            <w:vAlign w:val="center"/>
            <w:hideMark/>
          </w:tcPr>
          <w:p w14:paraId="177B8EE6"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Takım</w:t>
            </w:r>
          </w:p>
        </w:tc>
        <w:tc>
          <w:tcPr>
            <w:tcW w:w="1210" w:type="pct"/>
            <w:tcBorders>
              <w:top w:val="single" w:sz="4" w:space="0" w:color="auto"/>
              <w:left w:val="nil"/>
              <w:bottom w:val="single" w:sz="4" w:space="0" w:color="auto"/>
              <w:right w:val="single" w:sz="4" w:space="0" w:color="auto"/>
            </w:tcBorders>
            <w:shd w:val="clear" w:color="auto" w:fill="00338D"/>
            <w:noWrap/>
            <w:vAlign w:val="center"/>
            <w:hideMark/>
          </w:tcPr>
          <w:p w14:paraId="7A25BCE8"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Yıl</w:t>
            </w:r>
          </w:p>
        </w:tc>
        <w:tc>
          <w:tcPr>
            <w:tcW w:w="1151" w:type="pct"/>
            <w:tcBorders>
              <w:top w:val="single" w:sz="4" w:space="0" w:color="auto"/>
              <w:left w:val="nil"/>
              <w:bottom w:val="single" w:sz="4" w:space="0" w:color="auto"/>
              <w:right w:val="single" w:sz="4" w:space="0" w:color="auto"/>
            </w:tcBorders>
            <w:shd w:val="clear" w:color="auto" w:fill="00338D"/>
            <w:noWrap/>
            <w:vAlign w:val="center"/>
            <w:hideMark/>
          </w:tcPr>
          <w:p w14:paraId="14CD08B2" w14:textId="77777777" w:rsidR="00871344" w:rsidRPr="00DF1F44" w:rsidRDefault="00871344" w:rsidP="00DF1F44">
            <w:pPr>
              <w:spacing w:line="300" w:lineRule="auto"/>
              <w:jc w:val="center"/>
              <w:rPr>
                <w:rFonts w:ascii="Arial" w:hAnsi="Arial" w:cs="Arial"/>
                <w:b/>
                <w:bCs/>
                <w:sz w:val="22"/>
                <w:szCs w:val="22"/>
                <w:lang w:eastAsia="tr-TR"/>
              </w:rPr>
            </w:pPr>
            <w:r w:rsidRPr="00DF1F44">
              <w:rPr>
                <w:rFonts w:ascii="Arial" w:hAnsi="Arial" w:cs="Arial"/>
                <w:b/>
                <w:bCs/>
                <w:sz w:val="22"/>
                <w:szCs w:val="22"/>
                <w:lang w:eastAsia="tr-TR"/>
              </w:rPr>
              <w:t>Yenilmezlik Serisi</w:t>
            </w:r>
          </w:p>
        </w:tc>
      </w:tr>
      <w:tr w:rsidR="00871344" w:rsidRPr="00DF1F44" w14:paraId="67EBE0F5"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7BEDE579"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Portekiz</w:t>
            </w:r>
          </w:p>
        </w:tc>
        <w:tc>
          <w:tcPr>
            <w:tcW w:w="1516" w:type="pct"/>
            <w:tcBorders>
              <w:top w:val="nil"/>
              <w:left w:val="nil"/>
              <w:bottom w:val="single" w:sz="4" w:space="0" w:color="auto"/>
              <w:right w:val="single" w:sz="4" w:space="0" w:color="auto"/>
            </w:tcBorders>
            <w:shd w:val="clear" w:color="auto" w:fill="auto"/>
            <w:noWrap/>
            <w:vAlign w:val="bottom"/>
            <w:hideMark/>
          </w:tcPr>
          <w:p w14:paraId="708942D3"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Porto</w:t>
            </w:r>
          </w:p>
        </w:tc>
        <w:tc>
          <w:tcPr>
            <w:tcW w:w="1210" w:type="pct"/>
            <w:tcBorders>
              <w:top w:val="nil"/>
              <w:left w:val="nil"/>
              <w:bottom w:val="single" w:sz="4" w:space="0" w:color="auto"/>
              <w:right w:val="single" w:sz="4" w:space="0" w:color="auto"/>
            </w:tcBorders>
            <w:shd w:val="clear" w:color="auto" w:fill="auto"/>
            <w:vAlign w:val="center"/>
            <w:hideMark/>
          </w:tcPr>
          <w:p w14:paraId="5CD579D5"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2020-2022</w:t>
            </w:r>
          </w:p>
        </w:tc>
        <w:tc>
          <w:tcPr>
            <w:tcW w:w="1151" w:type="pct"/>
            <w:tcBorders>
              <w:top w:val="nil"/>
              <w:left w:val="nil"/>
              <w:bottom w:val="single" w:sz="4" w:space="0" w:color="auto"/>
              <w:right w:val="single" w:sz="4" w:space="0" w:color="auto"/>
            </w:tcBorders>
            <w:shd w:val="clear" w:color="auto" w:fill="auto"/>
            <w:noWrap/>
            <w:vAlign w:val="center"/>
            <w:hideMark/>
          </w:tcPr>
          <w:p w14:paraId="04AFD0DA"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58</w:t>
            </w:r>
          </w:p>
        </w:tc>
      </w:tr>
      <w:tr w:rsidR="00871344" w:rsidRPr="00DF1F44" w14:paraId="79DC665B"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5F2205D2"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İtalya</w:t>
            </w:r>
          </w:p>
        </w:tc>
        <w:tc>
          <w:tcPr>
            <w:tcW w:w="1516" w:type="pct"/>
            <w:tcBorders>
              <w:top w:val="nil"/>
              <w:left w:val="nil"/>
              <w:bottom w:val="single" w:sz="4" w:space="0" w:color="auto"/>
              <w:right w:val="single" w:sz="4" w:space="0" w:color="auto"/>
            </w:tcBorders>
            <w:shd w:val="clear" w:color="auto" w:fill="auto"/>
            <w:noWrap/>
            <w:vAlign w:val="bottom"/>
            <w:hideMark/>
          </w:tcPr>
          <w:p w14:paraId="37463BEE"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Milan</w:t>
            </w:r>
          </w:p>
        </w:tc>
        <w:tc>
          <w:tcPr>
            <w:tcW w:w="1210" w:type="pct"/>
            <w:tcBorders>
              <w:top w:val="nil"/>
              <w:left w:val="nil"/>
              <w:bottom w:val="single" w:sz="4" w:space="0" w:color="auto"/>
              <w:right w:val="single" w:sz="4" w:space="0" w:color="auto"/>
            </w:tcBorders>
            <w:shd w:val="clear" w:color="auto" w:fill="auto"/>
            <w:noWrap/>
            <w:vAlign w:val="center"/>
            <w:hideMark/>
          </w:tcPr>
          <w:p w14:paraId="1C75EFDB"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1991-1993</w:t>
            </w:r>
          </w:p>
        </w:tc>
        <w:tc>
          <w:tcPr>
            <w:tcW w:w="1151" w:type="pct"/>
            <w:tcBorders>
              <w:top w:val="nil"/>
              <w:left w:val="nil"/>
              <w:bottom w:val="single" w:sz="4" w:space="0" w:color="auto"/>
              <w:right w:val="single" w:sz="4" w:space="0" w:color="auto"/>
            </w:tcBorders>
            <w:shd w:val="clear" w:color="auto" w:fill="auto"/>
            <w:noWrap/>
            <w:vAlign w:val="center"/>
            <w:hideMark/>
          </w:tcPr>
          <w:p w14:paraId="737F6897"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58</w:t>
            </w:r>
          </w:p>
        </w:tc>
      </w:tr>
      <w:tr w:rsidR="00871344" w:rsidRPr="00DF1F44" w14:paraId="1E4DFAD5"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174FBADB"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Almanya</w:t>
            </w:r>
          </w:p>
        </w:tc>
        <w:tc>
          <w:tcPr>
            <w:tcW w:w="1516" w:type="pct"/>
            <w:tcBorders>
              <w:top w:val="nil"/>
              <w:left w:val="nil"/>
              <w:bottom w:val="single" w:sz="4" w:space="0" w:color="auto"/>
              <w:right w:val="single" w:sz="4" w:space="0" w:color="auto"/>
            </w:tcBorders>
            <w:shd w:val="clear" w:color="auto" w:fill="auto"/>
            <w:noWrap/>
            <w:vAlign w:val="bottom"/>
            <w:hideMark/>
          </w:tcPr>
          <w:p w14:paraId="68C01888"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Bayer Münih</w:t>
            </w:r>
          </w:p>
        </w:tc>
        <w:tc>
          <w:tcPr>
            <w:tcW w:w="1210" w:type="pct"/>
            <w:tcBorders>
              <w:top w:val="nil"/>
              <w:left w:val="nil"/>
              <w:bottom w:val="single" w:sz="4" w:space="0" w:color="auto"/>
              <w:right w:val="single" w:sz="4" w:space="0" w:color="auto"/>
            </w:tcBorders>
            <w:shd w:val="clear" w:color="auto" w:fill="auto"/>
            <w:noWrap/>
            <w:vAlign w:val="center"/>
            <w:hideMark/>
          </w:tcPr>
          <w:p w14:paraId="2C7A035B"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2012-2014</w:t>
            </w:r>
          </w:p>
        </w:tc>
        <w:tc>
          <w:tcPr>
            <w:tcW w:w="1151" w:type="pct"/>
            <w:tcBorders>
              <w:top w:val="nil"/>
              <w:left w:val="nil"/>
              <w:bottom w:val="single" w:sz="4" w:space="0" w:color="auto"/>
              <w:right w:val="single" w:sz="4" w:space="0" w:color="auto"/>
            </w:tcBorders>
            <w:shd w:val="clear" w:color="auto" w:fill="auto"/>
            <w:noWrap/>
            <w:vAlign w:val="center"/>
            <w:hideMark/>
          </w:tcPr>
          <w:p w14:paraId="5FDF8DC0"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53</w:t>
            </w:r>
          </w:p>
        </w:tc>
      </w:tr>
      <w:tr w:rsidR="00871344" w:rsidRPr="00DF1F44" w14:paraId="62ABD881"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309C8F6D"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 xml:space="preserve">Hollanda </w:t>
            </w:r>
          </w:p>
        </w:tc>
        <w:tc>
          <w:tcPr>
            <w:tcW w:w="1516" w:type="pct"/>
            <w:tcBorders>
              <w:top w:val="nil"/>
              <w:left w:val="nil"/>
              <w:bottom w:val="single" w:sz="4" w:space="0" w:color="auto"/>
              <w:right w:val="single" w:sz="4" w:space="0" w:color="auto"/>
            </w:tcBorders>
            <w:shd w:val="clear" w:color="auto" w:fill="auto"/>
            <w:vAlign w:val="bottom"/>
            <w:hideMark/>
          </w:tcPr>
          <w:p w14:paraId="01371E78" w14:textId="77777777" w:rsidR="00871344" w:rsidRPr="00DF1F44" w:rsidRDefault="00871344" w:rsidP="00DF1F44">
            <w:pPr>
              <w:spacing w:line="300" w:lineRule="auto"/>
              <w:rPr>
                <w:rFonts w:ascii="Arial" w:hAnsi="Arial" w:cs="Arial"/>
                <w:sz w:val="22"/>
                <w:szCs w:val="22"/>
                <w:lang w:eastAsia="tr-TR"/>
              </w:rPr>
            </w:pPr>
            <w:proofErr w:type="spellStart"/>
            <w:r w:rsidRPr="00DF1F44">
              <w:rPr>
                <w:rFonts w:ascii="Arial" w:hAnsi="Arial" w:cs="Arial"/>
                <w:sz w:val="22"/>
                <w:szCs w:val="22"/>
                <w:lang w:eastAsia="tr-TR"/>
              </w:rPr>
              <w:t>Ajax</w:t>
            </w:r>
            <w:proofErr w:type="spellEnd"/>
          </w:p>
        </w:tc>
        <w:tc>
          <w:tcPr>
            <w:tcW w:w="1210" w:type="pct"/>
            <w:tcBorders>
              <w:top w:val="nil"/>
              <w:left w:val="nil"/>
              <w:bottom w:val="single" w:sz="4" w:space="0" w:color="auto"/>
              <w:right w:val="single" w:sz="4" w:space="0" w:color="auto"/>
            </w:tcBorders>
            <w:shd w:val="clear" w:color="auto" w:fill="auto"/>
            <w:vAlign w:val="center"/>
            <w:hideMark/>
          </w:tcPr>
          <w:p w14:paraId="3A989B37"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1994-1995</w:t>
            </w:r>
          </w:p>
        </w:tc>
        <w:tc>
          <w:tcPr>
            <w:tcW w:w="1151" w:type="pct"/>
            <w:tcBorders>
              <w:top w:val="nil"/>
              <w:left w:val="nil"/>
              <w:bottom w:val="single" w:sz="4" w:space="0" w:color="auto"/>
              <w:right w:val="single" w:sz="4" w:space="0" w:color="auto"/>
            </w:tcBorders>
            <w:shd w:val="clear" w:color="auto" w:fill="auto"/>
            <w:noWrap/>
            <w:vAlign w:val="center"/>
            <w:hideMark/>
          </w:tcPr>
          <w:p w14:paraId="0B875A9C"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52</w:t>
            </w:r>
          </w:p>
        </w:tc>
      </w:tr>
      <w:tr w:rsidR="00871344" w:rsidRPr="00DF1F44" w14:paraId="56252A0B"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759DB1CA"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İngiltere</w:t>
            </w:r>
          </w:p>
        </w:tc>
        <w:tc>
          <w:tcPr>
            <w:tcW w:w="1516" w:type="pct"/>
            <w:tcBorders>
              <w:top w:val="nil"/>
              <w:left w:val="nil"/>
              <w:bottom w:val="single" w:sz="4" w:space="0" w:color="auto"/>
              <w:right w:val="single" w:sz="4" w:space="0" w:color="auto"/>
            </w:tcBorders>
            <w:shd w:val="clear" w:color="auto" w:fill="auto"/>
            <w:noWrap/>
            <w:vAlign w:val="bottom"/>
            <w:hideMark/>
          </w:tcPr>
          <w:p w14:paraId="3DBA85EC"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Arsenal</w:t>
            </w:r>
          </w:p>
        </w:tc>
        <w:tc>
          <w:tcPr>
            <w:tcW w:w="1210" w:type="pct"/>
            <w:tcBorders>
              <w:top w:val="nil"/>
              <w:left w:val="nil"/>
              <w:bottom w:val="single" w:sz="4" w:space="0" w:color="auto"/>
              <w:right w:val="single" w:sz="4" w:space="0" w:color="auto"/>
            </w:tcBorders>
            <w:shd w:val="clear" w:color="auto" w:fill="auto"/>
            <w:noWrap/>
            <w:vAlign w:val="center"/>
            <w:hideMark/>
          </w:tcPr>
          <w:p w14:paraId="37B08C2C"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2003-2004</w:t>
            </w:r>
          </w:p>
        </w:tc>
        <w:tc>
          <w:tcPr>
            <w:tcW w:w="1151" w:type="pct"/>
            <w:tcBorders>
              <w:top w:val="nil"/>
              <w:left w:val="nil"/>
              <w:bottom w:val="single" w:sz="4" w:space="0" w:color="auto"/>
              <w:right w:val="single" w:sz="4" w:space="0" w:color="auto"/>
            </w:tcBorders>
            <w:shd w:val="clear" w:color="auto" w:fill="auto"/>
            <w:noWrap/>
            <w:vAlign w:val="center"/>
            <w:hideMark/>
          </w:tcPr>
          <w:p w14:paraId="0AFE3ADF"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48</w:t>
            </w:r>
          </w:p>
        </w:tc>
      </w:tr>
      <w:tr w:rsidR="00871344" w:rsidRPr="00DF1F44" w14:paraId="3B47A021"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6ACAC834"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İspanya</w:t>
            </w:r>
          </w:p>
        </w:tc>
        <w:tc>
          <w:tcPr>
            <w:tcW w:w="1516" w:type="pct"/>
            <w:tcBorders>
              <w:top w:val="nil"/>
              <w:left w:val="nil"/>
              <w:bottom w:val="single" w:sz="4" w:space="0" w:color="auto"/>
              <w:right w:val="single" w:sz="4" w:space="0" w:color="auto"/>
            </w:tcBorders>
            <w:shd w:val="clear" w:color="auto" w:fill="auto"/>
            <w:vAlign w:val="bottom"/>
            <w:hideMark/>
          </w:tcPr>
          <w:p w14:paraId="006F556D"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Barcelona</w:t>
            </w:r>
          </w:p>
        </w:tc>
        <w:tc>
          <w:tcPr>
            <w:tcW w:w="1210" w:type="pct"/>
            <w:tcBorders>
              <w:top w:val="nil"/>
              <w:left w:val="nil"/>
              <w:bottom w:val="single" w:sz="4" w:space="0" w:color="auto"/>
              <w:right w:val="single" w:sz="4" w:space="0" w:color="auto"/>
            </w:tcBorders>
            <w:shd w:val="clear" w:color="auto" w:fill="auto"/>
            <w:vAlign w:val="center"/>
            <w:hideMark/>
          </w:tcPr>
          <w:p w14:paraId="4A2CE4AE"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2017-2018</w:t>
            </w:r>
          </w:p>
        </w:tc>
        <w:tc>
          <w:tcPr>
            <w:tcW w:w="1151" w:type="pct"/>
            <w:tcBorders>
              <w:top w:val="nil"/>
              <w:left w:val="nil"/>
              <w:bottom w:val="single" w:sz="4" w:space="0" w:color="auto"/>
              <w:right w:val="single" w:sz="4" w:space="0" w:color="auto"/>
            </w:tcBorders>
            <w:shd w:val="clear" w:color="auto" w:fill="auto"/>
            <w:noWrap/>
            <w:vAlign w:val="center"/>
            <w:hideMark/>
          </w:tcPr>
          <w:p w14:paraId="374DB5E3"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43</w:t>
            </w:r>
          </w:p>
        </w:tc>
      </w:tr>
      <w:tr w:rsidR="00871344" w:rsidRPr="00DF1F44" w14:paraId="09109831" w14:textId="77777777" w:rsidTr="00E000FE">
        <w:trPr>
          <w:trHeight w:val="267"/>
        </w:trPr>
        <w:tc>
          <w:tcPr>
            <w:tcW w:w="1122" w:type="pct"/>
            <w:tcBorders>
              <w:top w:val="nil"/>
              <w:left w:val="single" w:sz="4" w:space="0" w:color="auto"/>
              <w:bottom w:val="single" w:sz="4" w:space="0" w:color="auto"/>
              <w:right w:val="single" w:sz="4" w:space="0" w:color="auto"/>
            </w:tcBorders>
            <w:shd w:val="clear" w:color="auto" w:fill="auto"/>
            <w:noWrap/>
            <w:vAlign w:val="bottom"/>
            <w:hideMark/>
          </w:tcPr>
          <w:p w14:paraId="45D6E396"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Fransa</w:t>
            </w:r>
          </w:p>
        </w:tc>
        <w:tc>
          <w:tcPr>
            <w:tcW w:w="1516" w:type="pct"/>
            <w:tcBorders>
              <w:top w:val="nil"/>
              <w:left w:val="nil"/>
              <w:bottom w:val="single" w:sz="4" w:space="0" w:color="auto"/>
              <w:right w:val="single" w:sz="4" w:space="0" w:color="auto"/>
            </w:tcBorders>
            <w:shd w:val="clear" w:color="auto" w:fill="auto"/>
            <w:vAlign w:val="bottom"/>
            <w:hideMark/>
          </w:tcPr>
          <w:p w14:paraId="5FE5C3E9" w14:textId="77777777" w:rsidR="00871344" w:rsidRPr="00DF1F44" w:rsidRDefault="00871344" w:rsidP="00DF1F44">
            <w:pPr>
              <w:spacing w:line="300" w:lineRule="auto"/>
              <w:rPr>
                <w:rFonts w:ascii="Arial" w:hAnsi="Arial" w:cs="Arial"/>
                <w:sz w:val="22"/>
                <w:szCs w:val="22"/>
                <w:lang w:eastAsia="tr-TR"/>
              </w:rPr>
            </w:pPr>
            <w:r w:rsidRPr="00DF1F44">
              <w:rPr>
                <w:rFonts w:ascii="Arial" w:hAnsi="Arial" w:cs="Arial"/>
                <w:sz w:val="22"/>
                <w:szCs w:val="22"/>
                <w:lang w:eastAsia="tr-TR"/>
              </w:rPr>
              <w:t>PSG</w:t>
            </w:r>
          </w:p>
        </w:tc>
        <w:tc>
          <w:tcPr>
            <w:tcW w:w="1210" w:type="pct"/>
            <w:tcBorders>
              <w:top w:val="nil"/>
              <w:left w:val="nil"/>
              <w:bottom w:val="single" w:sz="4" w:space="0" w:color="auto"/>
              <w:right w:val="single" w:sz="4" w:space="0" w:color="auto"/>
            </w:tcBorders>
            <w:shd w:val="clear" w:color="auto" w:fill="auto"/>
            <w:vAlign w:val="center"/>
            <w:hideMark/>
          </w:tcPr>
          <w:p w14:paraId="0C99BA5C"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2015-2016</w:t>
            </w:r>
          </w:p>
        </w:tc>
        <w:tc>
          <w:tcPr>
            <w:tcW w:w="1151" w:type="pct"/>
            <w:tcBorders>
              <w:top w:val="nil"/>
              <w:left w:val="nil"/>
              <w:bottom w:val="single" w:sz="4" w:space="0" w:color="auto"/>
              <w:right w:val="single" w:sz="4" w:space="0" w:color="auto"/>
            </w:tcBorders>
            <w:shd w:val="clear" w:color="auto" w:fill="auto"/>
            <w:noWrap/>
            <w:vAlign w:val="center"/>
            <w:hideMark/>
          </w:tcPr>
          <w:p w14:paraId="008F0071" w14:textId="77777777" w:rsidR="00871344" w:rsidRPr="00DF1F44" w:rsidRDefault="00871344" w:rsidP="00DF1F44">
            <w:pPr>
              <w:spacing w:line="300" w:lineRule="auto"/>
              <w:jc w:val="center"/>
              <w:rPr>
                <w:rFonts w:ascii="Arial" w:hAnsi="Arial" w:cs="Arial"/>
                <w:sz w:val="22"/>
                <w:szCs w:val="22"/>
                <w:lang w:eastAsia="tr-TR"/>
              </w:rPr>
            </w:pPr>
            <w:r w:rsidRPr="00DF1F44">
              <w:rPr>
                <w:rFonts w:ascii="Arial" w:hAnsi="Arial" w:cs="Arial"/>
                <w:sz w:val="22"/>
                <w:szCs w:val="22"/>
                <w:lang w:eastAsia="tr-TR"/>
              </w:rPr>
              <w:t>36</w:t>
            </w:r>
          </w:p>
        </w:tc>
      </w:tr>
    </w:tbl>
    <w:p w14:paraId="1A374969" w14:textId="1F274231" w:rsidR="00261F91" w:rsidRDefault="00261F91" w:rsidP="00DF1F44">
      <w:pPr>
        <w:spacing w:line="300" w:lineRule="auto"/>
      </w:pPr>
    </w:p>
    <w:p w14:paraId="7FF495F8" w14:textId="77777777" w:rsidR="00DF1F44" w:rsidRPr="00AB2A22" w:rsidRDefault="00DF1F44" w:rsidP="00DF1F44">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b/>
          <w:bCs/>
          <w:sz w:val="18"/>
          <w:szCs w:val="18"/>
        </w:rPr>
        <w:t xml:space="preserve">Bilgi için: </w:t>
      </w:r>
      <w:r w:rsidRPr="00AB2A22">
        <w:rPr>
          <w:rStyle w:val="tabchar"/>
          <w:rFonts w:asciiTheme="minorHAnsi" w:hAnsiTheme="minorHAnsi" w:cstheme="minorHAnsi"/>
          <w:sz w:val="18"/>
          <w:szCs w:val="18"/>
        </w:rPr>
        <w:tab/>
      </w:r>
      <w:r w:rsidRPr="00AB2A22">
        <w:rPr>
          <w:rStyle w:val="eop"/>
          <w:rFonts w:asciiTheme="minorHAnsi" w:hAnsiTheme="minorHAnsi" w:cstheme="minorHAnsi"/>
          <w:sz w:val="18"/>
          <w:szCs w:val="18"/>
        </w:rPr>
        <w:t> </w:t>
      </w:r>
    </w:p>
    <w:p w14:paraId="652A5363" w14:textId="77777777" w:rsidR="00DF1F44" w:rsidRPr="00AB2A22" w:rsidRDefault="00DF1F44" w:rsidP="00DF1F44">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Ceren Moral Aru</w:t>
      </w:r>
      <w:r w:rsidRPr="00AB2A22">
        <w:rPr>
          <w:rStyle w:val="eop"/>
          <w:rFonts w:asciiTheme="minorHAnsi" w:hAnsiTheme="minorHAnsi" w:cstheme="minorHAnsi"/>
          <w:color w:val="000000"/>
          <w:sz w:val="18"/>
          <w:szCs w:val="18"/>
        </w:rPr>
        <w:t> </w:t>
      </w:r>
    </w:p>
    <w:p w14:paraId="23CDE664" w14:textId="77777777" w:rsidR="00DF1F44" w:rsidRPr="00AB2A22" w:rsidRDefault="00DF1F44" w:rsidP="00DF1F44">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0533 921 43 53</w:t>
      </w:r>
      <w:r w:rsidRPr="00AB2A22">
        <w:rPr>
          <w:rStyle w:val="eop"/>
          <w:rFonts w:asciiTheme="minorHAnsi" w:hAnsiTheme="minorHAnsi" w:cstheme="minorHAnsi"/>
          <w:color w:val="000000"/>
          <w:sz w:val="18"/>
          <w:szCs w:val="18"/>
        </w:rPr>
        <w:t> </w:t>
      </w:r>
    </w:p>
    <w:p w14:paraId="2D0C539C" w14:textId="77777777" w:rsidR="00DF1F44" w:rsidRPr="00AB2A22" w:rsidRDefault="00DF1F44" w:rsidP="00DF1F44">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normaltextrun"/>
          <w:rFonts w:asciiTheme="minorHAnsi" w:hAnsiTheme="minorHAnsi" w:cstheme="minorHAnsi"/>
          <w:color w:val="000000"/>
          <w:sz w:val="18"/>
          <w:szCs w:val="18"/>
        </w:rPr>
        <w:t>cerenm@marjinal.com.tr</w:t>
      </w:r>
      <w:r w:rsidRPr="00AB2A22">
        <w:rPr>
          <w:rStyle w:val="eop"/>
          <w:rFonts w:asciiTheme="minorHAnsi" w:hAnsiTheme="minorHAnsi" w:cstheme="minorHAnsi"/>
          <w:color w:val="000000"/>
          <w:sz w:val="18"/>
          <w:szCs w:val="18"/>
        </w:rPr>
        <w:t> </w:t>
      </w:r>
    </w:p>
    <w:p w14:paraId="4CF053E0" w14:textId="77777777" w:rsidR="00DF1F44" w:rsidRPr="00AB2A22" w:rsidRDefault="00DF1F44" w:rsidP="00DF1F44">
      <w:pPr>
        <w:pStyle w:val="paragraph"/>
        <w:spacing w:before="0" w:beforeAutospacing="0" w:after="0" w:afterAutospacing="0"/>
        <w:jc w:val="both"/>
        <w:textAlignment w:val="baseline"/>
        <w:rPr>
          <w:rFonts w:asciiTheme="minorHAnsi" w:hAnsiTheme="minorHAnsi" w:cstheme="minorHAnsi"/>
          <w:sz w:val="18"/>
          <w:szCs w:val="18"/>
        </w:rPr>
      </w:pPr>
      <w:r w:rsidRPr="00AB2A22">
        <w:rPr>
          <w:rStyle w:val="eop"/>
          <w:rFonts w:asciiTheme="minorHAnsi" w:hAnsiTheme="minorHAnsi" w:cstheme="minorHAnsi"/>
          <w:sz w:val="18"/>
          <w:szCs w:val="18"/>
        </w:rPr>
        <w:t> </w:t>
      </w:r>
    </w:p>
    <w:p w14:paraId="3ACE87CD" w14:textId="77777777" w:rsidR="00DF1F44" w:rsidRPr="00AB2A22" w:rsidRDefault="00DF1F44" w:rsidP="00DF1F44">
      <w:pPr>
        <w:pStyle w:val="paragraph"/>
        <w:spacing w:before="0" w:beforeAutospacing="0" w:after="0" w:afterAutospacing="0"/>
        <w:contextualSpacing/>
        <w:jc w:val="both"/>
        <w:textAlignment w:val="baseline"/>
        <w:rPr>
          <w:rFonts w:asciiTheme="minorHAnsi" w:hAnsiTheme="minorHAnsi" w:cstheme="minorHAnsi"/>
          <w:sz w:val="18"/>
          <w:szCs w:val="18"/>
        </w:rPr>
      </w:pPr>
      <w:r w:rsidRPr="00AB2A22">
        <w:rPr>
          <w:rStyle w:val="normaltextrun"/>
          <w:rFonts w:asciiTheme="minorHAnsi" w:hAnsiTheme="minorHAnsi" w:cstheme="minorHAnsi"/>
          <w:b/>
          <w:bCs/>
          <w:sz w:val="18"/>
          <w:szCs w:val="18"/>
          <w:u w:val="single"/>
        </w:rPr>
        <w:t>KPMG Hakkında</w:t>
      </w:r>
      <w:r w:rsidRPr="00AB2A22">
        <w:rPr>
          <w:rStyle w:val="eop"/>
          <w:rFonts w:asciiTheme="minorHAnsi" w:hAnsiTheme="minorHAnsi" w:cstheme="minorHAnsi"/>
          <w:sz w:val="18"/>
          <w:szCs w:val="18"/>
        </w:rPr>
        <w:t> </w:t>
      </w:r>
    </w:p>
    <w:p w14:paraId="402311CA" w14:textId="4E3BC5B1" w:rsidR="00DF1F44" w:rsidRPr="00DF1F44" w:rsidRDefault="00DF1F44" w:rsidP="007926FE">
      <w:pPr>
        <w:pStyle w:val="paragraph"/>
        <w:spacing w:after="0"/>
        <w:contextualSpacing/>
        <w:jc w:val="both"/>
        <w:textAlignment w:val="baseline"/>
      </w:pPr>
      <w:r w:rsidRPr="00A1618D">
        <w:rPr>
          <w:rStyle w:val="normaltextrun"/>
          <w:rFonts w:asciiTheme="minorHAnsi" w:hAnsiTheme="minorHAnsi" w:cstheme="minorHAnsi"/>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w:t>
      </w:r>
      <w:r>
        <w:rPr>
          <w:rStyle w:val="normaltextrun"/>
          <w:rFonts w:asciiTheme="minorHAnsi" w:hAnsiTheme="minorHAnsi" w:cstheme="minorHAnsi"/>
          <w:color w:val="000000"/>
          <w:sz w:val="18"/>
          <w:szCs w:val="18"/>
        </w:rPr>
        <w:t xml:space="preserve">için </w:t>
      </w:r>
      <w:hyperlink r:id="rId9" w:history="1">
        <w:r w:rsidRPr="00716F46">
          <w:rPr>
            <w:rStyle w:val="Kpr"/>
            <w:rFonts w:asciiTheme="minorHAnsi" w:hAnsiTheme="minorHAnsi" w:cstheme="minorHAnsi"/>
            <w:sz w:val="18"/>
            <w:szCs w:val="18"/>
          </w:rPr>
          <w:t>www.kpmg.com.tr</w:t>
        </w:r>
      </w:hyperlink>
      <w:r>
        <w:rPr>
          <w:rStyle w:val="normaltextrun"/>
          <w:rFonts w:asciiTheme="minorHAnsi" w:hAnsiTheme="minorHAnsi" w:cstheme="minorHAnsi"/>
          <w:color w:val="000000"/>
          <w:sz w:val="18"/>
          <w:szCs w:val="18"/>
        </w:rPr>
        <w:t xml:space="preserve"> </w:t>
      </w:r>
      <w:r w:rsidRPr="00A1618D">
        <w:rPr>
          <w:rStyle w:val="normaltextrun"/>
          <w:rFonts w:asciiTheme="minorHAnsi" w:hAnsiTheme="minorHAnsi" w:cstheme="minorHAnsi"/>
          <w:color w:val="000000"/>
          <w:sz w:val="18"/>
          <w:szCs w:val="18"/>
        </w:rPr>
        <w:t>adresine başvurabilirsiniz.</w:t>
      </w:r>
      <w:r w:rsidRPr="00540BBF">
        <w:t xml:space="preserve"> </w:t>
      </w:r>
    </w:p>
    <w:sectPr w:rsidR="00DF1F44" w:rsidRPr="00DF1F44" w:rsidSect="00DF1F44">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3CDD" w14:textId="77777777" w:rsidR="00757E88" w:rsidRDefault="00757E88" w:rsidP="00A43881">
      <w:pPr>
        <w:spacing w:before="0" w:after="0" w:line="240" w:lineRule="auto"/>
      </w:pPr>
      <w:r>
        <w:separator/>
      </w:r>
    </w:p>
  </w:endnote>
  <w:endnote w:type="continuationSeparator" w:id="0">
    <w:p w14:paraId="7D401288" w14:textId="77777777" w:rsidR="00757E88" w:rsidRDefault="00757E88" w:rsidP="00A438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78503"/>
      <w:docPartObj>
        <w:docPartGallery w:val="Page Numbers (Bottom of Page)"/>
        <w:docPartUnique/>
      </w:docPartObj>
    </w:sdtPr>
    <w:sdtEndPr>
      <w:rPr>
        <w:noProof/>
      </w:rPr>
    </w:sdtEndPr>
    <w:sdtContent>
      <w:p w14:paraId="25AE7716" w14:textId="7CC43D95" w:rsidR="00A43881" w:rsidRDefault="00A43881">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2EBAE940" w14:textId="77777777" w:rsidR="00A43881" w:rsidRDefault="00A438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77AF" w14:textId="77777777" w:rsidR="00757E88" w:rsidRDefault="00757E88" w:rsidP="00A43881">
      <w:pPr>
        <w:spacing w:before="0" w:after="0" w:line="240" w:lineRule="auto"/>
      </w:pPr>
      <w:r>
        <w:separator/>
      </w:r>
    </w:p>
  </w:footnote>
  <w:footnote w:type="continuationSeparator" w:id="0">
    <w:p w14:paraId="308E0D79" w14:textId="77777777" w:rsidR="00757E88" w:rsidRDefault="00757E88" w:rsidP="00A438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2CA4" w14:textId="7C258CD3" w:rsidR="00DF1F44" w:rsidRDefault="00DF1F44">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47987C81" wp14:editId="5B8D7FDA">
          <wp:simplePos x="0" y="0"/>
          <wp:positionH relativeFrom="column">
            <wp:posOffset>-158750</wp:posOffset>
          </wp:positionH>
          <wp:positionV relativeFrom="paragraph">
            <wp:posOffset>-241935</wp:posOffset>
          </wp:positionV>
          <wp:extent cx="1057275" cy="444500"/>
          <wp:effectExtent l="0" t="0" r="0" b="0"/>
          <wp:wrapSquare wrapText="bothSides" distT="0" distB="0" distL="114300" distR="114300"/>
          <wp:docPr id="3" name="Resim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C9"/>
    <w:rsid w:val="00007B07"/>
    <w:rsid w:val="00070DC9"/>
    <w:rsid w:val="00074516"/>
    <w:rsid w:val="001D507F"/>
    <w:rsid w:val="00230372"/>
    <w:rsid w:val="00245C80"/>
    <w:rsid w:val="00261F91"/>
    <w:rsid w:val="00320373"/>
    <w:rsid w:val="00585AFA"/>
    <w:rsid w:val="00601A0F"/>
    <w:rsid w:val="00757E88"/>
    <w:rsid w:val="00784AEE"/>
    <w:rsid w:val="007926FE"/>
    <w:rsid w:val="00871344"/>
    <w:rsid w:val="008B2EDD"/>
    <w:rsid w:val="0091222E"/>
    <w:rsid w:val="009E72B4"/>
    <w:rsid w:val="00A43881"/>
    <w:rsid w:val="00A85144"/>
    <w:rsid w:val="00A91B3A"/>
    <w:rsid w:val="00AD31A7"/>
    <w:rsid w:val="00B01B2A"/>
    <w:rsid w:val="00B83C3E"/>
    <w:rsid w:val="00BE2D6F"/>
    <w:rsid w:val="00C31137"/>
    <w:rsid w:val="00C36C5D"/>
    <w:rsid w:val="00D1482B"/>
    <w:rsid w:val="00D7433E"/>
    <w:rsid w:val="00DF1F44"/>
    <w:rsid w:val="00E000FE"/>
    <w:rsid w:val="00E15AB4"/>
    <w:rsid w:val="00E61876"/>
    <w:rsid w:val="00E925B5"/>
    <w:rsid w:val="00FF18B3"/>
    <w:rsid w:val="6999E9C1"/>
    <w:rsid w:val="780E8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E8A9"/>
  <w15:chartTrackingRefBased/>
  <w15:docId w15:val="{C34C650F-3AEC-4362-94BC-BFDC667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f"/>
    <w:qFormat/>
    <w:rsid w:val="00C36C5D"/>
    <w:pPr>
      <w:spacing w:before="120" w:after="120" w:line="276" w:lineRule="auto"/>
      <w:jc w:val="both"/>
    </w:pPr>
    <w:rPr>
      <w:rFonts w:ascii="Times New Roman" w:hAnsi="Times New Roman" w:cs="Times New Roman"/>
      <w:sz w:val="20"/>
      <w:szCs w:val="20"/>
    </w:rPr>
  </w:style>
  <w:style w:type="paragraph" w:styleId="Balk1">
    <w:name w:val="heading 1"/>
    <w:aliases w:val="Başlık"/>
    <w:basedOn w:val="Normal"/>
    <w:next w:val="Normal"/>
    <w:link w:val="Balk1Char"/>
    <w:uiPriority w:val="9"/>
    <w:qFormat/>
    <w:rsid w:val="00C36C5D"/>
    <w:pPr>
      <w:spacing w:after="240"/>
      <w:outlineLvl w:val="0"/>
    </w:pPr>
    <w:rPr>
      <w:b/>
      <w:bCs/>
      <w:color w:val="00338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Char"/>
    <w:basedOn w:val="VarsaylanParagrafYazTipi"/>
    <w:link w:val="Balk1"/>
    <w:uiPriority w:val="9"/>
    <w:rsid w:val="00C36C5D"/>
    <w:rPr>
      <w:rFonts w:ascii="Times New Roman" w:hAnsi="Times New Roman" w:cs="Times New Roman"/>
      <w:b/>
      <w:bCs/>
      <w:color w:val="00338D"/>
      <w:lang w:val="en-GB"/>
    </w:rPr>
  </w:style>
  <w:style w:type="paragraph" w:styleId="stBilgi">
    <w:name w:val="header"/>
    <w:basedOn w:val="Normal"/>
    <w:link w:val="stBilgiChar"/>
    <w:uiPriority w:val="99"/>
    <w:unhideWhenUsed/>
    <w:rsid w:val="00A43881"/>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43881"/>
    <w:rPr>
      <w:rFonts w:ascii="Times New Roman" w:hAnsi="Times New Roman" w:cs="Times New Roman"/>
      <w:sz w:val="20"/>
      <w:szCs w:val="20"/>
    </w:rPr>
  </w:style>
  <w:style w:type="paragraph" w:styleId="AltBilgi">
    <w:name w:val="footer"/>
    <w:basedOn w:val="Normal"/>
    <w:link w:val="AltBilgiChar"/>
    <w:uiPriority w:val="99"/>
    <w:unhideWhenUsed/>
    <w:rsid w:val="00A4388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43881"/>
    <w:rPr>
      <w:rFonts w:ascii="Times New Roman" w:hAnsi="Times New Roman" w:cs="Times New Roman"/>
      <w:sz w:val="20"/>
      <w:szCs w:val="20"/>
    </w:rPr>
  </w:style>
  <w:style w:type="paragraph" w:styleId="Dzeltme">
    <w:name w:val="Revision"/>
    <w:hidden/>
    <w:uiPriority w:val="99"/>
    <w:semiHidden/>
    <w:rsid w:val="00DF1F44"/>
    <w:pPr>
      <w:spacing w:after="0" w:line="240" w:lineRule="auto"/>
    </w:pPr>
    <w:rPr>
      <w:rFonts w:ascii="Times New Roman" w:hAnsi="Times New Roman" w:cs="Times New Roman"/>
      <w:sz w:val="20"/>
      <w:szCs w:val="20"/>
    </w:rPr>
  </w:style>
  <w:style w:type="character" w:styleId="Kpr">
    <w:name w:val="Hyperlink"/>
    <w:basedOn w:val="VarsaylanParagrafYazTipi"/>
    <w:uiPriority w:val="99"/>
    <w:unhideWhenUsed/>
    <w:rsid w:val="00DF1F44"/>
    <w:rPr>
      <w:color w:val="0563C1" w:themeColor="hyperlink"/>
      <w:u w:val="single"/>
    </w:rPr>
  </w:style>
  <w:style w:type="paragraph" w:customStyle="1" w:styleId="paragraph">
    <w:name w:val="paragraph"/>
    <w:basedOn w:val="Normal"/>
    <w:rsid w:val="00DF1F44"/>
    <w:pPr>
      <w:spacing w:before="100" w:beforeAutospacing="1" w:after="100" w:afterAutospacing="1" w:line="240" w:lineRule="auto"/>
      <w:jc w:val="left"/>
    </w:pPr>
    <w:rPr>
      <w:rFonts w:eastAsia="Times New Roman"/>
      <w:sz w:val="24"/>
      <w:szCs w:val="24"/>
      <w:lang w:eastAsia="tr-TR"/>
    </w:rPr>
  </w:style>
  <w:style w:type="character" w:customStyle="1" w:styleId="normaltextrun">
    <w:name w:val="normaltextrun"/>
    <w:basedOn w:val="VarsaylanParagrafYazTipi"/>
    <w:rsid w:val="00DF1F44"/>
  </w:style>
  <w:style w:type="character" w:customStyle="1" w:styleId="tabchar">
    <w:name w:val="tabchar"/>
    <w:basedOn w:val="VarsaylanParagrafYazTipi"/>
    <w:rsid w:val="00DF1F44"/>
  </w:style>
  <w:style w:type="character" w:customStyle="1" w:styleId="eop">
    <w:name w:val="eop"/>
    <w:basedOn w:val="VarsaylanParagrafYazTipi"/>
    <w:rsid w:val="00DF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pmg.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E2989-2E1B-40DD-BFDB-4A59CC7B61F8}">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432B7107-EBE9-4B0D-9F84-AFD5AEC9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4456B-48BE-4482-8345-2FC36C33C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Gerger, Mustafa</dc:creator>
  <cp:keywords/>
  <dc:description/>
  <cp:lastModifiedBy>Ceren Moral</cp:lastModifiedBy>
  <cp:revision>5</cp:revision>
  <dcterms:created xsi:type="dcterms:W3CDTF">2023-03-16T11:33:00Z</dcterms:created>
  <dcterms:modified xsi:type="dcterms:W3CDTF">2023-03-17T07:44:00Z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