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1100F" w14:textId="384248B2" w:rsidR="00144D9D" w:rsidRDefault="00144D9D">
      <w:pPr>
        <w:rPr>
          <w:rFonts w:ascii="Verdana" w:hAnsi="Verdana"/>
          <w:b/>
          <w:sz w:val="32"/>
          <w:szCs w:val="32"/>
          <w:u w:val="single"/>
          <w:lang w:val="tr-TR"/>
        </w:rPr>
      </w:pPr>
      <w:r w:rsidRPr="00144D9D">
        <w:rPr>
          <w:rFonts w:ascii="Verdana" w:hAnsi="Verdana"/>
          <w:b/>
          <w:sz w:val="32"/>
          <w:szCs w:val="32"/>
          <w:u w:val="single"/>
          <w:lang w:val="tr-TR"/>
        </w:rPr>
        <w:t xml:space="preserve">BASIN BÜLTENİ </w:t>
      </w:r>
    </w:p>
    <w:p w14:paraId="61EBB864" w14:textId="2B0DCB77" w:rsidR="00144D9D" w:rsidRDefault="00144D9D">
      <w:pPr>
        <w:rPr>
          <w:rFonts w:ascii="Verdana" w:hAnsi="Verdana"/>
          <w:b/>
          <w:sz w:val="32"/>
          <w:szCs w:val="32"/>
          <w:u w:val="single"/>
          <w:lang w:val="tr-TR"/>
        </w:rPr>
      </w:pPr>
    </w:p>
    <w:p w14:paraId="283FBC39" w14:textId="59991BEC" w:rsidR="00144D9D" w:rsidRPr="00053F28" w:rsidRDefault="00144D9D" w:rsidP="001A6030">
      <w:pPr>
        <w:spacing w:line="360" w:lineRule="auto"/>
        <w:jc w:val="center"/>
        <w:rPr>
          <w:rFonts w:ascii="Verdana" w:hAnsi="Verdana"/>
          <w:b/>
          <w:sz w:val="28"/>
          <w:szCs w:val="28"/>
          <w:lang w:val="tr-TR"/>
        </w:rPr>
      </w:pPr>
      <w:r w:rsidRPr="00053F28">
        <w:rPr>
          <w:rFonts w:ascii="Verdana" w:hAnsi="Verdana"/>
          <w:b/>
          <w:sz w:val="28"/>
          <w:szCs w:val="28"/>
          <w:lang w:val="tr-TR"/>
        </w:rPr>
        <w:t>Fortinet</w:t>
      </w:r>
      <w:r w:rsidR="000C0803" w:rsidRPr="00053F28">
        <w:rPr>
          <w:rFonts w:ascii="Verdana" w:hAnsi="Verdana"/>
          <w:b/>
          <w:sz w:val="28"/>
          <w:szCs w:val="28"/>
          <w:lang w:val="tr-TR"/>
        </w:rPr>
        <w:t>, 201</w:t>
      </w:r>
      <w:r w:rsidR="00227841">
        <w:rPr>
          <w:rFonts w:ascii="Verdana" w:hAnsi="Verdana"/>
          <w:b/>
          <w:sz w:val="28"/>
          <w:szCs w:val="28"/>
          <w:lang w:val="tr-TR"/>
        </w:rPr>
        <w:t>9</w:t>
      </w:r>
      <w:r w:rsidR="000C0803" w:rsidRPr="00053F28">
        <w:rPr>
          <w:rFonts w:ascii="Verdana" w:hAnsi="Verdana"/>
          <w:b/>
          <w:sz w:val="28"/>
          <w:szCs w:val="28"/>
          <w:lang w:val="tr-TR"/>
        </w:rPr>
        <w:t xml:space="preserve"> yılı dördüncü çeyre</w:t>
      </w:r>
      <w:r w:rsidR="001A6030" w:rsidRPr="00053F28">
        <w:rPr>
          <w:rFonts w:ascii="Verdana" w:hAnsi="Verdana"/>
          <w:b/>
          <w:sz w:val="28"/>
          <w:szCs w:val="28"/>
          <w:lang w:val="tr-TR"/>
        </w:rPr>
        <w:t xml:space="preserve">ğine ve tüm yıla ait finansal sonuçlarını açıkladı </w:t>
      </w:r>
      <w:r w:rsidR="000C0803" w:rsidRPr="00053F28">
        <w:rPr>
          <w:rFonts w:ascii="Verdana" w:hAnsi="Verdana"/>
          <w:b/>
          <w:sz w:val="28"/>
          <w:szCs w:val="28"/>
          <w:lang w:val="tr-TR"/>
        </w:rPr>
        <w:t xml:space="preserve">  </w:t>
      </w:r>
      <w:r w:rsidRPr="00053F28">
        <w:rPr>
          <w:rFonts w:ascii="Verdana" w:hAnsi="Verdana"/>
          <w:b/>
          <w:sz w:val="28"/>
          <w:szCs w:val="28"/>
          <w:lang w:val="tr-TR"/>
        </w:rPr>
        <w:t xml:space="preserve"> </w:t>
      </w:r>
    </w:p>
    <w:p w14:paraId="212D28C8" w14:textId="77777777" w:rsidR="001A6030" w:rsidRPr="00053F28" w:rsidRDefault="001A6030" w:rsidP="001A6030">
      <w:pPr>
        <w:spacing w:line="360" w:lineRule="auto"/>
        <w:jc w:val="center"/>
        <w:rPr>
          <w:rFonts w:ascii="Verdana" w:hAnsi="Verdana"/>
          <w:b/>
          <w:sz w:val="28"/>
          <w:szCs w:val="28"/>
          <w:lang w:val="tr-TR"/>
        </w:rPr>
      </w:pPr>
    </w:p>
    <w:p w14:paraId="12B68685" w14:textId="77777777" w:rsidR="00227841" w:rsidRDefault="00227841" w:rsidP="00144D9D">
      <w:pPr>
        <w:spacing w:line="360" w:lineRule="auto"/>
        <w:rPr>
          <w:rFonts w:ascii="Verdana" w:hAnsi="Verdana"/>
          <w:sz w:val="20"/>
          <w:szCs w:val="20"/>
          <w:lang w:val="tr-TR"/>
        </w:rPr>
      </w:pPr>
      <w:r w:rsidRPr="00227841">
        <w:rPr>
          <w:rFonts w:ascii="Verdana" w:hAnsi="Verdana"/>
          <w:sz w:val="20"/>
          <w:szCs w:val="20"/>
          <w:lang w:val="tr-TR"/>
        </w:rPr>
        <w:t>Kapsamlı, entegre ve otomatik siber güvenlik çözümlerinde dünya lideri Fortinet® (</w:t>
      </w:r>
      <w:proofErr w:type="spellStart"/>
      <w:r w:rsidRPr="00227841">
        <w:rPr>
          <w:rFonts w:ascii="Verdana" w:hAnsi="Verdana"/>
          <w:sz w:val="20"/>
          <w:szCs w:val="20"/>
          <w:lang w:val="tr-TR"/>
        </w:rPr>
        <w:t>Nasdaq</w:t>
      </w:r>
      <w:proofErr w:type="spellEnd"/>
      <w:r w:rsidRPr="00227841">
        <w:rPr>
          <w:rFonts w:ascii="Verdana" w:hAnsi="Verdana"/>
          <w:sz w:val="20"/>
          <w:szCs w:val="20"/>
          <w:lang w:val="tr-TR"/>
        </w:rPr>
        <w:t>: FTNT), 2019’un dördüncü çeyreği ve 31 Aralık 2019 itibariyle 2019 yılının tamamına ait finansal sonuçları açıkladı.</w:t>
      </w:r>
    </w:p>
    <w:p w14:paraId="55DDCFCE" w14:textId="7E7EC2B4" w:rsidR="00144D9D" w:rsidRPr="00053F28" w:rsidRDefault="007404C6" w:rsidP="00144D9D">
      <w:pPr>
        <w:spacing w:line="360" w:lineRule="auto"/>
        <w:rPr>
          <w:rFonts w:ascii="Verdana" w:hAnsi="Verdana"/>
          <w:b/>
          <w:sz w:val="20"/>
          <w:szCs w:val="20"/>
          <w:lang w:val="tr-TR"/>
        </w:rPr>
      </w:pPr>
      <w:r w:rsidRPr="00053F28">
        <w:rPr>
          <w:rFonts w:ascii="Verdana" w:hAnsi="Verdana"/>
          <w:b/>
          <w:sz w:val="20"/>
          <w:szCs w:val="20"/>
          <w:lang w:val="tr-TR"/>
        </w:rPr>
        <w:t>201</w:t>
      </w:r>
      <w:r w:rsidR="00227841">
        <w:rPr>
          <w:rFonts w:ascii="Verdana" w:hAnsi="Verdana"/>
          <w:b/>
          <w:sz w:val="20"/>
          <w:szCs w:val="20"/>
          <w:lang w:val="tr-TR"/>
        </w:rPr>
        <w:t>9</w:t>
      </w:r>
      <w:r w:rsidRPr="00053F28">
        <w:rPr>
          <w:rFonts w:ascii="Verdana" w:hAnsi="Verdana"/>
          <w:b/>
          <w:sz w:val="20"/>
          <w:szCs w:val="20"/>
          <w:lang w:val="tr-TR"/>
        </w:rPr>
        <w:t>’</w:t>
      </w:r>
      <w:r w:rsidR="00227841">
        <w:rPr>
          <w:rFonts w:ascii="Verdana" w:hAnsi="Verdana"/>
          <w:b/>
          <w:sz w:val="20"/>
          <w:szCs w:val="20"/>
          <w:lang w:val="tr-TR"/>
        </w:rPr>
        <w:t>u</w:t>
      </w:r>
      <w:r w:rsidRPr="00053F28">
        <w:rPr>
          <w:rFonts w:ascii="Verdana" w:hAnsi="Verdana"/>
          <w:b/>
          <w:sz w:val="20"/>
          <w:szCs w:val="20"/>
          <w:lang w:val="tr-TR"/>
        </w:rPr>
        <w:t xml:space="preserve">n dördüncü çeyreğine ait önemli finansal rakamlar  </w:t>
      </w:r>
    </w:p>
    <w:p w14:paraId="6C2D47B2" w14:textId="73EF6397" w:rsidR="007404C6" w:rsidRDefault="007404C6" w:rsidP="00144D9D">
      <w:pPr>
        <w:numPr>
          <w:ilvl w:val="0"/>
          <w:numId w:val="1"/>
        </w:numPr>
        <w:spacing w:after="0" w:line="360" w:lineRule="auto"/>
        <w:rPr>
          <w:rFonts w:ascii="Verdana" w:hAnsi="Verdana"/>
          <w:sz w:val="20"/>
          <w:szCs w:val="20"/>
          <w:lang w:val="tr-TR"/>
        </w:rPr>
      </w:pPr>
      <w:r w:rsidRPr="00053F28">
        <w:rPr>
          <w:rFonts w:ascii="Verdana" w:hAnsi="Verdana"/>
          <w:sz w:val="20"/>
          <w:szCs w:val="20"/>
          <w:lang w:val="tr-TR"/>
        </w:rPr>
        <w:t>Toplam gelir, geçen yılın aynı dönemine göre yüzde 2</w:t>
      </w:r>
      <w:r w:rsidR="00B26460">
        <w:rPr>
          <w:rFonts w:ascii="Verdana" w:hAnsi="Verdana"/>
          <w:sz w:val="20"/>
          <w:szCs w:val="20"/>
          <w:lang w:val="tr-TR"/>
        </w:rPr>
        <w:t>1</w:t>
      </w:r>
      <w:r w:rsidRPr="00053F28">
        <w:rPr>
          <w:rFonts w:ascii="Verdana" w:hAnsi="Verdana"/>
          <w:sz w:val="20"/>
          <w:szCs w:val="20"/>
          <w:lang w:val="tr-TR"/>
        </w:rPr>
        <w:t xml:space="preserve"> artarak </w:t>
      </w:r>
      <w:r w:rsidR="00B26460">
        <w:rPr>
          <w:rFonts w:ascii="Verdana" w:hAnsi="Verdana"/>
          <w:sz w:val="20"/>
          <w:szCs w:val="20"/>
          <w:lang w:val="tr-TR"/>
        </w:rPr>
        <w:t>614,4</w:t>
      </w:r>
      <w:r w:rsidRPr="00053F28">
        <w:rPr>
          <w:rFonts w:ascii="Verdana" w:hAnsi="Verdana"/>
          <w:sz w:val="20"/>
          <w:szCs w:val="20"/>
          <w:lang w:val="tr-TR"/>
        </w:rPr>
        <w:t xml:space="preserve"> milyon dolara ulaştı. </w:t>
      </w:r>
    </w:p>
    <w:p w14:paraId="41CC7F08" w14:textId="71615A1C" w:rsidR="00B26460" w:rsidRPr="00053F28" w:rsidRDefault="00B26460" w:rsidP="00144D9D">
      <w:pPr>
        <w:numPr>
          <w:ilvl w:val="0"/>
          <w:numId w:val="1"/>
        </w:numPr>
        <w:spacing w:after="0" w:line="360" w:lineRule="auto"/>
        <w:rPr>
          <w:rFonts w:ascii="Verdana" w:hAnsi="Verdana"/>
          <w:sz w:val="20"/>
          <w:szCs w:val="20"/>
          <w:lang w:val="tr-TR"/>
        </w:rPr>
      </w:pPr>
      <w:r>
        <w:rPr>
          <w:rFonts w:ascii="Verdana" w:hAnsi="Verdana"/>
          <w:sz w:val="20"/>
          <w:szCs w:val="20"/>
          <w:lang w:val="tr-TR"/>
        </w:rPr>
        <w:t>Ürün geliri, geçen yılın aynı dönemine göre yüzde 19 artarak 238,8 milyon dolara ulaştı.</w:t>
      </w:r>
    </w:p>
    <w:p w14:paraId="0DCC6389" w14:textId="5306C4B6" w:rsidR="007404C6" w:rsidRPr="00053F28" w:rsidRDefault="00296619" w:rsidP="00144D9D">
      <w:pPr>
        <w:numPr>
          <w:ilvl w:val="0"/>
          <w:numId w:val="1"/>
        </w:numPr>
        <w:spacing w:after="0" w:line="360" w:lineRule="auto"/>
        <w:rPr>
          <w:rFonts w:ascii="Verdana" w:hAnsi="Verdana"/>
          <w:sz w:val="20"/>
          <w:szCs w:val="20"/>
          <w:lang w:val="tr-TR"/>
        </w:rPr>
      </w:pPr>
      <w:bookmarkStart w:id="0" w:name="_Hlk1036031"/>
      <w:r w:rsidRPr="00053F28">
        <w:rPr>
          <w:rFonts w:ascii="Verdana" w:hAnsi="Verdana"/>
          <w:sz w:val="20"/>
          <w:szCs w:val="20"/>
          <w:lang w:val="tr-TR"/>
        </w:rPr>
        <w:t xml:space="preserve">Faturalandırmalar, geçen yılın aynı dönemine göre yüzde </w:t>
      </w:r>
      <w:bookmarkEnd w:id="0"/>
      <w:r w:rsidRPr="00053F28">
        <w:rPr>
          <w:rFonts w:ascii="Verdana" w:hAnsi="Verdana"/>
          <w:sz w:val="20"/>
          <w:szCs w:val="20"/>
          <w:lang w:val="tr-TR"/>
        </w:rPr>
        <w:t>2</w:t>
      </w:r>
      <w:r w:rsidR="00B26460">
        <w:rPr>
          <w:rFonts w:ascii="Verdana" w:hAnsi="Verdana"/>
          <w:sz w:val="20"/>
          <w:szCs w:val="20"/>
          <w:lang w:val="tr-TR"/>
        </w:rPr>
        <w:t>4</w:t>
      </w:r>
      <w:r w:rsidRPr="00053F28">
        <w:rPr>
          <w:rFonts w:ascii="Verdana" w:hAnsi="Verdana"/>
          <w:sz w:val="20"/>
          <w:szCs w:val="20"/>
          <w:lang w:val="tr-TR"/>
        </w:rPr>
        <w:t xml:space="preserve"> artarak </w:t>
      </w:r>
      <w:r w:rsidR="00B26460">
        <w:rPr>
          <w:rFonts w:ascii="Verdana" w:hAnsi="Verdana"/>
          <w:sz w:val="20"/>
          <w:szCs w:val="20"/>
          <w:lang w:val="tr-TR"/>
        </w:rPr>
        <w:t>802</w:t>
      </w:r>
      <w:r w:rsidRPr="00053F28">
        <w:rPr>
          <w:rFonts w:ascii="Verdana" w:hAnsi="Verdana"/>
          <w:sz w:val="20"/>
          <w:szCs w:val="20"/>
          <w:lang w:val="tr-TR"/>
        </w:rPr>
        <w:t>,</w:t>
      </w:r>
      <w:r w:rsidR="00B26460">
        <w:rPr>
          <w:rFonts w:ascii="Verdana" w:hAnsi="Verdana"/>
          <w:sz w:val="20"/>
          <w:szCs w:val="20"/>
          <w:lang w:val="tr-TR"/>
        </w:rPr>
        <w:t>3</w:t>
      </w:r>
      <w:r w:rsidRPr="00053F28">
        <w:rPr>
          <w:rFonts w:ascii="Verdana" w:hAnsi="Verdana"/>
          <w:sz w:val="20"/>
          <w:szCs w:val="20"/>
          <w:lang w:val="tr-TR"/>
        </w:rPr>
        <w:t xml:space="preserve"> milyon dolara ulaştı. </w:t>
      </w:r>
    </w:p>
    <w:p w14:paraId="14018EA0" w14:textId="157344A3" w:rsidR="00296619" w:rsidRPr="00053F28" w:rsidRDefault="000F3D9E" w:rsidP="00144D9D">
      <w:pPr>
        <w:numPr>
          <w:ilvl w:val="0"/>
          <w:numId w:val="1"/>
        </w:numPr>
        <w:spacing w:after="0" w:line="360" w:lineRule="auto"/>
        <w:rPr>
          <w:rFonts w:ascii="Verdana" w:hAnsi="Verdana"/>
          <w:sz w:val="20"/>
          <w:szCs w:val="20"/>
          <w:lang w:val="tr-TR"/>
        </w:rPr>
      </w:pPr>
      <w:r w:rsidRPr="00053F28">
        <w:rPr>
          <w:rFonts w:ascii="Verdana" w:hAnsi="Verdana"/>
          <w:sz w:val="20"/>
          <w:szCs w:val="20"/>
          <w:lang w:val="tr-TR"/>
        </w:rPr>
        <w:t>GAAP faaliyet kârı</w:t>
      </w:r>
      <w:r w:rsidR="00B26460">
        <w:rPr>
          <w:rFonts w:ascii="Verdana" w:hAnsi="Verdana"/>
          <w:sz w:val="20"/>
          <w:szCs w:val="20"/>
          <w:lang w:val="tr-TR"/>
        </w:rPr>
        <w:t>, geçen yılın aynı dönemine göre 250 baz puan artışıyla</w:t>
      </w:r>
      <w:r w:rsidRPr="00053F28">
        <w:rPr>
          <w:rFonts w:ascii="Verdana" w:hAnsi="Verdana"/>
          <w:sz w:val="20"/>
          <w:szCs w:val="20"/>
          <w:lang w:val="tr-TR"/>
        </w:rPr>
        <w:t xml:space="preserve"> yüzde </w:t>
      </w:r>
      <w:r w:rsidR="00B26460">
        <w:rPr>
          <w:rFonts w:ascii="Verdana" w:hAnsi="Verdana"/>
          <w:sz w:val="20"/>
          <w:szCs w:val="20"/>
          <w:lang w:val="tr-TR"/>
        </w:rPr>
        <w:t>19’a ulaştı.</w:t>
      </w:r>
    </w:p>
    <w:p w14:paraId="276967E9" w14:textId="0B341240" w:rsidR="000F3D9E" w:rsidRPr="00053F28" w:rsidRDefault="000F3D9E" w:rsidP="00144D9D">
      <w:pPr>
        <w:numPr>
          <w:ilvl w:val="0"/>
          <w:numId w:val="1"/>
        </w:numPr>
        <w:spacing w:after="0" w:line="360" w:lineRule="auto"/>
        <w:rPr>
          <w:rFonts w:ascii="Verdana" w:hAnsi="Verdana"/>
          <w:sz w:val="20"/>
          <w:szCs w:val="20"/>
          <w:lang w:val="tr-TR"/>
        </w:rPr>
      </w:pPr>
      <w:r w:rsidRPr="00053F28">
        <w:rPr>
          <w:rFonts w:ascii="Verdana" w:hAnsi="Verdana"/>
          <w:sz w:val="20"/>
          <w:szCs w:val="20"/>
          <w:lang w:val="tr-TR"/>
        </w:rPr>
        <w:t xml:space="preserve">GAAP dışı faaliyet </w:t>
      </w:r>
      <w:r w:rsidR="00B26460" w:rsidRPr="00053F28">
        <w:rPr>
          <w:rFonts w:ascii="Verdana" w:hAnsi="Verdana"/>
          <w:sz w:val="20"/>
          <w:szCs w:val="20"/>
          <w:lang w:val="tr-TR"/>
        </w:rPr>
        <w:t>kârı</w:t>
      </w:r>
      <w:r w:rsidR="00B26460">
        <w:rPr>
          <w:rFonts w:ascii="Verdana" w:hAnsi="Verdana"/>
          <w:sz w:val="20"/>
          <w:szCs w:val="20"/>
          <w:lang w:val="tr-TR"/>
        </w:rPr>
        <w:t xml:space="preserve">, geçen yılın aynı dönemine göre </w:t>
      </w:r>
      <w:r w:rsidR="0094682C">
        <w:rPr>
          <w:rFonts w:ascii="Verdana" w:hAnsi="Verdana"/>
          <w:sz w:val="20"/>
          <w:szCs w:val="20"/>
          <w:lang w:val="tr-TR"/>
        </w:rPr>
        <w:t>11</w:t>
      </w:r>
      <w:r w:rsidR="00B26460">
        <w:rPr>
          <w:rFonts w:ascii="Verdana" w:hAnsi="Verdana"/>
          <w:sz w:val="20"/>
          <w:szCs w:val="20"/>
          <w:lang w:val="tr-TR"/>
        </w:rPr>
        <w:t>0 baz puan artışıyla</w:t>
      </w:r>
      <w:r w:rsidR="00B26460" w:rsidRPr="00053F28">
        <w:rPr>
          <w:rFonts w:ascii="Verdana" w:hAnsi="Verdana"/>
          <w:sz w:val="20"/>
          <w:szCs w:val="20"/>
          <w:lang w:val="tr-TR"/>
        </w:rPr>
        <w:t xml:space="preserve"> yüzde </w:t>
      </w:r>
      <w:r w:rsidR="0094682C">
        <w:rPr>
          <w:rFonts w:ascii="Verdana" w:hAnsi="Verdana"/>
          <w:sz w:val="20"/>
          <w:szCs w:val="20"/>
          <w:lang w:val="tr-TR"/>
        </w:rPr>
        <w:t>27</w:t>
      </w:r>
      <w:r w:rsidR="00B26460">
        <w:rPr>
          <w:rFonts w:ascii="Verdana" w:hAnsi="Verdana"/>
          <w:sz w:val="20"/>
          <w:szCs w:val="20"/>
          <w:lang w:val="tr-TR"/>
        </w:rPr>
        <w:t>’</w:t>
      </w:r>
      <w:r w:rsidR="0094682C">
        <w:rPr>
          <w:rFonts w:ascii="Verdana" w:hAnsi="Verdana"/>
          <w:sz w:val="20"/>
          <w:szCs w:val="20"/>
          <w:lang w:val="tr-TR"/>
        </w:rPr>
        <w:t>ye</w:t>
      </w:r>
      <w:r w:rsidR="00B26460">
        <w:rPr>
          <w:rFonts w:ascii="Verdana" w:hAnsi="Verdana"/>
          <w:sz w:val="20"/>
          <w:szCs w:val="20"/>
          <w:lang w:val="tr-TR"/>
        </w:rPr>
        <w:t xml:space="preserve"> ulaştı.</w:t>
      </w:r>
    </w:p>
    <w:p w14:paraId="3F08FEE4" w14:textId="23BA1AA4" w:rsidR="000F3D9E" w:rsidRPr="00FD5383" w:rsidRDefault="000F3D9E" w:rsidP="00144D9D">
      <w:pPr>
        <w:numPr>
          <w:ilvl w:val="0"/>
          <w:numId w:val="1"/>
        </w:numPr>
        <w:spacing w:after="0" w:line="360" w:lineRule="auto"/>
        <w:rPr>
          <w:rFonts w:ascii="Verdana" w:hAnsi="Verdana"/>
          <w:sz w:val="20"/>
          <w:szCs w:val="20"/>
          <w:lang w:val="tr-TR"/>
        </w:rPr>
      </w:pPr>
      <w:proofErr w:type="spellStart"/>
      <w:r w:rsidRPr="00FD5383">
        <w:rPr>
          <w:rFonts w:ascii="Verdana" w:hAnsi="Verdana"/>
          <w:sz w:val="20"/>
          <w:szCs w:val="20"/>
          <w:lang w:val="tr-TR"/>
        </w:rPr>
        <w:t>GAAP’ye</w:t>
      </w:r>
      <w:proofErr w:type="spellEnd"/>
      <w:r w:rsidRPr="00FD5383">
        <w:rPr>
          <w:rFonts w:ascii="Verdana" w:hAnsi="Verdana"/>
          <w:sz w:val="20"/>
          <w:szCs w:val="20"/>
          <w:lang w:val="tr-TR"/>
        </w:rPr>
        <w:t xml:space="preserve"> göre seyreltilmiş hisse başına net kâr </w:t>
      </w:r>
      <w:r w:rsidR="0094682C">
        <w:rPr>
          <w:rFonts w:ascii="Verdana" w:hAnsi="Verdana"/>
          <w:sz w:val="20"/>
          <w:szCs w:val="20"/>
          <w:lang w:val="tr-TR"/>
        </w:rPr>
        <w:t>0</w:t>
      </w:r>
      <w:r w:rsidRPr="00FD5383">
        <w:rPr>
          <w:rFonts w:ascii="Verdana" w:hAnsi="Verdana"/>
          <w:sz w:val="20"/>
          <w:szCs w:val="20"/>
          <w:lang w:val="tr-TR"/>
        </w:rPr>
        <w:t>,</w:t>
      </w:r>
      <w:r w:rsidR="0094682C">
        <w:rPr>
          <w:rFonts w:ascii="Verdana" w:hAnsi="Verdana"/>
          <w:sz w:val="20"/>
          <w:szCs w:val="20"/>
          <w:lang w:val="tr-TR"/>
        </w:rPr>
        <w:t>66</w:t>
      </w:r>
      <w:r w:rsidRPr="00FD5383">
        <w:rPr>
          <w:rFonts w:ascii="Verdana" w:hAnsi="Verdana"/>
          <w:sz w:val="20"/>
          <w:szCs w:val="20"/>
          <w:lang w:val="tr-TR"/>
        </w:rPr>
        <w:t xml:space="preserve"> dolar</w:t>
      </w:r>
      <w:r w:rsidR="0094682C">
        <w:rPr>
          <w:rFonts w:ascii="Verdana" w:hAnsi="Verdana"/>
          <w:sz w:val="20"/>
          <w:szCs w:val="20"/>
          <w:lang w:val="tr-TR"/>
        </w:rPr>
        <w:t>.</w:t>
      </w:r>
      <w:r w:rsidRPr="00FD5383">
        <w:rPr>
          <w:rFonts w:ascii="Verdana" w:hAnsi="Verdana"/>
          <w:sz w:val="20"/>
          <w:szCs w:val="20"/>
          <w:lang w:val="tr-TR"/>
        </w:rPr>
        <w:t xml:space="preserve"> </w:t>
      </w:r>
    </w:p>
    <w:p w14:paraId="3676614C" w14:textId="359CB802" w:rsidR="000F3D9E" w:rsidRPr="00FD5383" w:rsidRDefault="000F3D9E" w:rsidP="00144D9D">
      <w:pPr>
        <w:numPr>
          <w:ilvl w:val="0"/>
          <w:numId w:val="1"/>
        </w:numPr>
        <w:spacing w:after="0" w:line="360" w:lineRule="auto"/>
        <w:rPr>
          <w:rFonts w:ascii="Verdana" w:hAnsi="Verdana"/>
          <w:sz w:val="20"/>
          <w:szCs w:val="20"/>
          <w:lang w:val="tr-TR"/>
        </w:rPr>
      </w:pPr>
      <w:r w:rsidRPr="00FD5383">
        <w:rPr>
          <w:rFonts w:ascii="Verdana" w:hAnsi="Verdana"/>
          <w:sz w:val="20"/>
          <w:szCs w:val="20"/>
          <w:lang w:val="tr-TR"/>
        </w:rPr>
        <w:t>GAAP dışı seyreltilmiş hisse başına net kâr 0,</w:t>
      </w:r>
      <w:r w:rsidR="0094682C">
        <w:rPr>
          <w:rFonts w:ascii="Verdana" w:hAnsi="Verdana"/>
          <w:sz w:val="20"/>
          <w:szCs w:val="20"/>
          <w:lang w:val="tr-TR"/>
        </w:rPr>
        <w:t>76</w:t>
      </w:r>
      <w:r w:rsidRPr="00FD5383">
        <w:rPr>
          <w:rFonts w:ascii="Verdana" w:hAnsi="Verdana"/>
          <w:sz w:val="20"/>
          <w:szCs w:val="20"/>
          <w:lang w:val="tr-TR"/>
        </w:rPr>
        <w:t xml:space="preserve"> dolar</w:t>
      </w:r>
      <w:r w:rsidR="0094682C">
        <w:rPr>
          <w:rFonts w:ascii="Verdana" w:hAnsi="Verdana"/>
          <w:sz w:val="20"/>
          <w:szCs w:val="20"/>
          <w:lang w:val="tr-TR"/>
        </w:rPr>
        <w:t>.</w:t>
      </w:r>
    </w:p>
    <w:p w14:paraId="2D2EBF90" w14:textId="56BF9399" w:rsidR="000F3D9E" w:rsidRPr="00053F28" w:rsidRDefault="000F3D9E" w:rsidP="00144D9D">
      <w:pPr>
        <w:numPr>
          <w:ilvl w:val="0"/>
          <w:numId w:val="1"/>
        </w:numPr>
        <w:spacing w:after="0" w:line="360" w:lineRule="auto"/>
        <w:rPr>
          <w:rFonts w:ascii="Verdana" w:hAnsi="Verdana"/>
          <w:sz w:val="20"/>
          <w:szCs w:val="20"/>
          <w:lang w:val="tr-TR"/>
        </w:rPr>
      </w:pPr>
      <w:r w:rsidRPr="00053F28">
        <w:rPr>
          <w:rFonts w:ascii="Verdana" w:hAnsi="Verdana"/>
          <w:sz w:val="20"/>
          <w:szCs w:val="20"/>
          <w:lang w:val="tr-TR"/>
        </w:rPr>
        <w:t>İşletme faaliyetlerinden kaynaklanan nakit akışı 1</w:t>
      </w:r>
      <w:r w:rsidR="0094682C">
        <w:rPr>
          <w:rFonts w:ascii="Verdana" w:hAnsi="Verdana"/>
          <w:sz w:val="20"/>
          <w:szCs w:val="20"/>
          <w:lang w:val="tr-TR"/>
        </w:rPr>
        <w:t>9</w:t>
      </w:r>
      <w:r w:rsidRPr="00053F28">
        <w:rPr>
          <w:rFonts w:ascii="Verdana" w:hAnsi="Verdana"/>
          <w:sz w:val="20"/>
          <w:szCs w:val="20"/>
          <w:lang w:val="tr-TR"/>
        </w:rPr>
        <w:t>0,</w:t>
      </w:r>
      <w:r w:rsidR="0094682C">
        <w:rPr>
          <w:rFonts w:ascii="Verdana" w:hAnsi="Verdana"/>
          <w:sz w:val="20"/>
          <w:szCs w:val="20"/>
          <w:lang w:val="tr-TR"/>
        </w:rPr>
        <w:t>4</w:t>
      </w:r>
      <w:r w:rsidRPr="00053F28">
        <w:rPr>
          <w:rFonts w:ascii="Verdana" w:hAnsi="Verdana"/>
          <w:sz w:val="20"/>
          <w:szCs w:val="20"/>
          <w:lang w:val="tr-TR"/>
        </w:rPr>
        <w:t xml:space="preserve"> milyon dolar</w:t>
      </w:r>
      <w:r w:rsidR="0094682C">
        <w:rPr>
          <w:rFonts w:ascii="Verdana" w:hAnsi="Verdana"/>
          <w:sz w:val="20"/>
          <w:szCs w:val="20"/>
          <w:lang w:val="tr-TR"/>
        </w:rPr>
        <w:t>.</w:t>
      </w:r>
    </w:p>
    <w:p w14:paraId="4319B51C" w14:textId="55EC3A1F" w:rsidR="00144D9D" w:rsidRPr="0094682C" w:rsidRDefault="000F3D9E" w:rsidP="0094682C">
      <w:pPr>
        <w:numPr>
          <w:ilvl w:val="0"/>
          <w:numId w:val="1"/>
        </w:numPr>
        <w:spacing w:after="0" w:line="360" w:lineRule="auto"/>
        <w:rPr>
          <w:rFonts w:ascii="Verdana" w:hAnsi="Verdana"/>
          <w:sz w:val="20"/>
          <w:szCs w:val="20"/>
          <w:lang w:val="tr-TR"/>
        </w:rPr>
      </w:pPr>
      <w:r w:rsidRPr="00053F28">
        <w:rPr>
          <w:rFonts w:ascii="Verdana" w:hAnsi="Verdana"/>
          <w:sz w:val="20"/>
          <w:szCs w:val="20"/>
          <w:lang w:val="tr-TR"/>
        </w:rPr>
        <w:t>1</w:t>
      </w:r>
      <w:r w:rsidR="0094682C">
        <w:rPr>
          <w:rFonts w:ascii="Verdana" w:hAnsi="Verdana"/>
          <w:sz w:val="20"/>
          <w:szCs w:val="20"/>
          <w:lang w:val="tr-TR"/>
        </w:rPr>
        <w:t>43</w:t>
      </w:r>
      <w:r w:rsidRPr="00053F28">
        <w:rPr>
          <w:rFonts w:ascii="Verdana" w:hAnsi="Verdana"/>
          <w:sz w:val="20"/>
          <w:szCs w:val="20"/>
          <w:lang w:val="tr-TR"/>
        </w:rPr>
        <w:t>,</w:t>
      </w:r>
      <w:r w:rsidR="0094682C">
        <w:rPr>
          <w:rFonts w:ascii="Verdana" w:hAnsi="Verdana"/>
          <w:sz w:val="20"/>
          <w:szCs w:val="20"/>
          <w:lang w:val="tr-TR"/>
        </w:rPr>
        <w:t>2</w:t>
      </w:r>
      <w:r w:rsidRPr="00053F28">
        <w:rPr>
          <w:rFonts w:ascii="Verdana" w:hAnsi="Verdana"/>
          <w:sz w:val="20"/>
          <w:szCs w:val="20"/>
          <w:lang w:val="tr-TR"/>
        </w:rPr>
        <w:t xml:space="preserve"> milyon dolar değerinde serbest nakit akışı</w:t>
      </w:r>
    </w:p>
    <w:p w14:paraId="6D731ABC" w14:textId="77777777" w:rsidR="000C0803" w:rsidRPr="00053F28" w:rsidRDefault="000C0803" w:rsidP="000C0803">
      <w:pPr>
        <w:spacing w:after="0" w:line="360" w:lineRule="auto"/>
        <w:rPr>
          <w:rFonts w:ascii="Verdana" w:hAnsi="Verdana"/>
          <w:sz w:val="20"/>
          <w:szCs w:val="20"/>
          <w:lang w:val="tr-TR"/>
        </w:rPr>
      </w:pPr>
    </w:p>
    <w:p w14:paraId="2C0AA6F2" w14:textId="2FCD3EDF" w:rsidR="00144D9D" w:rsidRPr="00053F28" w:rsidRDefault="00144D9D" w:rsidP="00144D9D">
      <w:pPr>
        <w:spacing w:after="0" w:line="360" w:lineRule="auto"/>
        <w:rPr>
          <w:rFonts w:ascii="Verdana" w:hAnsi="Verdana"/>
          <w:b/>
          <w:sz w:val="20"/>
          <w:szCs w:val="20"/>
          <w:lang w:val="tr-TR"/>
        </w:rPr>
      </w:pPr>
      <w:r w:rsidRPr="00053F28">
        <w:rPr>
          <w:rFonts w:ascii="Verdana" w:hAnsi="Verdana"/>
          <w:b/>
          <w:sz w:val="20"/>
          <w:szCs w:val="20"/>
          <w:lang w:val="tr-TR"/>
        </w:rPr>
        <w:t>201</w:t>
      </w:r>
      <w:r w:rsidR="0094682C">
        <w:rPr>
          <w:rFonts w:ascii="Verdana" w:hAnsi="Verdana"/>
          <w:b/>
          <w:sz w:val="20"/>
          <w:szCs w:val="20"/>
          <w:lang w:val="tr-TR"/>
        </w:rPr>
        <w:t>9</w:t>
      </w:r>
      <w:r w:rsidR="001A6030" w:rsidRPr="00053F28">
        <w:rPr>
          <w:rFonts w:ascii="Verdana" w:hAnsi="Verdana"/>
          <w:b/>
          <w:sz w:val="20"/>
          <w:szCs w:val="20"/>
          <w:lang w:val="tr-TR"/>
        </w:rPr>
        <w:t xml:space="preserve"> yılına ait önemli finansal rakamlar</w:t>
      </w:r>
    </w:p>
    <w:p w14:paraId="75ACA176" w14:textId="77777777" w:rsidR="00144D9D" w:rsidRPr="00053F28" w:rsidRDefault="00144D9D" w:rsidP="00144D9D">
      <w:pPr>
        <w:spacing w:after="0" w:line="360" w:lineRule="auto"/>
        <w:rPr>
          <w:rFonts w:ascii="Verdana" w:hAnsi="Verdana"/>
          <w:b/>
          <w:sz w:val="20"/>
          <w:szCs w:val="20"/>
          <w:lang w:val="tr-TR"/>
        </w:rPr>
      </w:pPr>
    </w:p>
    <w:p w14:paraId="286321FB" w14:textId="70D0957B" w:rsidR="001A6030" w:rsidRDefault="001A6030" w:rsidP="00144D9D">
      <w:pPr>
        <w:numPr>
          <w:ilvl w:val="0"/>
          <w:numId w:val="2"/>
        </w:numPr>
        <w:spacing w:after="0" w:line="360" w:lineRule="auto"/>
        <w:rPr>
          <w:rFonts w:ascii="Verdana" w:hAnsi="Verdana"/>
          <w:sz w:val="20"/>
          <w:szCs w:val="20"/>
          <w:lang w:val="tr-TR"/>
        </w:rPr>
      </w:pPr>
      <w:r w:rsidRPr="00053F28">
        <w:rPr>
          <w:rFonts w:ascii="Verdana" w:hAnsi="Verdana"/>
          <w:sz w:val="20"/>
          <w:szCs w:val="20"/>
          <w:lang w:val="tr-TR"/>
        </w:rPr>
        <w:t xml:space="preserve">Toplam gelir, geçen yılın aynı dönemine göre yüzde 20 artarak </w:t>
      </w:r>
      <w:r w:rsidR="0094682C">
        <w:rPr>
          <w:rFonts w:ascii="Verdana" w:hAnsi="Verdana"/>
          <w:sz w:val="20"/>
          <w:szCs w:val="20"/>
          <w:lang w:val="tr-TR"/>
        </w:rPr>
        <w:t>2</w:t>
      </w:r>
      <w:r w:rsidRPr="00053F28">
        <w:rPr>
          <w:rFonts w:ascii="Verdana" w:hAnsi="Verdana"/>
          <w:sz w:val="20"/>
          <w:szCs w:val="20"/>
          <w:lang w:val="tr-TR"/>
        </w:rPr>
        <w:t>,</w:t>
      </w:r>
      <w:r w:rsidR="0094682C">
        <w:rPr>
          <w:rFonts w:ascii="Verdana" w:hAnsi="Verdana"/>
          <w:sz w:val="20"/>
          <w:szCs w:val="20"/>
          <w:lang w:val="tr-TR"/>
        </w:rPr>
        <w:t>16</w:t>
      </w:r>
      <w:r w:rsidRPr="00053F28">
        <w:rPr>
          <w:rFonts w:ascii="Verdana" w:hAnsi="Verdana"/>
          <w:sz w:val="20"/>
          <w:szCs w:val="20"/>
          <w:lang w:val="tr-TR"/>
        </w:rPr>
        <w:t xml:space="preserve"> milyar dolara ulaştı.</w:t>
      </w:r>
    </w:p>
    <w:p w14:paraId="0D03766A" w14:textId="5CF13A07" w:rsidR="0094682C" w:rsidRPr="00053F28" w:rsidRDefault="0094682C" w:rsidP="00144D9D">
      <w:pPr>
        <w:numPr>
          <w:ilvl w:val="0"/>
          <w:numId w:val="2"/>
        </w:numPr>
        <w:spacing w:after="0" w:line="360" w:lineRule="auto"/>
        <w:rPr>
          <w:rFonts w:ascii="Verdana" w:hAnsi="Verdana"/>
          <w:sz w:val="20"/>
          <w:szCs w:val="20"/>
          <w:lang w:val="tr-TR"/>
        </w:rPr>
      </w:pPr>
      <w:r>
        <w:rPr>
          <w:rFonts w:ascii="Verdana" w:hAnsi="Verdana"/>
          <w:sz w:val="20"/>
          <w:szCs w:val="20"/>
          <w:lang w:val="tr-TR"/>
        </w:rPr>
        <w:t>Ürün geliri, geçen yılın aynı dönemine göre yüzde 17 artarak 788,5 milyon dolara ulaştı.</w:t>
      </w:r>
    </w:p>
    <w:p w14:paraId="4D96147C" w14:textId="14A43168" w:rsidR="001A6030" w:rsidRPr="00053F28" w:rsidRDefault="0023517D" w:rsidP="00144D9D">
      <w:pPr>
        <w:numPr>
          <w:ilvl w:val="0"/>
          <w:numId w:val="2"/>
        </w:numPr>
        <w:spacing w:after="0" w:line="360" w:lineRule="auto"/>
        <w:rPr>
          <w:rFonts w:ascii="Verdana" w:hAnsi="Verdana"/>
          <w:sz w:val="20"/>
          <w:szCs w:val="20"/>
          <w:lang w:val="tr-TR"/>
        </w:rPr>
      </w:pPr>
      <w:r w:rsidRPr="00053F28">
        <w:rPr>
          <w:rFonts w:ascii="Verdana" w:hAnsi="Verdana"/>
          <w:sz w:val="20"/>
          <w:szCs w:val="20"/>
          <w:lang w:val="tr-TR"/>
        </w:rPr>
        <w:t xml:space="preserve">Faturalandırmalar, geçen yılın aynı dönemine göre yüzde </w:t>
      </w:r>
      <w:r w:rsidR="0094682C">
        <w:rPr>
          <w:rFonts w:ascii="Verdana" w:hAnsi="Verdana"/>
          <w:sz w:val="20"/>
          <w:szCs w:val="20"/>
          <w:lang w:val="tr-TR"/>
        </w:rPr>
        <w:t>21</w:t>
      </w:r>
      <w:r w:rsidRPr="00053F28">
        <w:rPr>
          <w:rFonts w:ascii="Verdana" w:hAnsi="Verdana"/>
          <w:sz w:val="20"/>
          <w:szCs w:val="20"/>
          <w:lang w:val="tr-TR"/>
        </w:rPr>
        <w:t xml:space="preserve"> artarak, 2,</w:t>
      </w:r>
      <w:r w:rsidR="0094682C">
        <w:rPr>
          <w:rFonts w:ascii="Verdana" w:hAnsi="Verdana"/>
          <w:sz w:val="20"/>
          <w:szCs w:val="20"/>
          <w:lang w:val="tr-TR"/>
        </w:rPr>
        <w:t>60</w:t>
      </w:r>
      <w:r w:rsidRPr="00053F28">
        <w:rPr>
          <w:rFonts w:ascii="Verdana" w:hAnsi="Verdana"/>
          <w:sz w:val="20"/>
          <w:szCs w:val="20"/>
          <w:lang w:val="tr-TR"/>
        </w:rPr>
        <w:t xml:space="preserve"> milyar dolara ulaştı. </w:t>
      </w:r>
    </w:p>
    <w:p w14:paraId="087EC4D5" w14:textId="531951B9" w:rsidR="0023517D" w:rsidRPr="00053F28" w:rsidRDefault="00053F28" w:rsidP="00144D9D">
      <w:pPr>
        <w:numPr>
          <w:ilvl w:val="0"/>
          <w:numId w:val="2"/>
        </w:numPr>
        <w:spacing w:after="0" w:line="360" w:lineRule="auto"/>
        <w:rPr>
          <w:rFonts w:ascii="Verdana" w:hAnsi="Verdana"/>
          <w:sz w:val="20"/>
          <w:szCs w:val="20"/>
          <w:lang w:val="tr-TR"/>
        </w:rPr>
      </w:pPr>
      <w:r w:rsidRPr="00053F28">
        <w:rPr>
          <w:rFonts w:ascii="Verdana" w:hAnsi="Verdana"/>
          <w:sz w:val="20"/>
          <w:szCs w:val="20"/>
          <w:lang w:val="tr-TR"/>
        </w:rPr>
        <w:t>Ertelenmiş gelir, geçen yılın aynı dönemine göre yüzde 2</w:t>
      </w:r>
      <w:r w:rsidR="0094682C">
        <w:rPr>
          <w:rFonts w:ascii="Verdana" w:hAnsi="Verdana"/>
          <w:sz w:val="20"/>
          <w:szCs w:val="20"/>
          <w:lang w:val="tr-TR"/>
        </w:rPr>
        <w:t>7</w:t>
      </w:r>
      <w:r w:rsidRPr="00053F28">
        <w:rPr>
          <w:rFonts w:ascii="Verdana" w:hAnsi="Verdana"/>
          <w:sz w:val="20"/>
          <w:szCs w:val="20"/>
          <w:lang w:val="tr-TR"/>
        </w:rPr>
        <w:t xml:space="preserve"> artarak </w:t>
      </w:r>
      <w:r w:rsidR="0094682C">
        <w:rPr>
          <w:rFonts w:ascii="Verdana" w:hAnsi="Verdana"/>
          <w:sz w:val="20"/>
          <w:szCs w:val="20"/>
          <w:lang w:val="tr-TR"/>
        </w:rPr>
        <w:t>2</w:t>
      </w:r>
      <w:r w:rsidRPr="00053F28">
        <w:rPr>
          <w:rFonts w:ascii="Verdana" w:hAnsi="Verdana"/>
          <w:sz w:val="20"/>
          <w:szCs w:val="20"/>
          <w:lang w:val="tr-TR"/>
        </w:rPr>
        <w:t>,</w:t>
      </w:r>
      <w:r w:rsidR="0094682C">
        <w:rPr>
          <w:rFonts w:ascii="Verdana" w:hAnsi="Verdana"/>
          <w:sz w:val="20"/>
          <w:szCs w:val="20"/>
          <w:lang w:val="tr-TR"/>
        </w:rPr>
        <w:t xml:space="preserve">14 </w:t>
      </w:r>
      <w:r w:rsidRPr="00053F28">
        <w:rPr>
          <w:rFonts w:ascii="Verdana" w:hAnsi="Verdana"/>
          <w:sz w:val="20"/>
          <w:szCs w:val="20"/>
          <w:lang w:val="tr-TR"/>
        </w:rPr>
        <w:t xml:space="preserve">milyar dolara ulaştı. </w:t>
      </w:r>
    </w:p>
    <w:p w14:paraId="5CC763FB" w14:textId="4790A145" w:rsidR="0094682C" w:rsidRPr="00053F28" w:rsidRDefault="0094682C" w:rsidP="0094682C">
      <w:pPr>
        <w:numPr>
          <w:ilvl w:val="0"/>
          <w:numId w:val="2"/>
        </w:numPr>
        <w:spacing w:after="0" w:line="360" w:lineRule="auto"/>
        <w:rPr>
          <w:rFonts w:ascii="Verdana" w:hAnsi="Verdana"/>
          <w:sz w:val="20"/>
          <w:szCs w:val="20"/>
          <w:lang w:val="tr-TR"/>
        </w:rPr>
      </w:pPr>
      <w:r w:rsidRPr="00053F28">
        <w:rPr>
          <w:rFonts w:ascii="Verdana" w:hAnsi="Verdana"/>
          <w:sz w:val="20"/>
          <w:szCs w:val="20"/>
          <w:lang w:val="tr-TR"/>
        </w:rPr>
        <w:t>GAAP faaliyet kârı</w:t>
      </w:r>
      <w:r>
        <w:rPr>
          <w:rFonts w:ascii="Verdana" w:hAnsi="Verdana"/>
          <w:sz w:val="20"/>
          <w:szCs w:val="20"/>
          <w:lang w:val="tr-TR"/>
        </w:rPr>
        <w:t>, geçen yılın aynı dönemine göre 310 baz puan artışıyla</w:t>
      </w:r>
      <w:r w:rsidRPr="00053F28">
        <w:rPr>
          <w:rFonts w:ascii="Verdana" w:hAnsi="Verdana"/>
          <w:sz w:val="20"/>
          <w:szCs w:val="20"/>
          <w:lang w:val="tr-TR"/>
        </w:rPr>
        <w:t xml:space="preserve"> yüzde </w:t>
      </w:r>
      <w:r>
        <w:rPr>
          <w:rFonts w:ascii="Verdana" w:hAnsi="Verdana"/>
          <w:sz w:val="20"/>
          <w:szCs w:val="20"/>
          <w:lang w:val="tr-TR"/>
        </w:rPr>
        <w:t>16’ya ulaştı.</w:t>
      </w:r>
    </w:p>
    <w:p w14:paraId="7C5DB579" w14:textId="74A4DFB8" w:rsidR="0094682C" w:rsidRPr="00053F28" w:rsidRDefault="0094682C" w:rsidP="0094682C">
      <w:pPr>
        <w:numPr>
          <w:ilvl w:val="0"/>
          <w:numId w:val="2"/>
        </w:numPr>
        <w:spacing w:after="0" w:line="360" w:lineRule="auto"/>
        <w:rPr>
          <w:rFonts w:ascii="Verdana" w:hAnsi="Verdana"/>
          <w:sz w:val="20"/>
          <w:szCs w:val="20"/>
          <w:lang w:val="tr-TR"/>
        </w:rPr>
      </w:pPr>
      <w:r w:rsidRPr="00053F28">
        <w:rPr>
          <w:rFonts w:ascii="Verdana" w:hAnsi="Verdana"/>
          <w:sz w:val="20"/>
          <w:szCs w:val="20"/>
          <w:lang w:val="tr-TR"/>
        </w:rPr>
        <w:lastRenderedPageBreak/>
        <w:t>GAAP dışı faaliyet kârı</w:t>
      </w:r>
      <w:r>
        <w:rPr>
          <w:rFonts w:ascii="Verdana" w:hAnsi="Verdana"/>
          <w:sz w:val="20"/>
          <w:szCs w:val="20"/>
          <w:lang w:val="tr-TR"/>
        </w:rPr>
        <w:t>, geçen yılın aynı dönemine göre 220 baz puan artışıyla</w:t>
      </w:r>
      <w:r w:rsidRPr="00053F28">
        <w:rPr>
          <w:rFonts w:ascii="Verdana" w:hAnsi="Verdana"/>
          <w:sz w:val="20"/>
          <w:szCs w:val="20"/>
          <w:lang w:val="tr-TR"/>
        </w:rPr>
        <w:t xml:space="preserve"> yüzde </w:t>
      </w:r>
      <w:r>
        <w:rPr>
          <w:rFonts w:ascii="Verdana" w:hAnsi="Verdana"/>
          <w:sz w:val="20"/>
          <w:szCs w:val="20"/>
          <w:lang w:val="tr-TR"/>
        </w:rPr>
        <w:t>25’e ulaştı.</w:t>
      </w:r>
    </w:p>
    <w:p w14:paraId="48E9504F" w14:textId="4FB7E947" w:rsidR="00053F28" w:rsidRPr="00053F28" w:rsidRDefault="00053F28" w:rsidP="00144D9D">
      <w:pPr>
        <w:numPr>
          <w:ilvl w:val="0"/>
          <w:numId w:val="2"/>
        </w:numPr>
        <w:spacing w:after="0" w:line="360" w:lineRule="auto"/>
        <w:rPr>
          <w:rFonts w:ascii="Verdana" w:hAnsi="Verdana"/>
          <w:sz w:val="20"/>
          <w:szCs w:val="20"/>
          <w:lang w:val="tr-TR"/>
        </w:rPr>
      </w:pPr>
      <w:proofErr w:type="spellStart"/>
      <w:r w:rsidRPr="00053F28">
        <w:rPr>
          <w:rFonts w:ascii="Verdana" w:hAnsi="Verdana"/>
          <w:sz w:val="20"/>
          <w:szCs w:val="20"/>
          <w:lang w:val="tr-TR"/>
        </w:rPr>
        <w:t>GAAP’ye</w:t>
      </w:r>
      <w:proofErr w:type="spellEnd"/>
      <w:r w:rsidRPr="00053F28">
        <w:rPr>
          <w:rFonts w:ascii="Verdana" w:hAnsi="Verdana"/>
          <w:sz w:val="20"/>
          <w:szCs w:val="20"/>
          <w:lang w:val="tr-TR"/>
        </w:rPr>
        <w:t xml:space="preserve"> göre seyreltilmiş hisse başına net kâr 1,</w:t>
      </w:r>
      <w:r w:rsidR="0094682C">
        <w:rPr>
          <w:rFonts w:ascii="Verdana" w:hAnsi="Verdana"/>
          <w:sz w:val="20"/>
          <w:szCs w:val="20"/>
          <w:lang w:val="tr-TR"/>
        </w:rPr>
        <w:t>87</w:t>
      </w:r>
      <w:r w:rsidRPr="00053F28">
        <w:rPr>
          <w:rFonts w:ascii="Verdana" w:hAnsi="Verdana"/>
          <w:sz w:val="20"/>
          <w:szCs w:val="20"/>
          <w:lang w:val="tr-TR"/>
        </w:rPr>
        <w:t xml:space="preserve"> dolar</w:t>
      </w:r>
      <w:r w:rsidR="0094682C">
        <w:rPr>
          <w:rFonts w:ascii="Verdana" w:hAnsi="Verdana"/>
          <w:sz w:val="20"/>
          <w:szCs w:val="20"/>
          <w:lang w:val="tr-TR"/>
        </w:rPr>
        <w:t>.</w:t>
      </w:r>
    </w:p>
    <w:p w14:paraId="4C64897D" w14:textId="5D7D178B" w:rsidR="00053F28" w:rsidRPr="00053F28" w:rsidRDefault="00053F28" w:rsidP="00144D9D">
      <w:pPr>
        <w:numPr>
          <w:ilvl w:val="0"/>
          <w:numId w:val="2"/>
        </w:numPr>
        <w:spacing w:after="0" w:line="360" w:lineRule="auto"/>
        <w:rPr>
          <w:rFonts w:ascii="Verdana" w:hAnsi="Verdana"/>
          <w:sz w:val="20"/>
          <w:szCs w:val="20"/>
          <w:lang w:val="tr-TR"/>
        </w:rPr>
      </w:pPr>
      <w:r w:rsidRPr="00053F28">
        <w:rPr>
          <w:rFonts w:ascii="Verdana" w:hAnsi="Verdana"/>
          <w:sz w:val="20"/>
          <w:szCs w:val="20"/>
          <w:lang w:val="tr-TR"/>
        </w:rPr>
        <w:t xml:space="preserve">GAAP dışı seyreltilmiş hisse başına net kâr </w:t>
      </w:r>
      <w:r w:rsidR="0094682C">
        <w:rPr>
          <w:rFonts w:ascii="Verdana" w:hAnsi="Verdana"/>
          <w:sz w:val="20"/>
          <w:szCs w:val="20"/>
          <w:lang w:val="tr-TR"/>
        </w:rPr>
        <w:t>2</w:t>
      </w:r>
      <w:r w:rsidRPr="00053F28">
        <w:rPr>
          <w:rFonts w:ascii="Verdana" w:hAnsi="Verdana"/>
          <w:sz w:val="20"/>
          <w:szCs w:val="20"/>
          <w:lang w:val="tr-TR"/>
        </w:rPr>
        <w:t>,</w:t>
      </w:r>
      <w:r w:rsidR="0094682C">
        <w:rPr>
          <w:rFonts w:ascii="Verdana" w:hAnsi="Verdana"/>
          <w:sz w:val="20"/>
          <w:szCs w:val="20"/>
          <w:lang w:val="tr-TR"/>
        </w:rPr>
        <w:t>47</w:t>
      </w:r>
      <w:r w:rsidRPr="00053F28">
        <w:rPr>
          <w:rFonts w:ascii="Verdana" w:hAnsi="Verdana"/>
          <w:sz w:val="20"/>
          <w:szCs w:val="20"/>
          <w:lang w:val="tr-TR"/>
        </w:rPr>
        <w:t xml:space="preserve"> dolar</w:t>
      </w:r>
      <w:r w:rsidR="0094682C">
        <w:rPr>
          <w:rFonts w:ascii="Verdana" w:hAnsi="Verdana"/>
          <w:sz w:val="20"/>
          <w:szCs w:val="20"/>
          <w:lang w:val="tr-TR"/>
        </w:rPr>
        <w:t>.</w:t>
      </w:r>
    </w:p>
    <w:p w14:paraId="3AE6EFE6" w14:textId="22FD05AA" w:rsidR="00053F28" w:rsidRPr="000F6105" w:rsidRDefault="00053F28" w:rsidP="00144D9D">
      <w:pPr>
        <w:numPr>
          <w:ilvl w:val="0"/>
          <w:numId w:val="2"/>
        </w:numPr>
        <w:spacing w:after="0" w:line="360" w:lineRule="auto"/>
        <w:rPr>
          <w:rFonts w:ascii="Verdana" w:hAnsi="Verdana"/>
          <w:sz w:val="20"/>
          <w:szCs w:val="20"/>
          <w:lang w:val="tr-TR"/>
        </w:rPr>
      </w:pPr>
      <w:r w:rsidRPr="000F6105">
        <w:rPr>
          <w:rFonts w:ascii="Verdana" w:hAnsi="Verdana"/>
          <w:sz w:val="20"/>
          <w:szCs w:val="20"/>
          <w:lang w:val="tr-TR"/>
        </w:rPr>
        <w:t xml:space="preserve">İşletme faaliyetlerinden kaynaklanan nakit akışı </w:t>
      </w:r>
      <w:r w:rsidR="0094682C" w:rsidRPr="000F6105">
        <w:rPr>
          <w:rFonts w:ascii="Verdana" w:hAnsi="Verdana"/>
          <w:sz w:val="20"/>
          <w:szCs w:val="20"/>
          <w:lang w:val="tr-TR"/>
        </w:rPr>
        <w:t>808</w:t>
      </w:r>
      <w:r w:rsidRPr="000F6105">
        <w:rPr>
          <w:rFonts w:ascii="Verdana" w:hAnsi="Verdana"/>
          <w:sz w:val="20"/>
          <w:szCs w:val="20"/>
          <w:lang w:val="tr-TR"/>
        </w:rPr>
        <w:t>,</w:t>
      </w:r>
      <w:r w:rsidR="0094682C" w:rsidRPr="000F6105">
        <w:rPr>
          <w:rFonts w:ascii="Verdana" w:hAnsi="Verdana"/>
          <w:sz w:val="20"/>
          <w:szCs w:val="20"/>
          <w:lang w:val="tr-TR"/>
        </w:rPr>
        <w:t>0</w:t>
      </w:r>
      <w:r w:rsidRPr="000F6105">
        <w:rPr>
          <w:rFonts w:ascii="Verdana" w:hAnsi="Verdana"/>
          <w:sz w:val="20"/>
          <w:szCs w:val="20"/>
          <w:lang w:val="tr-TR"/>
        </w:rPr>
        <w:t xml:space="preserve"> milyon dolar</w:t>
      </w:r>
      <w:r w:rsidR="0094682C" w:rsidRPr="000F6105">
        <w:rPr>
          <w:rFonts w:ascii="Verdana" w:hAnsi="Verdana"/>
          <w:sz w:val="20"/>
          <w:szCs w:val="20"/>
          <w:lang w:val="tr-TR"/>
        </w:rPr>
        <w:t>.</w:t>
      </w:r>
    </w:p>
    <w:p w14:paraId="58BE91C7" w14:textId="76EBD0D8" w:rsidR="00053F28" w:rsidRPr="000F6105" w:rsidRDefault="0094682C" w:rsidP="00144D9D">
      <w:pPr>
        <w:numPr>
          <w:ilvl w:val="0"/>
          <w:numId w:val="2"/>
        </w:numPr>
        <w:spacing w:after="0" w:line="360" w:lineRule="auto"/>
        <w:rPr>
          <w:rFonts w:ascii="Verdana" w:hAnsi="Verdana"/>
          <w:sz w:val="20"/>
          <w:szCs w:val="20"/>
          <w:lang w:val="tr-TR"/>
        </w:rPr>
      </w:pPr>
      <w:r w:rsidRPr="000F6105">
        <w:rPr>
          <w:rFonts w:ascii="Verdana" w:hAnsi="Verdana"/>
          <w:sz w:val="20"/>
          <w:szCs w:val="20"/>
          <w:lang w:val="tr-TR"/>
        </w:rPr>
        <w:t>715,8 milyon dolar değerinde serbest nakit akışı.</w:t>
      </w:r>
    </w:p>
    <w:p w14:paraId="7544EE53" w14:textId="7077E2D5" w:rsidR="00053F28" w:rsidRPr="000F6105" w:rsidRDefault="00053F28" w:rsidP="00053F28">
      <w:pPr>
        <w:spacing w:after="0" w:line="360" w:lineRule="auto"/>
        <w:rPr>
          <w:rFonts w:ascii="Verdana" w:hAnsi="Verdana"/>
          <w:sz w:val="20"/>
          <w:szCs w:val="20"/>
          <w:lang w:val="tr-TR"/>
        </w:rPr>
      </w:pPr>
    </w:p>
    <w:p w14:paraId="00D40A14" w14:textId="214261A6" w:rsidR="0094682C" w:rsidRPr="000F6105" w:rsidRDefault="0094682C" w:rsidP="0094682C">
      <w:pPr>
        <w:spacing w:line="360" w:lineRule="auto"/>
        <w:jc w:val="both"/>
        <w:rPr>
          <w:rFonts w:ascii="Verdana" w:eastAsia="Arial" w:hAnsi="Verdana" w:cs="Arial"/>
          <w:sz w:val="20"/>
          <w:szCs w:val="20"/>
          <w:lang w:val="tr-TR"/>
        </w:rPr>
      </w:pPr>
      <w:r w:rsidRPr="000F6105">
        <w:rPr>
          <w:rFonts w:ascii="Verdana" w:eastAsia="Arial" w:hAnsi="Verdana" w:cs="Arial"/>
          <w:sz w:val="20"/>
          <w:szCs w:val="20"/>
          <w:lang w:val="tr-TR"/>
        </w:rPr>
        <w:t xml:space="preserve">Fortinet Kurucusu, Yönetim Kurulu Başkanı ve Kıdemli Baş Yönetici </w:t>
      </w:r>
      <w:proofErr w:type="spellStart"/>
      <w:r w:rsidRPr="000F6105">
        <w:rPr>
          <w:rFonts w:ascii="Verdana" w:eastAsia="Arial" w:hAnsi="Verdana" w:cs="Arial"/>
          <w:sz w:val="20"/>
          <w:szCs w:val="20"/>
          <w:lang w:val="tr-TR"/>
        </w:rPr>
        <w:t>Ken</w:t>
      </w:r>
      <w:proofErr w:type="spellEnd"/>
      <w:r w:rsidRPr="000F6105">
        <w:rPr>
          <w:rFonts w:ascii="Verdana" w:eastAsia="Arial" w:hAnsi="Verdana" w:cs="Arial"/>
          <w:sz w:val="20"/>
          <w:szCs w:val="20"/>
          <w:lang w:val="tr-TR"/>
        </w:rPr>
        <w:t xml:space="preserve"> </w:t>
      </w:r>
      <w:proofErr w:type="spellStart"/>
      <w:r w:rsidRPr="000F6105">
        <w:rPr>
          <w:rFonts w:ascii="Verdana" w:eastAsia="Arial" w:hAnsi="Verdana" w:cs="Arial"/>
          <w:sz w:val="20"/>
          <w:szCs w:val="20"/>
          <w:lang w:val="tr-TR"/>
        </w:rPr>
        <w:t>Xie</w:t>
      </w:r>
      <w:proofErr w:type="spellEnd"/>
      <w:r w:rsidRPr="000F6105">
        <w:rPr>
          <w:rFonts w:ascii="Verdana" w:eastAsia="Arial" w:hAnsi="Verdana" w:cs="Arial"/>
          <w:sz w:val="20"/>
          <w:szCs w:val="20"/>
          <w:lang w:val="tr-TR"/>
        </w:rPr>
        <w:t xml:space="preserve"> konuyla ilgili olarak şunları söyledi: “Güvenlik bilişim derecelerinin de gösterdiği gibi, lisanslı SPU teknolojilerimizle gelişmiş mimarimiz bize rekabette önemli bir avantaj sağlıyor ve ürünlerimize yeni özellikler ekleme </w:t>
      </w:r>
      <w:proofErr w:type="gramStart"/>
      <w:r w:rsidRPr="000F6105">
        <w:rPr>
          <w:rFonts w:ascii="Verdana" w:eastAsia="Arial" w:hAnsi="Verdana" w:cs="Arial"/>
          <w:sz w:val="20"/>
          <w:szCs w:val="20"/>
          <w:lang w:val="tr-TR"/>
        </w:rPr>
        <w:t>imkanı</w:t>
      </w:r>
      <w:proofErr w:type="gramEnd"/>
      <w:r w:rsidRPr="000F6105">
        <w:rPr>
          <w:rFonts w:ascii="Verdana" w:eastAsia="Arial" w:hAnsi="Verdana" w:cs="Arial"/>
          <w:sz w:val="20"/>
          <w:szCs w:val="20"/>
          <w:lang w:val="tr-TR"/>
        </w:rPr>
        <w:t xml:space="preserve"> sunuyor. Dördüncü çeyrekteki güçlü büyümemizin de arkasında ürünlerimize SD-</w:t>
      </w:r>
      <w:bookmarkStart w:id="1" w:name="_GoBack"/>
      <w:bookmarkEnd w:id="1"/>
      <w:r w:rsidRPr="000F6105">
        <w:rPr>
          <w:rFonts w:ascii="Verdana" w:eastAsia="Arial" w:hAnsi="Verdana" w:cs="Arial"/>
          <w:sz w:val="20"/>
          <w:szCs w:val="20"/>
          <w:lang w:val="tr-TR"/>
        </w:rPr>
        <w:t xml:space="preserve">WAN gibi en gelişmiş güvenlik ve ağ özelliklerini ekleyebilme yeteneğimiz yatıyor. Ağ güvenliğine, Security </w:t>
      </w:r>
      <w:proofErr w:type="spellStart"/>
      <w:r w:rsidRPr="000F6105">
        <w:rPr>
          <w:rFonts w:ascii="Verdana" w:eastAsia="Arial" w:hAnsi="Verdana" w:cs="Arial"/>
          <w:sz w:val="20"/>
          <w:szCs w:val="20"/>
          <w:lang w:val="tr-TR"/>
        </w:rPr>
        <w:t>Fabric</w:t>
      </w:r>
      <w:proofErr w:type="spellEnd"/>
      <w:r w:rsidRPr="000F6105">
        <w:rPr>
          <w:rFonts w:ascii="Verdana" w:eastAsia="Arial" w:hAnsi="Verdana" w:cs="Arial"/>
          <w:sz w:val="20"/>
          <w:szCs w:val="20"/>
          <w:lang w:val="tr-TR"/>
        </w:rPr>
        <w:t xml:space="preserve"> platformumuzun yapısına ve 5G, nesnelerin interneti, sınır ve bulut güvenliği alanlarındaki inovasyona odaklanarak pazar payımızı artırmaya odaklanıyoruz.”</w:t>
      </w:r>
    </w:p>
    <w:p w14:paraId="0AA8E4F1" w14:textId="77777777" w:rsidR="00F33973" w:rsidRPr="000F6105" w:rsidRDefault="00F33973" w:rsidP="0094682C">
      <w:pPr>
        <w:spacing w:line="360" w:lineRule="auto"/>
        <w:jc w:val="both"/>
        <w:rPr>
          <w:rFonts w:ascii="Verdana" w:eastAsia="Arial" w:hAnsi="Verdana" w:cs="Arial"/>
          <w:sz w:val="20"/>
          <w:szCs w:val="20"/>
          <w:lang w:val="tr-TR"/>
        </w:rPr>
      </w:pPr>
    </w:p>
    <w:p w14:paraId="1695B270" w14:textId="2BB6F9E4" w:rsidR="00C90EBE" w:rsidRPr="0094682C" w:rsidRDefault="00C90EBE" w:rsidP="0094682C">
      <w:pPr>
        <w:spacing w:after="0" w:line="360" w:lineRule="auto"/>
        <w:rPr>
          <w:rFonts w:ascii="Verdana" w:eastAsia="Times New Roman" w:hAnsi="Verdana" w:cs="Arial"/>
          <w:b/>
          <w:bCs/>
          <w:sz w:val="16"/>
          <w:szCs w:val="16"/>
          <w:lang w:val="tr-TR"/>
        </w:rPr>
      </w:pPr>
      <w:r w:rsidRPr="000F6105">
        <w:rPr>
          <w:rFonts w:ascii="Verdana" w:eastAsia="Times New Roman" w:hAnsi="Verdana" w:cs="Arial"/>
          <w:b/>
          <w:bCs/>
          <w:sz w:val="16"/>
          <w:szCs w:val="16"/>
          <w:lang w:val="tr-TR"/>
        </w:rPr>
        <w:t>İlgili Kişi: </w:t>
      </w:r>
      <w:r w:rsidRPr="000F6105">
        <w:rPr>
          <w:rFonts w:ascii="Verdana" w:eastAsia="Times New Roman" w:hAnsi="Verdana" w:cs="Arial"/>
          <w:bCs/>
          <w:sz w:val="16"/>
          <w:szCs w:val="16"/>
          <w:lang w:val="tr-TR"/>
        </w:rPr>
        <w:br/>
        <w:t xml:space="preserve">Eray </w:t>
      </w:r>
      <w:proofErr w:type="spellStart"/>
      <w:r w:rsidRPr="000F6105">
        <w:rPr>
          <w:rFonts w:ascii="Verdana" w:eastAsia="Times New Roman" w:hAnsi="Verdana" w:cs="Arial"/>
          <w:bCs/>
          <w:sz w:val="16"/>
          <w:szCs w:val="16"/>
          <w:lang w:val="tr-TR"/>
        </w:rPr>
        <w:t>Çoşan</w:t>
      </w:r>
      <w:proofErr w:type="spellEnd"/>
      <w:r w:rsidRPr="000F6105">
        <w:rPr>
          <w:rFonts w:ascii="Verdana" w:eastAsia="Times New Roman" w:hAnsi="Verdana" w:cs="Arial"/>
          <w:bCs/>
          <w:sz w:val="16"/>
          <w:szCs w:val="16"/>
          <w:lang w:val="tr-TR"/>
        </w:rPr>
        <w:t xml:space="preserve"> Akkuş </w:t>
      </w:r>
      <w:r w:rsidRPr="000F6105">
        <w:rPr>
          <w:rFonts w:ascii="Verdana" w:eastAsia="Times New Roman" w:hAnsi="Verdana" w:cs="Arial"/>
          <w:bCs/>
          <w:sz w:val="16"/>
          <w:szCs w:val="16"/>
          <w:lang w:val="tr-TR"/>
        </w:rPr>
        <w:br/>
        <w:t>Marjinal Porter Novelli</w:t>
      </w:r>
      <w:r w:rsidRPr="0094682C">
        <w:rPr>
          <w:rFonts w:ascii="Verdana" w:eastAsia="Times New Roman" w:hAnsi="Verdana" w:cs="Arial"/>
          <w:bCs/>
          <w:sz w:val="16"/>
          <w:szCs w:val="16"/>
          <w:lang w:val="tr-TR"/>
        </w:rPr>
        <w:br/>
        <w:t>0 533 927 23 97</w:t>
      </w:r>
      <w:r w:rsidRPr="0094682C">
        <w:rPr>
          <w:rFonts w:ascii="Verdana" w:eastAsia="Times New Roman" w:hAnsi="Verdana" w:cs="Arial"/>
          <w:bCs/>
          <w:sz w:val="16"/>
          <w:szCs w:val="16"/>
          <w:lang w:val="tr-TR"/>
        </w:rPr>
        <w:br/>
      </w:r>
      <w:hyperlink r:id="rId5" w:history="1">
        <w:r w:rsidRPr="0094682C">
          <w:rPr>
            <w:rFonts w:ascii="Verdana" w:eastAsia="Times New Roman" w:hAnsi="Verdana" w:cs="Arial"/>
            <w:bCs/>
            <w:color w:val="0563C1" w:themeColor="hyperlink"/>
            <w:sz w:val="16"/>
            <w:szCs w:val="16"/>
            <w:u w:val="single"/>
            <w:lang w:val="tr-TR"/>
          </w:rPr>
          <w:t>erayc@marjinal.com</w:t>
        </w:r>
      </w:hyperlink>
      <w:r w:rsidRPr="0094682C">
        <w:rPr>
          <w:rFonts w:ascii="Verdana" w:eastAsia="Times New Roman" w:hAnsi="Verdana" w:cs="Arial"/>
          <w:bCs/>
          <w:sz w:val="16"/>
          <w:szCs w:val="16"/>
          <w:lang w:val="tr-TR"/>
        </w:rPr>
        <w:t>.tr</w:t>
      </w:r>
      <w:r w:rsidRPr="0094682C">
        <w:rPr>
          <w:rFonts w:ascii="Verdana" w:eastAsia="Times New Roman" w:hAnsi="Verdana" w:cs="Arial"/>
          <w:bCs/>
          <w:sz w:val="16"/>
          <w:szCs w:val="16"/>
          <w:lang w:val="tr-TR"/>
        </w:rPr>
        <w:br/>
      </w:r>
    </w:p>
    <w:p w14:paraId="07EB24F8" w14:textId="659F4F6D" w:rsidR="00C90EBE" w:rsidRPr="0094682C" w:rsidRDefault="00C90EBE" w:rsidP="0094682C">
      <w:pPr>
        <w:spacing w:after="0" w:line="240" w:lineRule="auto"/>
        <w:rPr>
          <w:rFonts w:ascii="Verdana" w:eastAsia="Times New Roman" w:hAnsi="Verdana" w:cs="Arial"/>
          <w:b/>
          <w:bCs/>
          <w:sz w:val="16"/>
          <w:szCs w:val="16"/>
          <w:lang w:val="tr-TR"/>
        </w:rPr>
      </w:pPr>
      <w:r w:rsidRPr="0094682C">
        <w:rPr>
          <w:rFonts w:ascii="Verdana" w:eastAsia="Times New Roman" w:hAnsi="Verdana" w:cs="Arial"/>
          <w:b/>
          <w:bCs/>
          <w:sz w:val="16"/>
          <w:szCs w:val="16"/>
          <w:lang w:val="tr-TR"/>
        </w:rPr>
        <w:t>Fortinet Hakkında</w:t>
      </w:r>
      <w:r w:rsidRPr="0094682C">
        <w:rPr>
          <w:rFonts w:ascii="Verdana" w:eastAsia="Times New Roman" w:hAnsi="Verdana" w:cs="Arial"/>
          <w:bCs/>
          <w:sz w:val="16"/>
          <w:szCs w:val="16"/>
          <w:lang w:val="tr-TR"/>
        </w:rPr>
        <w:br/>
      </w:r>
      <w:r w:rsidR="0094682C" w:rsidRPr="0094682C">
        <w:rPr>
          <w:rFonts w:ascii="Verdana" w:eastAsia="Times New Roman" w:hAnsi="Verdana" w:cs="Arial"/>
          <w:bCs/>
          <w:sz w:val="16"/>
          <w:szCs w:val="16"/>
          <w:lang w:val="tr-TR"/>
        </w:rPr>
        <w:t xml:space="preserve">Fortinet (NASDAQ: FTNT) dünya genelinde büyük ölçekli şirketlere, servis sağlayıcılarına ve kamu kurumlarına güvenlik sunar. Fortinet, her geçen gün artan sanal saldırılara karşı müşterilerine akıllı ve sorunsuz koruma sağlar, sınırların ortadan kalktığı ağların artan performans ihtiyaçlarını karşılar. Ağlardaki uygulamaların, bulut sistemlerinin ve mobil cihazların karşılaştığı en kritik güvenlik sorunlarına karşı performanstan ödün vermeden güvenlik sunan tek çözüm sadece Fortinet'in Security </w:t>
      </w:r>
      <w:proofErr w:type="spellStart"/>
      <w:r w:rsidR="0094682C" w:rsidRPr="0094682C">
        <w:rPr>
          <w:rFonts w:ascii="Verdana" w:eastAsia="Times New Roman" w:hAnsi="Verdana" w:cs="Arial"/>
          <w:bCs/>
          <w:sz w:val="16"/>
          <w:szCs w:val="16"/>
          <w:lang w:val="tr-TR"/>
        </w:rPr>
        <w:t>Fabric</w:t>
      </w:r>
      <w:proofErr w:type="spellEnd"/>
      <w:r w:rsidR="0094682C" w:rsidRPr="0094682C">
        <w:rPr>
          <w:rFonts w:ascii="Verdana" w:eastAsia="Times New Roman" w:hAnsi="Verdana" w:cs="Arial"/>
          <w:bCs/>
          <w:sz w:val="16"/>
          <w:szCs w:val="16"/>
          <w:lang w:val="tr-TR"/>
        </w:rPr>
        <w:t xml:space="preserve"> mimarisidir. Fortinet global çapta sevkiyatı yapılan en güvenilir çözümler alanında dünyanın bir numarasıdır ve dünya genelinde 425 binden fazla müşteri ticari faaliyetlerini korumak için </w:t>
      </w:r>
      <w:proofErr w:type="spellStart"/>
      <w:r w:rsidR="0094682C" w:rsidRPr="0094682C">
        <w:rPr>
          <w:rFonts w:ascii="Verdana" w:eastAsia="Times New Roman" w:hAnsi="Verdana" w:cs="Arial"/>
          <w:bCs/>
          <w:sz w:val="16"/>
          <w:szCs w:val="16"/>
          <w:lang w:val="tr-TR"/>
        </w:rPr>
        <w:t>Fortinet'e</w:t>
      </w:r>
      <w:proofErr w:type="spellEnd"/>
      <w:r w:rsidR="0094682C" w:rsidRPr="0094682C">
        <w:rPr>
          <w:rFonts w:ascii="Verdana" w:eastAsia="Times New Roman" w:hAnsi="Verdana" w:cs="Arial"/>
          <w:bCs/>
          <w:sz w:val="16"/>
          <w:szCs w:val="16"/>
          <w:lang w:val="tr-TR"/>
        </w:rPr>
        <w:t xml:space="preserve"> güvenmektedir. Daha fazla bilgi için: http://www.fortinet.com/, Fortinet </w:t>
      </w:r>
      <w:proofErr w:type="spellStart"/>
      <w:r w:rsidR="0094682C" w:rsidRPr="0094682C">
        <w:rPr>
          <w:rFonts w:ascii="Verdana" w:eastAsia="Times New Roman" w:hAnsi="Verdana" w:cs="Arial"/>
          <w:bCs/>
          <w:sz w:val="16"/>
          <w:szCs w:val="16"/>
          <w:lang w:val="tr-TR"/>
        </w:rPr>
        <w:t>Blog</w:t>
      </w:r>
      <w:proofErr w:type="spellEnd"/>
      <w:r w:rsidR="0094682C" w:rsidRPr="0094682C">
        <w:rPr>
          <w:rFonts w:ascii="Verdana" w:eastAsia="Times New Roman" w:hAnsi="Verdana" w:cs="Arial"/>
          <w:bCs/>
          <w:sz w:val="16"/>
          <w:szCs w:val="16"/>
          <w:lang w:val="tr-TR"/>
        </w:rPr>
        <w:t xml:space="preserve"> sayfası veya FortiGuard </w:t>
      </w:r>
      <w:proofErr w:type="spellStart"/>
      <w:r w:rsidR="0094682C" w:rsidRPr="0094682C">
        <w:rPr>
          <w:rFonts w:ascii="Verdana" w:eastAsia="Times New Roman" w:hAnsi="Verdana" w:cs="Arial"/>
          <w:bCs/>
          <w:sz w:val="16"/>
          <w:szCs w:val="16"/>
          <w:lang w:val="tr-TR"/>
        </w:rPr>
        <w:t>Labs</w:t>
      </w:r>
      <w:proofErr w:type="spellEnd"/>
      <w:r w:rsidR="0094682C" w:rsidRPr="0094682C">
        <w:rPr>
          <w:rFonts w:ascii="Verdana" w:eastAsia="Times New Roman" w:hAnsi="Verdana" w:cs="Arial"/>
          <w:bCs/>
          <w:sz w:val="16"/>
          <w:szCs w:val="16"/>
          <w:lang w:val="tr-TR"/>
        </w:rPr>
        <w:t>.</w:t>
      </w:r>
    </w:p>
    <w:p w14:paraId="4B4366BA" w14:textId="77777777" w:rsidR="00144D9D" w:rsidRPr="00144D9D" w:rsidRDefault="00144D9D">
      <w:pPr>
        <w:rPr>
          <w:rFonts w:ascii="Verdana" w:hAnsi="Verdana"/>
          <w:b/>
          <w:sz w:val="32"/>
          <w:szCs w:val="32"/>
          <w:u w:val="single"/>
          <w:lang w:val="tr-TR"/>
        </w:rPr>
      </w:pPr>
    </w:p>
    <w:sectPr w:rsidR="00144D9D" w:rsidRPr="00144D9D" w:rsidSect="001C66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040AB"/>
    <w:multiLevelType w:val="hybridMultilevel"/>
    <w:tmpl w:val="3AA66DD4"/>
    <w:lvl w:ilvl="0" w:tplc="015EC302">
      <w:start w:val="1"/>
      <w:numFmt w:val="bullet"/>
      <w:lvlText w:val="• "/>
      <w:lvlJc w:val="left"/>
      <w:pPr>
        <w:ind w:hanging="360"/>
      </w:pPr>
    </w:lvl>
    <w:lvl w:ilvl="1" w:tplc="B706E6A8">
      <w:numFmt w:val="decimal"/>
      <w:lvlText w:val=""/>
      <w:lvlJc w:val="left"/>
    </w:lvl>
    <w:lvl w:ilvl="2" w:tplc="75607BD4">
      <w:numFmt w:val="decimal"/>
      <w:lvlText w:val=""/>
      <w:lvlJc w:val="left"/>
    </w:lvl>
    <w:lvl w:ilvl="3" w:tplc="EC621724">
      <w:numFmt w:val="decimal"/>
      <w:lvlText w:val=""/>
      <w:lvlJc w:val="left"/>
    </w:lvl>
    <w:lvl w:ilvl="4" w:tplc="05D04D80">
      <w:numFmt w:val="decimal"/>
      <w:lvlText w:val=""/>
      <w:lvlJc w:val="left"/>
    </w:lvl>
    <w:lvl w:ilvl="5" w:tplc="AD925B28">
      <w:numFmt w:val="decimal"/>
      <w:lvlText w:val=""/>
      <w:lvlJc w:val="left"/>
    </w:lvl>
    <w:lvl w:ilvl="6" w:tplc="6A8CF09A">
      <w:numFmt w:val="decimal"/>
      <w:lvlText w:val=""/>
      <w:lvlJc w:val="left"/>
    </w:lvl>
    <w:lvl w:ilvl="7" w:tplc="E6DC33DA">
      <w:numFmt w:val="decimal"/>
      <w:lvlText w:val=""/>
      <w:lvlJc w:val="left"/>
    </w:lvl>
    <w:lvl w:ilvl="8" w:tplc="85741A6C">
      <w:numFmt w:val="decimal"/>
      <w:lvlText w:val=""/>
      <w:lvlJc w:val="left"/>
    </w:lvl>
  </w:abstractNum>
  <w:abstractNum w:abstractNumId="1" w15:restartNumberingAfterBreak="0">
    <w:nsid w:val="3C6A5D59"/>
    <w:multiLevelType w:val="hybridMultilevel"/>
    <w:tmpl w:val="F7201F8A"/>
    <w:lvl w:ilvl="0" w:tplc="51FA4144">
      <w:start w:val="1"/>
      <w:numFmt w:val="bullet"/>
      <w:lvlText w:val="• "/>
      <w:lvlJc w:val="left"/>
      <w:pPr>
        <w:ind w:hanging="360"/>
      </w:pPr>
    </w:lvl>
    <w:lvl w:ilvl="1" w:tplc="2E90C67E">
      <w:numFmt w:val="decimal"/>
      <w:lvlText w:val=""/>
      <w:lvlJc w:val="left"/>
    </w:lvl>
    <w:lvl w:ilvl="2" w:tplc="5F2C7B5C">
      <w:numFmt w:val="decimal"/>
      <w:lvlText w:val=""/>
      <w:lvlJc w:val="left"/>
    </w:lvl>
    <w:lvl w:ilvl="3" w:tplc="EAC41F3E">
      <w:numFmt w:val="decimal"/>
      <w:lvlText w:val=""/>
      <w:lvlJc w:val="left"/>
    </w:lvl>
    <w:lvl w:ilvl="4" w:tplc="E2B00DB8">
      <w:numFmt w:val="decimal"/>
      <w:lvlText w:val=""/>
      <w:lvlJc w:val="left"/>
    </w:lvl>
    <w:lvl w:ilvl="5" w:tplc="A4503E7E">
      <w:numFmt w:val="decimal"/>
      <w:lvlText w:val=""/>
      <w:lvlJc w:val="left"/>
    </w:lvl>
    <w:lvl w:ilvl="6" w:tplc="B2FA9CC8">
      <w:numFmt w:val="decimal"/>
      <w:lvlText w:val=""/>
      <w:lvlJc w:val="left"/>
    </w:lvl>
    <w:lvl w:ilvl="7" w:tplc="1E1C7E08">
      <w:numFmt w:val="decimal"/>
      <w:lvlText w:val=""/>
      <w:lvlJc w:val="left"/>
    </w:lvl>
    <w:lvl w:ilvl="8" w:tplc="8D9617B0">
      <w:numFmt w:val="decimal"/>
      <w:lvlText w:val=""/>
      <w:lvlJc w:val="left"/>
    </w:lvl>
  </w:abstractNum>
  <w:abstractNum w:abstractNumId="2" w15:restartNumberingAfterBreak="0">
    <w:nsid w:val="674C0A7D"/>
    <w:multiLevelType w:val="hybridMultilevel"/>
    <w:tmpl w:val="3F9CD610"/>
    <w:lvl w:ilvl="0" w:tplc="AB600298">
      <w:start w:val="1"/>
      <w:numFmt w:val="bullet"/>
      <w:lvlText w:val="• "/>
      <w:lvlJc w:val="left"/>
      <w:pPr>
        <w:ind w:hanging="360"/>
      </w:pPr>
    </w:lvl>
    <w:lvl w:ilvl="1" w:tplc="DC3EF6C8">
      <w:numFmt w:val="decimal"/>
      <w:lvlText w:val=""/>
      <w:lvlJc w:val="left"/>
    </w:lvl>
    <w:lvl w:ilvl="2" w:tplc="DF4E39FE">
      <w:numFmt w:val="decimal"/>
      <w:lvlText w:val=""/>
      <w:lvlJc w:val="left"/>
    </w:lvl>
    <w:lvl w:ilvl="3" w:tplc="43102D6E">
      <w:numFmt w:val="decimal"/>
      <w:lvlText w:val=""/>
      <w:lvlJc w:val="left"/>
    </w:lvl>
    <w:lvl w:ilvl="4" w:tplc="364A15FC">
      <w:numFmt w:val="decimal"/>
      <w:lvlText w:val=""/>
      <w:lvlJc w:val="left"/>
    </w:lvl>
    <w:lvl w:ilvl="5" w:tplc="BE321EC2">
      <w:numFmt w:val="decimal"/>
      <w:lvlText w:val=""/>
      <w:lvlJc w:val="left"/>
    </w:lvl>
    <w:lvl w:ilvl="6" w:tplc="5A922A9A">
      <w:numFmt w:val="decimal"/>
      <w:lvlText w:val=""/>
      <w:lvlJc w:val="left"/>
    </w:lvl>
    <w:lvl w:ilvl="7" w:tplc="B95CB52A">
      <w:numFmt w:val="decimal"/>
      <w:lvlText w:val=""/>
      <w:lvlJc w:val="left"/>
    </w:lvl>
    <w:lvl w:ilvl="8" w:tplc="8AF0B81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269"/>
    <w:rsid w:val="00053F28"/>
    <w:rsid w:val="000C0803"/>
    <w:rsid w:val="000F3D9E"/>
    <w:rsid w:val="000F6105"/>
    <w:rsid w:val="00144D9D"/>
    <w:rsid w:val="001A6030"/>
    <w:rsid w:val="001C661C"/>
    <w:rsid w:val="00227841"/>
    <w:rsid w:val="0023517D"/>
    <w:rsid w:val="00257D5D"/>
    <w:rsid w:val="00296619"/>
    <w:rsid w:val="004B452D"/>
    <w:rsid w:val="00554397"/>
    <w:rsid w:val="007404C6"/>
    <w:rsid w:val="007A039C"/>
    <w:rsid w:val="00814269"/>
    <w:rsid w:val="0094682C"/>
    <w:rsid w:val="009F1A2A"/>
    <w:rsid w:val="00B26460"/>
    <w:rsid w:val="00C90EBE"/>
    <w:rsid w:val="00CF3205"/>
    <w:rsid w:val="00F33973"/>
    <w:rsid w:val="00FD538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28C9F"/>
  <w15:chartTrackingRefBased/>
  <w15:docId w15:val="{A9F1C1D7-DF0A-4C0C-BC12-03C5DEBF8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278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rayc@marjin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Pages>
  <Words>527</Words>
  <Characters>3006</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 Özdil Ersezer</dc:creator>
  <cp:keywords/>
  <dc:description/>
  <cp:lastModifiedBy>Ulaş Tuna</cp:lastModifiedBy>
  <cp:revision>9</cp:revision>
  <dcterms:created xsi:type="dcterms:W3CDTF">2019-02-14T07:10:00Z</dcterms:created>
  <dcterms:modified xsi:type="dcterms:W3CDTF">2020-02-10T10:01:00Z</dcterms:modified>
</cp:coreProperties>
</file>