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D7918" w14:textId="3366926B" w:rsidR="00D322B8" w:rsidRPr="00B50068" w:rsidRDefault="00D322B8" w:rsidP="3FF72FFC">
      <w:pPr>
        <w:pBdr>
          <w:bottom w:val="single" w:sz="6" w:space="1" w:color="auto"/>
        </w:pBdr>
        <w:rPr>
          <w:rFonts w:ascii="Tahoma" w:eastAsia="Tahoma" w:hAnsi="Tahoma" w:cs="Tahoma"/>
          <w:b/>
          <w:bCs/>
        </w:rPr>
      </w:pPr>
      <w:r w:rsidRPr="3FF72FFC">
        <w:rPr>
          <w:rFonts w:ascii="Tahoma" w:eastAsia="Tahoma" w:hAnsi="Tahoma" w:cs="Tahoma"/>
          <w:b/>
          <w:bCs/>
        </w:rPr>
        <w:t>BASIN BÜLTENİ</w:t>
      </w:r>
      <w:r>
        <w:tab/>
      </w:r>
      <w:r>
        <w:tab/>
      </w:r>
      <w:r>
        <w:tab/>
      </w:r>
      <w:r>
        <w:tab/>
      </w:r>
      <w:r w:rsidRPr="3FF72FFC">
        <w:rPr>
          <w:rFonts w:ascii="Tahoma" w:eastAsia="Tahoma" w:hAnsi="Tahoma" w:cs="Tahoma"/>
          <w:b/>
          <w:bCs/>
        </w:rPr>
        <w:t xml:space="preserve">                                            </w:t>
      </w:r>
      <w:r>
        <w:tab/>
      </w:r>
      <w:r w:rsidR="593178D9" w:rsidRPr="3FF72FFC">
        <w:rPr>
          <w:rFonts w:ascii="Tahoma" w:eastAsia="Tahoma" w:hAnsi="Tahoma" w:cs="Tahoma"/>
          <w:b/>
          <w:bCs/>
        </w:rPr>
        <w:t>17</w:t>
      </w:r>
      <w:r w:rsidRPr="3FF72FFC">
        <w:rPr>
          <w:rFonts w:ascii="Tahoma" w:eastAsia="Tahoma" w:hAnsi="Tahoma" w:cs="Tahoma"/>
          <w:b/>
          <w:bCs/>
        </w:rPr>
        <w:t>.</w:t>
      </w:r>
      <w:r w:rsidR="00B50068" w:rsidRPr="3FF72FFC">
        <w:rPr>
          <w:rFonts w:ascii="Tahoma" w:eastAsia="Tahoma" w:hAnsi="Tahoma" w:cs="Tahoma"/>
          <w:b/>
          <w:bCs/>
        </w:rPr>
        <w:t>0</w:t>
      </w:r>
      <w:r w:rsidR="008D12F9" w:rsidRPr="3FF72FFC">
        <w:rPr>
          <w:rFonts w:ascii="Tahoma" w:eastAsia="Tahoma" w:hAnsi="Tahoma" w:cs="Tahoma"/>
          <w:b/>
          <w:bCs/>
        </w:rPr>
        <w:t>5</w:t>
      </w:r>
      <w:r w:rsidRPr="3FF72FFC">
        <w:rPr>
          <w:rFonts w:ascii="Tahoma" w:eastAsia="Tahoma" w:hAnsi="Tahoma" w:cs="Tahoma"/>
          <w:b/>
          <w:bCs/>
        </w:rPr>
        <w:t>.20</w:t>
      </w:r>
      <w:r w:rsidR="003F63B6" w:rsidRPr="3FF72FFC">
        <w:rPr>
          <w:rFonts w:ascii="Tahoma" w:eastAsia="Tahoma" w:hAnsi="Tahoma" w:cs="Tahoma"/>
          <w:b/>
          <w:bCs/>
        </w:rPr>
        <w:t>24</w:t>
      </w:r>
    </w:p>
    <w:p w14:paraId="71E0CD76" w14:textId="77777777" w:rsidR="00B50068" w:rsidRPr="00EC3D74" w:rsidRDefault="00B50068" w:rsidP="00FB099A">
      <w:pPr>
        <w:rPr>
          <w:rFonts w:ascii="Arial" w:hAnsi="Arial" w:cs="Arial"/>
          <w:b/>
          <w:bCs/>
        </w:rPr>
      </w:pPr>
    </w:p>
    <w:p w14:paraId="2190D126" w14:textId="1BABB595" w:rsidR="00B41214" w:rsidRPr="00F33F96" w:rsidRDefault="00253863" w:rsidP="00253863">
      <w:pPr>
        <w:spacing w:after="0" w:line="300" w:lineRule="auto"/>
        <w:contextualSpacing/>
        <w:jc w:val="center"/>
        <w:rPr>
          <w:rFonts w:ascii="Arial" w:hAnsi="Arial" w:cs="Arial"/>
          <w:b/>
          <w:bCs/>
          <w:sz w:val="44"/>
          <w:szCs w:val="44"/>
        </w:rPr>
      </w:pPr>
      <w:r w:rsidRPr="00F33F96">
        <w:rPr>
          <w:rFonts w:ascii="Arial" w:hAnsi="Arial" w:cs="Arial"/>
          <w:b/>
          <w:bCs/>
          <w:sz w:val="44"/>
          <w:szCs w:val="44"/>
        </w:rPr>
        <w:t>Küresel girişim sermaye</w:t>
      </w:r>
      <w:r w:rsidR="0027440B">
        <w:rPr>
          <w:rFonts w:ascii="Arial" w:hAnsi="Arial" w:cs="Arial"/>
          <w:b/>
          <w:bCs/>
          <w:sz w:val="44"/>
          <w:szCs w:val="44"/>
        </w:rPr>
        <w:t xml:space="preserve">si yatırımları </w:t>
      </w:r>
      <w:r w:rsidR="00F33F96" w:rsidRPr="00F33F96">
        <w:rPr>
          <w:rFonts w:ascii="Arial" w:hAnsi="Arial" w:cs="Arial"/>
          <w:b/>
          <w:bCs/>
          <w:sz w:val="44"/>
          <w:szCs w:val="44"/>
        </w:rPr>
        <w:t xml:space="preserve">2024 </w:t>
      </w:r>
      <w:r w:rsidR="00447082">
        <w:rPr>
          <w:rFonts w:ascii="Arial" w:hAnsi="Arial" w:cs="Arial"/>
          <w:b/>
          <w:bCs/>
          <w:sz w:val="44"/>
          <w:szCs w:val="44"/>
        </w:rPr>
        <w:t>yılın</w:t>
      </w:r>
      <w:r w:rsidR="0027440B">
        <w:rPr>
          <w:rFonts w:ascii="Arial" w:hAnsi="Arial" w:cs="Arial"/>
          <w:b/>
          <w:bCs/>
          <w:sz w:val="44"/>
          <w:szCs w:val="44"/>
        </w:rPr>
        <w:t>ın ilk çeyreğinde geriledi</w:t>
      </w:r>
    </w:p>
    <w:p w14:paraId="0704C3D2" w14:textId="13A8EDEE" w:rsidR="00D322B8" w:rsidRPr="002F0232" w:rsidRDefault="00D322B8" w:rsidP="00D322B8">
      <w:pPr>
        <w:spacing w:after="0" w:line="300" w:lineRule="auto"/>
        <w:contextualSpacing/>
        <w:jc w:val="both"/>
        <w:rPr>
          <w:rFonts w:ascii="Arial" w:hAnsi="Arial" w:cs="Arial"/>
          <w:highlight w:val="yellow"/>
        </w:rPr>
      </w:pPr>
    </w:p>
    <w:p w14:paraId="6468D8F3" w14:textId="726D4855" w:rsidR="00253863" w:rsidRPr="00253863" w:rsidRDefault="00376117" w:rsidP="00960BB3">
      <w:pPr>
        <w:spacing w:after="0" w:line="300" w:lineRule="auto"/>
        <w:contextualSpacing/>
        <w:jc w:val="center"/>
        <w:rPr>
          <w:rFonts w:ascii="Arial" w:hAnsi="Arial" w:cs="Arial"/>
          <w:b/>
          <w:bCs/>
          <w:sz w:val="24"/>
          <w:szCs w:val="24"/>
        </w:rPr>
      </w:pPr>
      <w:r w:rsidRPr="00447082">
        <w:rPr>
          <w:rFonts w:ascii="Arial" w:hAnsi="Arial" w:cs="Arial"/>
          <w:b/>
          <w:bCs/>
          <w:sz w:val="24"/>
          <w:szCs w:val="24"/>
        </w:rPr>
        <w:t>KPMG’nin yayımladığı “Venture Pulse” raporun</w:t>
      </w:r>
      <w:r w:rsidR="00960BB3" w:rsidRPr="00447082">
        <w:rPr>
          <w:rFonts w:ascii="Arial" w:hAnsi="Arial" w:cs="Arial"/>
          <w:b/>
          <w:bCs/>
          <w:sz w:val="24"/>
          <w:szCs w:val="24"/>
        </w:rPr>
        <w:t xml:space="preserve">a göre </w:t>
      </w:r>
      <w:r w:rsidR="007D428A" w:rsidRPr="00447082">
        <w:rPr>
          <w:rFonts w:ascii="Arial" w:hAnsi="Arial" w:cs="Arial"/>
          <w:b/>
          <w:bCs/>
          <w:sz w:val="24"/>
          <w:szCs w:val="24"/>
        </w:rPr>
        <w:t>küresel çapta girişim</w:t>
      </w:r>
      <w:r w:rsidR="0027440B">
        <w:rPr>
          <w:rFonts w:ascii="Arial" w:hAnsi="Arial" w:cs="Arial"/>
          <w:b/>
          <w:bCs/>
          <w:sz w:val="24"/>
          <w:szCs w:val="24"/>
        </w:rPr>
        <w:t xml:space="preserve"> sermayesi</w:t>
      </w:r>
      <w:r w:rsidR="007D428A" w:rsidRPr="00447082">
        <w:rPr>
          <w:rFonts w:ascii="Arial" w:hAnsi="Arial" w:cs="Arial"/>
          <w:b/>
          <w:bCs/>
          <w:sz w:val="24"/>
          <w:szCs w:val="24"/>
        </w:rPr>
        <w:t xml:space="preserve"> yatırımları 202</w:t>
      </w:r>
      <w:r w:rsidR="00F33F96" w:rsidRPr="00447082">
        <w:rPr>
          <w:rFonts w:ascii="Arial" w:hAnsi="Arial" w:cs="Arial"/>
          <w:b/>
          <w:bCs/>
          <w:sz w:val="24"/>
          <w:szCs w:val="24"/>
        </w:rPr>
        <w:t>4</w:t>
      </w:r>
      <w:r w:rsidR="007D428A" w:rsidRPr="00447082">
        <w:rPr>
          <w:rFonts w:ascii="Arial" w:hAnsi="Arial" w:cs="Arial"/>
          <w:b/>
          <w:bCs/>
          <w:sz w:val="24"/>
          <w:szCs w:val="24"/>
        </w:rPr>
        <w:t xml:space="preserve"> yılının </w:t>
      </w:r>
      <w:r w:rsidR="00F33F96" w:rsidRPr="00447082">
        <w:rPr>
          <w:rFonts w:ascii="Arial" w:hAnsi="Arial" w:cs="Arial"/>
          <w:b/>
          <w:bCs/>
          <w:sz w:val="24"/>
          <w:szCs w:val="24"/>
        </w:rPr>
        <w:t>1</w:t>
      </w:r>
      <w:r w:rsidR="00253863" w:rsidRPr="00447082">
        <w:rPr>
          <w:rFonts w:ascii="Arial" w:hAnsi="Arial" w:cs="Arial"/>
          <w:b/>
          <w:bCs/>
          <w:sz w:val="24"/>
          <w:szCs w:val="24"/>
        </w:rPr>
        <w:t xml:space="preserve">. </w:t>
      </w:r>
      <w:r w:rsidR="007D428A" w:rsidRPr="00447082">
        <w:rPr>
          <w:rFonts w:ascii="Arial" w:hAnsi="Arial" w:cs="Arial"/>
          <w:b/>
          <w:bCs/>
          <w:sz w:val="24"/>
          <w:szCs w:val="24"/>
        </w:rPr>
        <w:t xml:space="preserve">çeyreğinde </w:t>
      </w:r>
      <w:r w:rsidR="00447082" w:rsidRPr="00447082">
        <w:rPr>
          <w:rFonts w:ascii="Arial" w:hAnsi="Arial" w:cs="Arial"/>
          <w:b/>
          <w:bCs/>
          <w:sz w:val="24"/>
          <w:szCs w:val="24"/>
        </w:rPr>
        <w:t xml:space="preserve">75,9 milyar dolara geriledi. </w:t>
      </w:r>
      <w:r w:rsidR="007D428A" w:rsidRPr="00447082">
        <w:rPr>
          <w:rFonts w:ascii="Arial" w:hAnsi="Arial" w:cs="Arial"/>
          <w:b/>
          <w:bCs/>
          <w:sz w:val="24"/>
          <w:szCs w:val="24"/>
        </w:rPr>
        <w:t>En fazla yatırım çeken</w:t>
      </w:r>
      <w:r w:rsidR="00C24518">
        <w:rPr>
          <w:rFonts w:ascii="Arial" w:hAnsi="Arial" w:cs="Arial"/>
          <w:b/>
          <w:bCs/>
          <w:sz w:val="24"/>
          <w:szCs w:val="24"/>
        </w:rPr>
        <w:t xml:space="preserve"> ülkeler</w:t>
      </w:r>
      <w:r w:rsidR="00447082" w:rsidRPr="00447082">
        <w:rPr>
          <w:rFonts w:ascii="Arial" w:hAnsi="Arial" w:cs="Arial"/>
          <w:b/>
          <w:bCs/>
          <w:sz w:val="24"/>
          <w:szCs w:val="24"/>
        </w:rPr>
        <w:t xml:space="preserve"> bir kez daha ABD ve Çin olurken y</w:t>
      </w:r>
      <w:r w:rsidR="00253863" w:rsidRPr="00447082">
        <w:rPr>
          <w:rFonts w:ascii="Arial" w:hAnsi="Arial" w:cs="Arial"/>
          <w:b/>
          <w:bCs/>
          <w:sz w:val="24"/>
          <w:szCs w:val="24"/>
        </w:rPr>
        <w:t xml:space="preserve">atırımcıların yapay zekâ alanında faaliyet gösteren girişimlere </w:t>
      </w:r>
      <w:r w:rsidR="00447082" w:rsidRPr="00447082">
        <w:rPr>
          <w:rFonts w:ascii="Arial" w:hAnsi="Arial" w:cs="Arial"/>
          <w:b/>
          <w:bCs/>
          <w:sz w:val="24"/>
          <w:szCs w:val="24"/>
        </w:rPr>
        <w:t xml:space="preserve">ilgisi bu dönem de devam etti. </w:t>
      </w:r>
    </w:p>
    <w:p w14:paraId="78FFFAB0" w14:textId="77777777" w:rsidR="00D322B8" w:rsidRPr="00EC3D74" w:rsidRDefault="00D322B8" w:rsidP="004A399D">
      <w:pPr>
        <w:spacing w:after="0" w:line="300" w:lineRule="auto"/>
        <w:contextualSpacing/>
        <w:jc w:val="both"/>
        <w:rPr>
          <w:rFonts w:ascii="Arial" w:hAnsi="Arial" w:cs="Arial"/>
        </w:rPr>
      </w:pPr>
    </w:p>
    <w:p w14:paraId="4C36D37B" w14:textId="39F40F1E" w:rsidR="002F0232" w:rsidRDefault="00BE1CA0" w:rsidP="0081056E">
      <w:pPr>
        <w:spacing w:after="0" w:line="300" w:lineRule="auto"/>
        <w:contextualSpacing/>
        <w:jc w:val="both"/>
        <w:rPr>
          <w:rFonts w:ascii="Arial" w:hAnsi="Arial" w:cs="Arial"/>
        </w:rPr>
      </w:pPr>
      <w:r w:rsidRPr="00EC3D74">
        <w:rPr>
          <w:rFonts w:ascii="Arial" w:hAnsi="Arial" w:cs="Arial"/>
        </w:rPr>
        <w:t>KPMG’nin girişim sermayesi piyasasının karşılaştığı temel eğilimleri, fırsatları ve zorlukları ortaya koyan Venture Pulse raporu yayımlandı.</w:t>
      </w:r>
      <w:r w:rsidR="006C34C2" w:rsidRPr="00EC3D74">
        <w:rPr>
          <w:rFonts w:ascii="Arial" w:hAnsi="Arial" w:cs="Arial"/>
        </w:rPr>
        <w:t xml:space="preserve"> 202</w:t>
      </w:r>
      <w:r w:rsidR="002F0232">
        <w:rPr>
          <w:rFonts w:ascii="Arial" w:hAnsi="Arial" w:cs="Arial"/>
        </w:rPr>
        <w:t>4</w:t>
      </w:r>
      <w:r w:rsidR="006C34C2" w:rsidRPr="00EC3D74">
        <w:rPr>
          <w:rFonts w:ascii="Arial" w:hAnsi="Arial" w:cs="Arial"/>
        </w:rPr>
        <w:t xml:space="preserve"> yılı </w:t>
      </w:r>
      <w:r w:rsidR="002F0232">
        <w:rPr>
          <w:rFonts w:ascii="Arial" w:hAnsi="Arial" w:cs="Arial"/>
        </w:rPr>
        <w:t xml:space="preserve">ilk çeyrek dönemi </w:t>
      </w:r>
      <w:r w:rsidR="006C34C2" w:rsidRPr="00EC3D74">
        <w:rPr>
          <w:rFonts w:ascii="Arial" w:hAnsi="Arial" w:cs="Arial"/>
        </w:rPr>
        <w:t>kapsayan r</w:t>
      </w:r>
      <w:r w:rsidRPr="00EC3D74">
        <w:rPr>
          <w:rFonts w:ascii="Arial" w:hAnsi="Arial" w:cs="Arial"/>
        </w:rPr>
        <w:t>apor</w:t>
      </w:r>
      <w:r w:rsidR="002F0232">
        <w:rPr>
          <w:rFonts w:ascii="Arial" w:hAnsi="Arial" w:cs="Arial"/>
        </w:rPr>
        <w:t>a</w:t>
      </w:r>
      <w:r w:rsidRPr="00EC3D74">
        <w:rPr>
          <w:rFonts w:ascii="Arial" w:hAnsi="Arial" w:cs="Arial"/>
        </w:rPr>
        <w:t xml:space="preserve"> göre </w:t>
      </w:r>
      <w:r w:rsidR="002F0232" w:rsidRPr="002F0232">
        <w:rPr>
          <w:rFonts w:ascii="Arial" w:hAnsi="Arial" w:cs="Arial"/>
        </w:rPr>
        <w:t xml:space="preserve">7.520 </w:t>
      </w:r>
      <w:r w:rsidR="00995C2B">
        <w:rPr>
          <w:rFonts w:ascii="Arial" w:hAnsi="Arial" w:cs="Arial"/>
        </w:rPr>
        <w:t xml:space="preserve">işlemin </w:t>
      </w:r>
      <w:r w:rsidR="002F0232">
        <w:rPr>
          <w:rFonts w:ascii="Arial" w:hAnsi="Arial" w:cs="Arial"/>
        </w:rPr>
        <w:t xml:space="preserve">gerçekleştiği </w:t>
      </w:r>
      <w:bookmarkStart w:id="0" w:name="_Hlk166832172"/>
      <w:r w:rsidR="002F0232" w:rsidRPr="00847927">
        <w:rPr>
          <w:rFonts w:ascii="Arial" w:hAnsi="Arial" w:cs="Arial"/>
        </w:rPr>
        <w:t xml:space="preserve">küresel girişim </w:t>
      </w:r>
      <w:r w:rsidR="00711EAA">
        <w:rPr>
          <w:rFonts w:ascii="Arial" w:hAnsi="Arial" w:cs="Arial"/>
        </w:rPr>
        <w:t xml:space="preserve">sermayesi </w:t>
      </w:r>
      <w:r w:rsidR="00971777">
        <w:rPr>
          <w:rFonts w:ascii="Arial" w:hAnsi="Arial" w:cs="Arial"/>
        </w:rPr>
        <w:t>(VC)</w:t>
      </w:r>
      <w:r w:rsidR="00971777" w:rsidRPr="00847927">
        <w:rPr>
          <w:rFonts w:ascii="Arial" w:hAnsi="Arial" w:cs="Arial"/>
        </w:rPr>
        <w:t xml:space="preserve"> </w:t>
      </w:r>
      <w:r w:rsidR="002F0232" w:rsidRPr="00847927">
        <w:rPr>
          <w:rFonts w:ascii="Arial" w:hAnsi="Arial" w:cs="Arial"/>
        </w:rPr>
        <w:t>yatırımları</w:t>
      </w:r>
      <w:r w:rsidR="00971777">
        <w:rPr>
          <w:rFonts w:ascii="Arial" w:hAnsi="Arial" w:cs="Arial"/>
        </w:rPr>
        <w:t xml:space="preserve"> </w:t>
      </w:r>
      <w:bookmarkEnd w:id="0"/>
      <w:r w:rsidR="002F0232" w:rsidRPr="002F0232">
        <w:rPr>
          <w:rFonts w:ascii="Arial" w:hAnsi="Arial" w:cs="Arial"/>
        </w:rPr>
        <w:t>75,9 milyar dolara düştü.</w:t>
      </w:r>
    </w:p>
    <w:p w14:paraId="57EC9A41" w14:textId="77777777" w:rsidR="002F0232" w:rsidRDefault="002F0232" w:rsidP="0081056E">
      <w:pPr>
        <w:spacing w:after="0" w:line="300" w:lineRule="auto"/>
        <w:contextualSpacing/>
        <w:jc w:val="both"/>
        <w:rPr>
          <w:rFonts w:ascii="Arial" w:hAnsi="Arial" w:cs="Arial"/>
        </w:rPr>
      </w:pPr>
    </w:p>
    <w:p w14:paraId="06D5E7E4" w14:textId="37A3DEA1" w:rsidR="00891DD7" w:rsidRDefault="00891DD7" w:rsidP="0081056E">
      <w:pPr>
        <w:spacing w:after="0" w:line="300" w:lineRule="auto"/>
        <w:contextualSpacing/>
        <w:jc w:val="both"/>
        <w:rPr>
          <w:rFonts w:ascii="Arial" w:hAnsi="Arial" w:cs="Arial"/>
        </w:rPr>
      </w:pPr>
      <w:r w:rsidRPr="65EC882E">
        <w:rPr>
          <w:rFonts w:ascii="Arial" w:hAnsi="Arial" w:cs="Arial"/>
        </w:rPr>
        <w:t>Amerika kıtası 20</w:t>
      </w:r>
      <w:r w:rsidR="00995C2B" w:rsidRPr="65EC882E">
        <w:rPr>
          <w:rFonts w:ascii="Arial" w:hAnsi="Arial" w:cs="Arial"/>
        </w:rPr>
        <w:t>2</w:t>
      </w:r>
      <w:r w:rsidRPr="65EC882E">
        <w:rPr>
          <w:rFonts w:ascii="Arial" w:hAnsi="Arial" w:cs="Arial"/>
        </w:rPr>
        <w:t xml:space="preserve">4 yılı 1. </w:t>
      </w:r>
      <w:r w:rsidR="008D12F9" w:rsidRPr="65EC882E">
        <w:rPr>
          <w:rFonts w:ascii="Arial" w:hAnsi="Arial" w:cs="Arial"/>
        </w:rPr>
        <w:t>ç</w:t>
      </w:r>
      <w:r w:rsidRPr="65EC882E">
        <w:rPr>
          <w:rFonts w:ascii="Arial" w:hAnsi="Arial" w:cs="Arial"/>
        </w:rPr>
        <w:t xml:space="preserve">eyrekte (3.205 </w:t>
      </w:r>
      <w:r w:rsidR="00995C2B" w:rsidRPr="65EC882E">
        <w:rPr>
          <w:rFonts w:ascii="Arial" w:hAnsi="Arial" w:cs="Arial"/>
        </w:rPr>
        <w:t xml:space="preserve">işlem, </w:t>
      </w:r>
      <w:r w:rsidRPr="65EC882E">
        <w:rPr>
          <w:rFonts w:ascii="Arial" w:hAnsi="Arial" w:cs="Arial"/>
        </w:rPr>
        <w:t>38,2 milyar dolar</w:t>
      </w:r>
      <w:r w:rsidR="00995C2B" w:rsidRPr="65EC882E">
        <w:rPr>
          <w:rFonts w:ascii="Arial" w:hAnsi="Arial" w:cs="Arial"/>
        </w:rPr>
        <w:t xml:space="preserve"> işlem hacmi</w:t>
      </w:r>
      <w:r w:rsidRPr="65EC882E">
        <w:rPr>
          <w:rFonts w:ascii="Arial" w:hAnsi="Arial" w:cs="Arial"/>
        </w:rPr>
        <w:t xml:space="preserve">) özellikle ABD'deki yatırım </w:t>
      </w:r>
      <w:r w:rsidR="001F41A8" w:rsidRPr="65EC882E">
        <w:rPr>
          <w:rFonts w:ascii="Arial" w:hAnsi="Arial" w:cs="Arial"/>
        </w:rPr>
        <w:t>aktivitesinin</w:t>
      </w:r>
      <w:r w:rsidRPr="65EC882E">
        <w:rPr>
          <w:rFonts w:ascii="Arial" w:hAnsi="Arial" w:cs="Arial"/>
        </w:rPr>
        <w:t xml:space="preserve"> (2.882 </w:t>
      </w:r>
      <w:r w:rsidR="00995C2B" w:rsidRPr="65EC882E">
        <w:rPr>
          <w:rFonts w:ascii="Arial" w:hAnsi="Arial" w:cs="Arial"/>
        </w:rPr>
        <w:t xml:space="preserve">işlem, </w:t>
      </w:r>
      <w:r w:rsidRPr="65EC882E">
        <w:rPr>
          <w:rFonts w:ascii="Arial" w:hAnsi="Arial" w:cs="Arial"/>
        </w:rPr>
        <w:t>36,6 milyar dolar</w:t>
      </w:r>
      <w:r w:rsidR="00995C2B" w:rsidRPr="65EC882E">
        <w:rPr>
          <w:rFonts w:ascii="Arial" w:hAnsi="Arial" w:cs="Arial"/>
        </w:rPr>
        <w:t xml:space="preserve"> işlem hacmi</w:t>
      </w:r>
      <w:r w:rsidRPr="65EC882E">
        <w:rPr>
          <w:rFonts w:ascii="Arial" w:hAnsi="Arial" w:cs="Arial"/>
        </w:rPr>
        <w:t xml:space="preserve">) etkisiyle, küresel olarak </w:t>
      </w:r>
      <w:r w:rsidR="00995C2B" w:rsidRPr="65EC882E">
        <w:rPr>
          <w:rFonts w:ascii="Arial" w:hAnsi="Arial" w:cs="Arial"/>
        </w:rPr>
        <w:t xml:space="preserve">VC yatırımlarından </w:t>
      </w:r>
      <w:r w:rsidRPr="65EC882E">
        <w:rPr>
          <w:rFonts w:ascii="Arial" w:hAnsi="Arial" w:cs="Arial"/>
        </w:rPr>
        <w:t xml:space="preserve">en büyük payı aldı. Bu yatırımlar arasında </w:t>
      </w:r>
      <w:r w:rsidR="00995C2B" w:rsidRPr="65EC882E">
        <w:rPr>
          <w:rFonts w:ascii="Arial" w:hAnsi="Arial" w:cs="Arial"/>
        </w:rPr>
        <w:t>yapay zek</w:t>
      </w:r>
      <w:r w:rsidR="008D12F9" w:rsidRPr="65EC882E">
        <w:rPr>
          <w:rFonts w:ascii="Arial" w:hAnsi="Arial" w:cs="Arial"/>
        </w:rPr>
        <w:t>â</w:t>
      </w:r>
      <w:r w:rsidR="00995C2B" w:rsidRPr="65EC882E">
        <w:rPr>
          <w:rFonts w:ascii="Arial" w:hAnsi="Arial" w:cs="Arial"/>
        </w:rPr>
        <w:t xml:space="preserve"> alanında faaliyet gösteren </w:t>
      </w:r>
      <w:r w:rsidRPr="65EC882E">
        <w:rPr>
          <w:rFonts w:ascii="Arial" w:hAnsi="Arial" w:cs="Arial"/>
        </w:rPr>
        <w:t>Anthropic'e 4 milyar dolar, pil malzemeleri şirketi Ascend Elements'e 704 milyon dolar, Figure AI'ye 675 milyon dolar, astım odaklı biyoteknoloji şirketi Areteia Therapeutics'e 425 milyon dolar ve Mirador Therapeutics'e 400 milyon dolar</w:t>
      </w:r>
      <w:r w:rsidR="00995C2B" w:rsidRPr="65EC882E">
        <w:rPr>
          <w:rFonts w:ascii="Arial" w:hAnsi="Arial" w:cs="Arial"/>
        </w:rPr>
        <w:t xml:space="preserve"> tutarında</w:t>
      </w:r>
      <w:r w:rsidRPr="65EC882E">
        <w:rPr>
          <w:rFonts w:ascii="Arial" w:hAnsi="Arial" w:cs="Arial"/>
        </w:rPr>
        <w:t xml:space="preserve"> </w:t>
      </w:r>
      <w:r w:rsidR="00995C2B" w:rsidRPr="65EC882E">
        <w:rPr>
          <w:rFonts w:ascii="Arial" w:hAnsi="Arial" w:cs="Arial"/>
        </w:rPr>
        <w:t xml:space="preserve">gerçekleşen </w:t>
      </w:r>
      <w:r w:rsidRPr="65EC882E">
        <w:rPr>
          <w:rFonts w:ascii="Arial" w:hAnsi="Arial" w:cs="Arial"/>
        </w:rPr>
        <w:t xml:space="preserve">yatırımlar bulunuyor. </w:t>
      </w:r>
    </w:p>
    <w:p w14:paraId="11151815" w14:textId="77777777" w:rsidR="00891DD7" w:rsidRDefault="00891DD7" w:rsidP="0081056E">
      <w:pPr>
        <w:spacing w:after="0" w:line="300" w:lineRule="auto"/>
        <w:contextualSpacing/>
        <w:jc w:val="both"/>
        <w:rPr>
          <w:rFonts w:ascii="Arial" w:hAnsi="Arial" w:cs="Arial"/>
        </w:rPr>
      </w:pPr>
    </w:p>
    <w:p w14:paraId="2FA07EF7" w14:textId="107454AD" w:rsidR="007C4B71" w:rsidRDefault="00891DD7" w:rsidP="0081056E">
      <w:pPr>
        <w:spacing w:after="0" w:line="300" w:lineRule="auto"/>
        <w:contextualSpacing/>
        <w:jc w:val="both"/>
        <w:rPr>
          <w:rFonts w:ascii="Arial" w:hAnsi="Arial" w:cs="Arial"/>
        </w:rPr>
      </w:pPr>
      <w:r w:rsidRPr="00891DD7">
        <w:rPr>
          <w:rFonts w:ascii="Arial" w:hAnsi="Arial" w:cs="Arial"/>
        </w:rPr>
        <w:t>Asya</w:t>
      </w:r>
      <w:r>
        <w:rPr>
          <w:rFonts w:ascii="Arial" w:hAnsi="Arial" w:cs="Arial"/>
        </w:rPr>
        <w:t xml:space="preserve"> ise </w:t>
      </w:r>
      <w:r w:rsidRPr="00891DD7">
        <w:rPr>
          <w:rFonts w:ascii="Arial" w:hAnsi="Arial" w:cs="Arial"/>
        </w:rPr>
        <w:t xml:space="preserve">Çin'deki üç büyük yatırımın (elektrikli araç şirketi IM Motors'un 1,1 milyar dolar, yapay </w:t>
      </w:r>
      <w:r>
        <w:rPr>
          <w:rFonts w:ascii="Arial" w:hAnsi="Arial" w:cs="Arial"/>
        </w:rPr>
        <w:t xml:space="preserve">zekâ </w:t>
      </w:r>
      <w:r w:rsidRPr="00891DD7">
        <w:rPr>
          <w:rFonts w:ascii="Arial" w:hAnsi="Arial" w:cs="Arial"/>
        </w:rPr>
        <w:t xml:space="preserve">odaklı YueZhiAnMian'ın 1 milyar dolar ve Yuanxin Satellite'ın 940 milyon dolar) öncülüğünde bu çeyrekte ikinci en yüksek VC yatırımı (2.305 </w:t>
      </w:r>
      <w:r w:rsidR="00995C2B">
        <w:rPr>
          <w:rFonts w:ascii="Arial" w:hAnsi="Arial" w:cs="Arial"/>
        </w:rPr>
        <w:t>işlem,</w:t>
      </w:r>
      <w:r w:rsidRPr="00891DD7">
        <w:rPr>
          <w:rFonts w:ascii="Arial" w:hAnsi="Arial" w:cs="Arial"/>
        </w:rPr>
        <w:t xml:space="preserve"> 18,9 milyar dolar</w:t>
      </w:r>
      <w:r w:rsidR="00995C2B">
        <w:rPr>
          <w:rFonts w:ascii="Arial" w:hAnsi="Arial" w:cs="Arial"/>
        </w:rPr>
        <w:t xml:space="preserve"> işlem hacmi</w:t>
      </w:r>
      <w:r w:rsidRPr="00891DD7">
        <w:rPr>
          <w:rFonts w:ascii="Arial" w:hAnsi="Arial" w:cs="Arial"/>
        </w:rPr>
        <w:t xml:space="preserve">) çekti. Avrupa'da </w:t>
      </w:r>
      <w:r w:rsidR="00971777">
        <w:rPr>
          <w:rFonts w:ascii="Arial" w:hAnsi="Arial" w:cs="Arial"/>
        </w:rPr>
        <w:t xml:space="preserve">VC </w:t>
      </w:r>
      <w:r w:rsidRPr="00891DD7">
        <w:rPr>
          <w:rFonts w:ascii="Arial" w:hAnsi="Arial" w:cs="Arial"/>
        </w:rPr>
        <w:t xml:space="preserve">yatırımları bir miktar artarak 1.798 </w:t>
      </w:r>
      <w:r w:rsidR="001F41A8">
        <w:rPr>
          <w:rFonts w:ascii="Arial" w:hAnsi="Arial" w:cs="Arial"/>
        </w:rPr>
        <w:t>işlem adedi ile</w:t>
      </w:r>
      <w:r w:rsidR="001F41A8" w:rsidRPr="00891DD7">
        <w:rPr>
          <w:rFonts w:ascii="Arial" w:hAnsi="Arial" w:cs="Arial"/>
        </w:rPr>
        <w:t xml:space="preserve"> </w:t>
      </w:r>
      <w:r w:rsidRPr="00891DD7">
        <w:rPr>
          <w:rFonts w:ascii="Arial" w:hAnsi="Arial" w:cs="Arial"/>
        </w:rPr>
        <w:t>17,9 milyar dolar</w:t>
      </w:r>
      <w:r w:rsidR="00995C2B">
        <w:rPr>
          <w:rFonts w:ascii="Arial" w:hAnsi="Arial" w:cs="Arial"/>
        </w:rPr>
        <w:t>lık işlem hacmine</w:t>
      </w:r>
      <w:r w:rsidRPr="00891DD7">
        <w:rPr>
          <w:rFonts w:ascii="Arial" w:hAnsi="Arial" w:cs="Arial"/>
        </w:rPr>
        <w:t xml:space="preserve"> ulaştı</w:t>
      </w:r>
      <w:r w:rsidR="00971777">
        <w:rPr>
          <w:rFonts w:ascii="Arial" w:hAnsi="Arial" w:cs="Arial"/>
        </w:rPr>
        <w:t>. B</w:t>
      </w:r>
      <w:r w:rsidRPr="00891DD7">
        <w:rPr>
          <w:rFonts w:ascii="Arial" w:hAnsi="Arial" w:cs="Arial"/>
        </w:rPr>
        <w:t xml:space="preserve">ölgedeki en büyük </w:t>
      </w:r>
      <w:r w:rsidR="001F41A8">
        <w:rPr>
          <w:rFonts w:ascii="Arial" w:hAnsi="Arial" w:cs="Arial"/>
        </w:rPr>
        <w:t>işlemler</w:t>
      </w:r>
      <w:r w:rsidR="001F41A8" w:rsidRPr="00891DD7">
        <w:rPr>
          <w:rFonts w:ascii="Arial" w:hAnsi="Arial" w:cs="Arial"/>
        </w:rPr>
        <w:t xml:space="preserve"> </w:t>
      </w:r>
      <w:r w:rsidRPr="00891DD7">
        <w:rPr>
          <w:rFonts w:ascii="Arial" w:hAnsi="Arial" w:cs="Arial"/>
        </w:rPr>
        <w:t>arasında İsveç merkezli yeşil altyapı şirketi H2 Green Steel'in 5,2 milyar dolarlık ve İngiltere merkezli neobank Monzo'nun 431 milyon dolarlık yatırımlarının ardından Fransa'da Mistral AI'nin 415 milyon dolarlık, Hollanda merkezli e-ticaret şirketi Picnic'in 389 milyon dolarlık ve Fransa merkezli EV firması Electra'nın 334 milyon dolarlık yatırımları yer aldı.</w:t>
      </w:r>
    </w:p>
    <w:p w14:paraId="503F6F8E" w14:textId="77777777" w:rsidR="00891DD7" w:rsidRPr="00EC3D74" w:rsidRDefault="00891DD7" w:rsidP="0081056E">
      <w:pPr>
        <w:spacing w:after="0" w:line="300" w:lineRule="auto"/>
        <w:contextualSpacing/>
        <w:jc w:val="both"/>
        <w:rPr>
          <w:rFonts w:ascii="Arial" w:hAnsi="Arial" w:cs="Arial"/>
        </w:rPr>
      </w:pPr>
    </w:p>
    <w:p w14:paraId="6E6E5397" w14:textId="343F0689" w:rsidR="007C4B71" w:rsidRDefault="009307A7" w:rsidP="00971777">
      <w:pPr>
        <w:spacing w:after="0" w:line="300" w:lineRule="auto"/>
        <w:contextualSpacing/>
        <w:jc w:val="both"/>
        <w:rPr>
          <w:rFonts w:ascii="Arial" w:hAnsi="Arial" w:cs="Arial"/>
        </w:rPr>
      </w:pPr>
      <w:r w:rsidRPr="19C4C88E">
        <w:rPr>
          <w:rFonts w:ascii="Arial" w:hAnsi="Arial" w:cs="Arial"/>
        </w:rPr>
        <w:t xml:space="preserve">Raporu değerlendiren </w:t>
      </w:r>
      <w:r w:rsidR="007C4B71" w:rsidRPr="19C4C88E">
        <w:rPr>
          <w:rFonts w:ascii="Arial" w:hAnsi="Arial" w:cs="Arial"/>
          <w:b/>
          <w:bCs/>
        </w:rPr>
        <w:t>KPMG Türkiye M&amp;A Danışmanlık Hizmetleri, Şirket Ortağı Özge İlhan,</w:t>
      </w:r>
      <w:r w:rsidR="00CC2668">
        <w:rPr>
          <w:rFonts w:ascii="Arial" w:hAnsi="Arial" w:cs="Arial"/>
          <w:b/>
          <w:bCs/>
        </w:rPr>
        <w:t xml:space="preserve"> </w:t>
      </w:r>
      <w:r w:rsidR="00CC2668" w:rsidRPr="00CC2668">
        <w:rPr>
          <w:rFonts w:ascii="Arial" w:hAnsi="Arial" w:cs="Arial"/>
        </w:rPr>
        <w:t>“İ</w:t>
      </w:r>
      <w:r w:rsidR="00971777" w:rsidRPr="00CC2668">
        <w:rPr>
          <w:rFonts w:ascii="Arial" w:hAnsi="Arial" w:cs="Arial"/>
        </w:rPr>
        <w:t>kinci</w:t>
      </w:r>
      <w:r w:rsidR="00971777">
        <w:rPr>
          <w:rFonts w:ascii="Arial" w:hAnsi="Arial" w:cs="Arial"/>
        </w:rPr>
        <w:t xml:space="preserve"> çeyreğe </w:t>
      </w:r>
      <w:r w:rsidR="00971777" w:rsidRPr="00971777">
        <w:rPr>
          <w:rFonts w:ascii="Arial" w:hAnsi="Arial" w:cs="Arial"/>
        </w:rPr>
        <w:t>girerken, piyasadaki belirsizlik ve bu yılın ilerleyen dönemlerinde yapılması planlanan birkaç kritik seçim göz önüne alındığında, küresel olarak risk sermayesi yatırımlarının önemli ölçüde artması beklenmiyor</w:t>
      </w:r>
      <w:r w:rsidR="00971777">
        <w:rPr>
          <w:rFonts w:ascii="Arial" w:hAnsi="Arial" w:cs="Arial"/>
        </w:rPr>
        <w:t xml:space="preserve"> olsa da </w:t>
      </w:r>
      <w:r w:rsidR="00971777" w:rsidRPr="00971777">
        <w:rPr>
          <w:rFonts w:ascii="Arial" w:hAnsi="Arial" w:cs="Arial"/>
        </w:rPr>
        <w:t xml:space="preserve">özellikle Avrupa ve Asya'nın bazı bölgelerinde </w:t>
      </w:r>
      <w:r w:rsidR="001F41A8">
        <w:rPr>
          <w:rFonts w:ascii="Arial" w:hAnsi="Arial" w:cs="Arial"/>
        </w:rPr>
        <w:t>girişim yatırımlarına</w:t>
      </w:r>
      <w:r w:rsidR="00971777" w:rsidRPr="00971777">
        <w:rPr>
          <w:rFonts w:ascii="Arial" w:hAnsi="Arial" w:cs="Arial"/>
        </w:rPr>
        <w:t xml:space="preserve"> </w:t>
      </w:r>
      <w:r w:rsidR="00971777">
        <w:rPr>
          <w:rFonts w:ascii="Arial" w:hAnsi="Arial" w:cs="Arial"/>
        </w:rPr>
        <w:t xml:space="preserve">ilgi </w:t>
      </w:r>
      <w:r w:rsidR="00971777" w:rsidRPr="00971777">
        <w:rPr>
          <w:rFonts w:ascii="Arial" w:hAnsi="Arial" w:cs="Arial"/>
        </w:rPr>
        <w:t xml:space="preserve">artıyor. Yapay </w:t>
      </w:r>
      <w:r w:rsidR="00971777">
        <w:rPr>
          <w:rFonts w:ascii="Arial" w:hAnsi="Arial" w:cs="Arial"/>
        </w:rPr>
        <w:t xml:space="preserve">zekâ </w:t>
      </w:r>
      <w:r w:rsidR="00971777" w:rsidRPr="00971777">
        <w:rPr>
          <w:rFonts w:ascii="Arial" w:hAnsi="Arial" w:cs="Arial"/>
        </w:rPr>
        <w:t xml:space="preserve">ve temiz teknolojinin VC yatırımları için sıcak alanlar olmaya devam etmesi bekleniyor, ancak yatırımcılar giderek daha fazla değer odaklı çözümlere ve niş dikeylere yönelik çözümlere odaklandıkça yapay </w:t>
      </w:r>
      <w:r w:rsidR="00971777">
        <w:rPr>
          <w:rFonts w:ascii="Arial" w:hAnsi="Arial" w:cs="Arial"/>
        </w:rPr>
        <w:t xml:space="preserve">zekâya </w:t>
      </w:r>
      <w:r w:rsidR="00971777" w:rsidRPr="00971777">
        <w:rPr>
          <w:rFonts w:ascii="Arial" w:hAnsi="Arial" w:cs="Arial"/>
        </w:rPr>
        <w:t xml:space="preserve">olan ilgi </w:t>
      </w:r>
      <w:r w:rsidR="00971777">
        <w:rPr>
          <w:rFonts w:ascii="Arial" w:hAnsi="Arial" w:cs="Arial"/>
        </w:rPr>
        <w:t xml:space="preserve">de </w:t>
      </w:r>
      <w:r w:rsidR="00971777" w:rsidRPr="00971777">
        <w:rPr>
          <w:rFonts w:ascii="Arial" w:hAnsi="Arial" w:cs="Arial"/>
        </w:rPr>
        <w:lastRenderedPageBreak/>
        <w:t xml:space="preserve">dengelenmeye başlayabilir. </w:t>
      </w:r>
      <w:r w:rsidR="00971777">
        <w:rPr>
          <w:rFonts w:ascii="Arial" w:hAnsi="Arial" w:cs="Arial"/>
        </w:rPr>
        <w:t>Bunların yanında ş</w:t>
      </w:r>
      <w:r w:rsidR="00971777" w:rsidRPr="00971777">
        <w:rPr>
          <w:rFonts w:ascii="Arial" w:hAnsi="Arial" w:cs="Arial"/>
        </w:rPr>
        <w:t xml:space="preserve">irketler yapay </w:t>
      </w:r>
      <w:r w:rsidR="00971777">
        <w:rPr>
          <w:rFonts w:ascii="Arial" w:hAnsi="Arial" w:cs="Arial"/>
        </w:rPr>
        <w:t xml:space="preserve">zekâ </w:t>
      </w:r>
      <w:r w:rsidR="00971777" w:rsidRPr="00971777">
        <w:rPr>
          <w:rFonts w:ascii="Arial" w:hAnsi="Arial" w:cs="Arial"/>
        </w:rPr>
        <w:t xml:space="preserve">kaynaklı siber riskleri yönetmeye </w:t>
      </w:r>
      <w:r w:rsidR="001F41A8" w:rsidRPr="00971777">
        <w:rPr>
          <w:rFonts w:ascii="Arial" w:hAnsi="Arial" w:cs="Arial"/>
        </w:rPr>
        <w:t>çalıştı</w:t>
      </w:r>
      <w:r w:rsidR="001F41A8">
        <w:rPr>
          <w:rFonts w:ascii="Arial" w:hAnsi="Arial" w:cs="Arial"/>
        </w:rPr>
        <w:t>ğından,</w:t>
      </w:r>
      <w:r w:rsidR="001F41A8" w:rsidRPr="00971777">
        <w:rPr>
          <w:rFonts w:ascii="Arial" w:hAnsi="Arial" w:cs="Arial"/>
        </w:rPr>
        <w:t xml:space="preserve"> </w:t>
      </w:r>
      <w:r w:rsidR="00971777" w:rsidRPr="00971777">
        <w:rPr>
          <w:rFonts w:ascii="Arial" w:hAnsi="Arial" w:cs="Arial"/>
        </w:rPr>
        <w:t>siber güvenli</w:t>
      </w:r>
      <w:r w:rsidR="001F41A8">
        <w:rPr>
          <w:rFonts w:ascii="Arial" w:hAnsi="Arial" w:cs="Arial"/>
        </w:rPr>
        <w:t>k yatırımları da artış gösterebilir</w:t>
      </w:r>
      <w:r w:rsidR="00971777" w:rsidRPr="00971777">
        <w:rPr>
          <w:rFonts w:ascii="Arial" w:hAnsi="Arial" w:cs="Arial"/>
        </w:rPr>
        <w:t>.</w:t>
      </w:r>
      <w:r w:rsidR="00971777">
        <w:rPr>
          <w:rFonts w:ascii="Arial" w:hAnsi="Arial" w:cs="Arial"/>
        </w:rPr>
        <w:t>” dedi.</w:t>
      </w:r>
    </w:p>
    <w:p w14:paraId="1AE9A6D3" w14:textId="77777777" w:rsidR="002F0232" w:rsidRDefault="002F0232" w:rsidP="0081056E">
      <w:pPr>
        <w:spacing w:after="0" w:line="300" w:lineRule="auto"/>
        <w:contextualSpacing/>
        <w:jc w:val="both"/>
        <w:rPr>
          <w:rFonts w:ascii="Arial" w:hAnsi="Arial" w:cs="Arial"/>
        </w:rPr>
      </w:pPr>
    </w:p>
    <w:p w14:paraId="2EAE1039" w14:textId="5C58D1B2" w:rsidR="002F0232" w:rsidRPr="002F0232" w:rsidRDefault="00971777" w:rsidP="0081056E">
      <w:pPr>
        <w:spacing w:after="0" w:line="300" w:lineRule="auto"/>
        <w:contextualSpacing/>
        <w:jc w:val="both"/>
        <w:rPr>
          <w:rFonts w:ascii="Arial" w:hAnsi="Arial" w:cs="Arial"/>
          <w:b/>
          <w:bCs/>
        </w:rPr>
      </w:pPr>
      <w:r w:rsidRPr="00971777">
        <w:rPr>
          <w:rFonts w:ascii="Arial" w:hAnsi="Arial" w:cs="Arial"/>
          <w:b/>
          <w:bCs/>
        </w:rPr>
        <w:t xml:space="preserve">Yapay </w:t>
      </w:r>
      <w:r>
        <w:rPr>
          <w:rFonts w:ascii="Arial" w:hAnsi="Arial" w:cs="Arial"/>
          <w:b/>
          <w:bCs/>
        </w:rPr>
        <w:t>zekâ</w:t>
      </w:r>
      <w:r w:rsidRPr="00971777">
        <w:rPr>
          <w:rFonts w:ascii="Arial" w:hAnsi="Arial" w:cs="Arial"/>
          <w:b/>
          <w:bCs/>
        </w:rPr>
        <w:t xml:space="preserve">, küresel çapta risk sermayesi yatırımlarının en büyük itici gücü </w:t>
      </w:r>
    </w:p>
    <w:p w14:paraId="6320E212" w14:textId="16542360" w:rsidR="00971777" w:rsidRDefault="00971777" w:rsidP="0081056E">
      <w:pPr>
        <w:spacing w:after="0" w:line="300" w:lineRule="auto"/>
        <w:contextualSpacing/>
        <w:jc w:val="both"/>
        <w:rPr>
          <w:rFonts w:ascii="Arial" w:hAnsi="Arial" w:cs="Arial"/>
        </w:rPr>
      </w:pPr>
      <w:r w:rsidRPr="65EC882E">
        <w:rPr>
          <w:rFonts w:ascii="Arial" w:hAnsi="Arial" w:cs="Arial"/>
        </w:rPr>
        <w:t xml:space="preserve">Yapay zekâ odaklı çözümlere ilgi bu yılın ilk çeyreğinde de sürdü. Üretken yapay zekâ hem büyük dil modeli odaklı çözümler hem de gerçek sonuçlar ve verimlilik sağlamak için iş dikeylerinde üretken yapay zekâ yetenekleri oluşturmayı amaçlayan çözümler açısından </w:t>
      </w:r>
      <w:r w:rsidR="001F41A8" w:rsidRPr="65EC882E">
        <w:rPr>
          <w:rFonts w:ascii="Arial" w:hAnsi="Arial" w:cs="Arial"/>
        </w:rPr>
        <w:t>VC</w:t>
      </w:r>
      <w:r w:rsidRPr="65EC882E">
        <w:rPr>
          <w:rFonts w:ascii="Arial" w:hAnsi="Arial" w:cs="Arial"/>
        </w:rPr>
        <w:t xml:space="preserve"> yatırımcıları için özellikle sıcak bir ilgi alanı olmaya devam etti. ABD'de Anthropic'in aldığı 4 milyar dolarlık yatırım</w:t>
      </w:r>
      <w:r w:rsidR="001F41A8" w:rsidRPr="65EC882E">
        <w:rPr>
          <w:rFonts w:ascii="Arial" w:hAnsi="Arial" w:cs="Arial"/>
        </w:rPr>
        <w:t xml:space="preserve"> bu alandaki işlemler içerisinde öne çıkarken d</w:t>
      </w:r>
      <w:r w:rsidRPr="65EC882E">
        <w:rPr>
          <w:rFonts w:ascii="Arial" w:hAnsi="Arial" w:cs="Arial"/>
        </w:rPr>
        <w:t xml:space="preserve">iğer büyük </w:t>
      </w:r>
      <w:r w:rsidR="001F41A8" w:rsidRPr="65EC882E">
        <w:rPr>
          <w:rFonts w:ascii="Arial" w:hAnsi="Arial" w:cs="Arial"/>
        </w:rPr>
        <w:t xml:space="preserve">işlemler </w:t>
      </w:r>
      <w:r w:rsidRPr="65EC882E">
        <w:rPr>
          <w:rFonts w:ascii="Arial" w:hAnsi="Arial" w:cs="Arial"/>
        </w:rPr>
        <w:t>arasında YueZhiAnMian (Çin), Figure AI (ABD), Lambda (ABD), MiniMax AI (Çin) ve Mistral AI (Fransa)</w:t>
      </w:r>
      <w:r w:rsidR="001F41A8" w:rsidRPr="65EC882E">
        <w:rPr>
          <w:rFonts w:ascii="Arial" w:hAnsi="Arial" w:cs="Arial"/>
        </w:rPr>
        <w:t xml:space="preserve"> işlemleri</w:t>
      </w:r>
      <w:r w:rsidRPr="65EC882E">
        <w:rPr>
          <w:rFonts w:ascii="Arial" w:hAnsi="Arial" w:cs="Arial"/>
        </w:rPr>
        <w:t xml:space="preserve"> yer aldı. </w:t>
      </w:r>
    </w:p>
    <w:p w14:paraId="7AE689DE" w14:textId="77777777" w:rsidR="00971777" w:rsidRDefault="00971777" w:rsidP="0081056E">
      <w:pPr>
        <w:spacing w:after="0" w:line="300" w:lineRule="auto"/>
        <w:contextualSpacing/>
        <w:jc w:val="both"/>
        <w:rPr>
          <w:rFonts w:ascii="Arial" w:hAnsi="Arial" w:cs="Arial"/>
        </w:rPr>
      </w:pPr>
    </w:p>
    <w:p w14:paraId="695679E3" w14:textId="7892E577" w:rsidR="00971777" w:rsidRDefault="00971777" w:rsidP="0081056E">
      <w:pPr>
        <w:spacing w:after="0" w:line="300" w:lineRule="auto"/>
        <w:contextualSpacing/>
        <w:jc w:val="both"/>
        <w:rPr>
          <w:rFonts w:ascii="Arial" w:hAnsi="Arial" w:cs="Arial"/>
          <w:b/>
          <w:bCs/>
        </w:rPr>
      </w:pPr>
      <w:r w:rsidRPr="00971777">
        <w:rPr>
          <w:rFonts w:ascii="Arial" w:hAnsi="Arial" w:cs="Arial"/>
          <w:b/>
          <w:bCs/>
        </w:rPr>
        <w:t xml:space="preserve">Kripto ve blok zinciri, VC yatırımcılarından </w:t>
      </w:r>
      <w:r>
        <w:rPr>
          <w:rFonts w:ascii="Arial" w:hAnsi="Arial" w:cs="Arial"/>
          <w:b/>
          <w:bCs/>
        </w:rPr>
        <w:t xml:space="preserve">yeniden </w:t>
      </w:r>
      <w:r w:rsidRPr="00971777">
        <w:rPr>
          <w:rFonts w:ascii="Arial" w:hAnsi="Arial" w:cs="Arial"/>
          <w:b/>
          <w:bCs/>
        </w:rPr>
        <w:t>ilgi görüyor</w:t>
      </w:r>
    </w:p>
    <w:p w14:paraId="053C1F9D" w14:textId="30E07C39" w:rsidR="0081056E" w:rsidRDefault="00971777" w:rsidP="003638E3">
      <w:pPr>
        <w:spacing w:after="0" w:line="300" w:lineRule="auto"/>
        <w:contextualSpacing/>
        <w:jc w:val="both"/>
        <w:rPr>
          <w:rFonts w:ascii="Arial" w:hAnsi="Arial" w:cs="Arial"/>
        </w:rPr>
      </w:pPr>
      <w:r w:rsidRPr="00971777">
        <w:rPr>
          <w:rFonts w:ascii="Arial" w:hAnsi="Arial" w:cs="Arial"/>
        </w:rPr>
        <w:t xml:space="preserve">Yatırımcıların kripto ve blok zinciri çözümlerine olan ilgisi 2022 ve 2023'ün sonlarında dramatik bir şekilde düştükten sonra, </w:t>
      </w:r>
      <w:r w:rsidR="003638E3">
        <w:rPr>
          <w:rFonts w:ascii="Arial" w:hAnsi="Arial" w:cs="Arial"/>
        </w:rPr>
        <w:t xml:space="preserve">bu çeyrekte </w:t>
      </w:r>
      <w:r w:rsidRPr="00971777">
        <w:rPr>
          <w:rFonts w:ascii="Arial" w:hAnsi="Arial" w:cs="Arial"/>
        </w:rPr>
        <w:t xml:space="preserve">yeniden artmaya başladı. </w:t>
      </w:r>
      <w:r w:rsidR="003638E3">
        <w:rPr>
          <w:rFonts w:ascii="Arial" w:hAnsi="Arial" w:cs="Arial"/>
        </w:rPr>
        <w:t>R</w:t>
      </w:r>
      <w:r w:rsidRPr="00971777">
        <w:rPr>
          <w:rFonts w:ascii="Arial" w:hAnsi="Arial" w:cs="Arial"/>
        </w:rPr>
        <w:t xml:space="preserve">isk sermayesi firmaları kripto ve blok zinciri işlemlerinde önemli ölçüde daha fazla durum tespiti yapmaya </w:t>
      </w:r>
      <w:r w:rsidR="003638E3">
        <w:rPr>
          <w:rFonts w:ascii="Arial" w:hAnsi="Arial" w:cs="Arial"/>
        </w:rPr>
        <w:t xml:space="preserve">odaklandı </w:t>
      </w:r>
      <w:r w:rsidRPr="00971777">
        <w:rPr>
          <w:rFonts w:ascii="Arial" w:hAnsi="Arial" w:cs="Arial"/>
        </w:rPr>
        <w:t xml:space="preserve">ve potansiyel fırsatları tam olarak anladıklarından emin olmak için personel sayısını </w:t>
      </w:r>
      <w:r w:rsidR="003638E3">
        <w:rPr>
          <w:rFonts w:ascii="Arial" w:hAnsi="Arial" w:cs="Arial"/>
        </w:rPr>
        <w:t>artırdı</w:t>
      </w:r>
      <w:r w:rsidRPr="00971777">
        <w:rPr>
          <w:rFonts w:ascii="Arial" w:hAnsi="Arial" w:cs="Arial"/>
        </w:rPr>
        <w:t xml:space="preserve">. Risk sermayesi yatırımcılarının ilgisi kripto para birimleri ve ticaret alanının ötesine </w:t>
      </w:r>
      <w:r w:rsidR="003638E3">
        <w:rPr>
          <w:rFonts w:ascii="Arial" w:hAnsi="Arial" w:cs="Arial"/>
        </w:rPr>
        <w:t xml:space="preserve">de </w:t>
      </w:r>
      <w:r w:rsidRPr="00971777">
        <w:rPr>
          <w:rFonts w:ascii="Arial" w:hAnsi="Arial" w:cs="Arial"/>
        </w:rPr>
        <w:t xml:space="preserve">geçerek, blok zinciri tabanlı teknolojilerin diğer faaliyetler için omurga olarak kullanılmasına yönelik artan ilgiyle genişledi. Kripto ve blok zincirine yönelik yeniden canlanan ilgi, bu çeyrekte Polyhedra Network (Singapur), Monad (ABD), io.net (ABD), EigenLayer (ABD) ve Hashkey Group (HK) </w:t>
      </w:r>
      <w:r w:rsidR="003638E3">
        <w:rPr>
          <w:rFonts w:ascii="Arial" w:hAnsi="Arial" w:cs="Arial"/>
        </w:rPr>
        <w:t xml:space="preserve">dâhil </w:t>
      </w:r>
      <w:r w:rsidRPr="00971777">
        <w:rPr>
          <w:rFonts w:ascii="Arial" w:hAnsi="Arial" w:cs="Arial"/>
        </w:rPr>
        <w:t xml:space="preserve">olmak üzere beş yeni </w:t>
      </w:r>
      <w:r w:rsidR="003638E3">
        <w:rPr>
          <w:rFonts w:ascii="Arial" w:hAnsi="Arial" w:cs="Arial"/>
        </w:rPr>
        <w:t>unicorn’un doğmasına da neden oldu</w:t>
      </w:r>
      <w:r w:rsidRPr="00971777">
        <w:rPr>
          <w:rFonts w:ascii="Arial" w:hAnsi="Arial" w:cs="Arial"/>
        </w:rPr>
        <w:t>.</w:t>
      </w:r>
    </w:p>
    <w:p w14:paraId="12B9CA2B" w14:textId="77777777" w:rsidR="0081056E" w:rsidRDefault="0081056E" w:rsidP="0081056E">
      <w:pPr>
        <w:spacing w:after="0" w:line="300" w:lineRule="auto"/>
        <w:contextualSpacing/>
        <w:jc w:val="both"/>
        <w:rPr>
          <w:rFonts w:ascii="Arial" w:hAnsi="Arial" w:cs="Arial"/>
        </w:rPr>
      </w:pPr>
    </w:p>
    <w:p w14:paraId="4A615B82" w14:textId="216A9654" w:rsidR="0081056E" w:rsidRDefault="003638E3" w:rsidP="0081056E">
      <w:pPr>
        <w:spacing w:after="0" w:line="300" w:lineRule="auto"/>
        <w:contextualSpacing/>
        <w:jc w:val="both"/>
        <w:rPr>
          <w:rFonts w:ascii="Arial" w:hAnsi="Arial" w:cs="Arial"/>
        </w:rPr>
      </w:pPr>
      <w:r w:rsidRPr="003638E3">
        <w:rPr>
          <w:rFonts w:ascii="Arial" w:hAnsi="Arial" w:cs="Arial"/>
          <w:b/>
          <w:bCs/>
        </w:rPr>
        <w:t>Savunma ve güvenlik teknolojilerine ilgi artmaya devam ediyor</w:t>
      </w:r>
    </w:p>
    <w:p w14:paraId="02FD172E" w14:textId="0709B168" w:rsidR="0081056E" w:rsidRDefault="003638E3" w:rsidP="0081056E">
      <w:pPr>
        <w:spacing w:after="0" w:line="300" w:lineRule="auto"/>
        <w:contextualSpacing/>
        <w:jc w:val="both"/>
        <w:rPr>
          <w:rFonts w:ascii="Arial" w:hAnsi="Arial" w:cs="Arial"/>
        </w:rPr>
      </w:pPr>
      <w:r w:rsidRPr="003638E3">
        <w:rPr>
          <w:rFonts w:ascii="Arial" w:hAnsi="Arial" w:cs="Arial"/>
        </w:rPr>
        <w:t xml:space="preserve">Artan küresel jeopolitik gerilimler göz önüne alındığında, özellikle </w:t>
      </w:r>
      <w:r>
        <w:rPr>
          <w:rFonts w:ascii="Arial" w:hAnsi="Arial" w:cs="Arial"/>
        </w:rPr>
        <w:t xml:space="preserve">insansız hava araçları </w:t>
      </w:r>
      <w:r w:rsidRPr="003638E3">
        <w:rPr>
          <w:rFonts w:ascii="Arial" w:hAnsi="Arial" w:cs="Arial"/>
        </w:rPr>
        <w:t xml:space="preserve">teknolojileri, uydu teknolojileri ve teknoloji tabanlı yazılım çözümleri gibi alanlarda savunma odaklı teknolojilere olan ilgi artmaya devam </w:t>
      </w:r>
      <w:r>
        <w:rPr>
          <w:rFonts w:ascii="Arial" w:hAnsi="Arial" w:cs="Arial"/>
        </w:rPr>
        <w:t>ediyor</w:t>
      </w:r>
      <w:r w:rsidRPr="003638E3">
        <w:rPr>
          <w:rFonts w:ascii="Arial" w:hAnsi="Arial" w:cs="Arial"/>
        </w:rPr>
        <w:t>. Hükümetler ve hükümetler arası ittifaklar muhtemelen bu yatırımın bir kısmını yönlendir</w:t>
      </w:r>
      <w:r>
        <w:rPr>
          <w:rFonts w:ascii="Arial" w:hAnsi="Arial" w:cs="Arial"/>
        </w:rPr>
        <w:t>iyor</w:t>
      </w:r>
      <w:r w:rsidRPr="003638E3">
        <w:rPr>
          <w:rFonts w:ascii="Arial" w:hAnsi="Arial" w:cs="Arial"/>
        </w:rPr>
        <w:t>. 2023 yılında Kuzey Atlantik Antlaşması Örgütü</w:t>
      </w:r>
      <w:r>
        <w:rPr>
          <w:rFonts w:ascii="Arial" w:hAnsi="Arial" w:cs="Arial"/>
        </w:rPr>
        <w:t>’nün</w:t>
      </w:r>
      <w:r w:rsidRPr="003638E3">
        <w:rPr>
          <w:rFonts w:ascii="Arial" w:hAnsi="Arial" w:cs="Arial"/>
        </w:rPr>
        <w:t xml:space="preserve"> (NATO), savunma ve güvenlik sorunlarını ele almaya odaklanan derin teknoloji girişimlerine sermaye sağlamaya odaklanan 1 milyar dolarlık bir fon olan NATO İnovasyon Fonu'nu tanıt</w:t>
      </w:r>
      <w:r>
        <w:rPr>
          <w:rFonts w:ascii="Arial" w:hAnsi="Arial" w:cs="Arial"/>
        </w:rPr>
        <w:t>ması bunun örneklerinden birisi</w:t>
      </w:r>
      <w:r w:rsidRPr="003638E3">
        <w:rPr>
          <w:rFonts w:ascii="Arial" w:hAnsi="Arial" w:cs="Arial"/>
        </w:rPr>
        <w:t>.</w:t>
      </w:r>
    </w:p>
    <w:p w14:paraId="0D9E135C" w14:textId="77777777" w:rsidR="0081056E" w:rsidRDefault="0081056E" w:rsidP="0081056E">
      <w:pPr>
        <w:spacing w:after="0" w:line="300" w:lineRule="auto"/>
        <w:contextualSpacing/>
        <w:jc w:val="both"/>
        <w:rPr>
          <w:rFonts w:ascii="Arial" w:hAnsi="Arial" w:cs="Arial"/>
        </w:rPr>
      </w:pPr>
    </w:p>
    <w:p w14:paraId="48C33398" w14:textId="6B5CD1FE" w:rsidR="0081056E" w:rsidRPr="0081056E" w:rsidRDefault="003638E3" w:rsidP="0081056E">
      <w:pPr>
        <w:spacing w:after="0" w:line="300" w:lineRule="auto"/>
        <w:contextualSpacing/>
        <w:jc w:val="both"/>
        <w:rPr>
          <w:rFonts w:ascii="Arial" w:hAnsi="Arial" w:cs="Arial"/>
          <w:b/>
          <w:bCs/>
        </w:rPr>
      </w:pPr>
      <w:r>
        <w:rPr>
          <w:rFonts w:ascii="Arial" w:hAnsi="Arial" w:cs="Arial"/>
          <w:b/>
          <w:bCs/>
        </w:rPr>
        <w:t xml:space="preserve">2024 yılının ikinci çeyreğinde takip edilecek trendler </w:t>
      </w:r>
    </w:p>
    <w:p w14:paraId="35C1DAC3" w14:textId="6F6D3BF2" w:rsidR="00F33F96" w:rsidRDefault="00F33F96" w:rsidP="0081056E">
      <w:pPr>
        <w:spacing w:after="0" w:line="300" w:lineRule="auto"/>
        <w:contextualSpacing/>
        <w:jc w:val="both"/>
        <w:rPr>
          <w:rFonts w:ascii="Arial" w:hAnsi="Arial" w:cs="Arial"/>
        </w:rPr>
      </w:pPr>
      <w:r>
        <w:rPr>
          <w:rFonts w:ascii="Arial" w:hAnsi="Arial" w:cs="Arial"/>
        </w:rPr>
        <w:t>İkinci ç</w:t>
      </w:r>
      <w:r w:rsidRPr="00F33F96">
        <w:rPr>
          <w:rFonts w:ascii="Arial" w:hAnsi="Arial" w:cs="Arial"/>
        </w:rPr>
        <w:t xml:space="preserve">eyreğin başında birkaç başarılı halka arz çıkışı olması ve diğer şirketlerin de çıkışa hazırlandıklarına dair işaretler görülmesi halinde, risk sermayesi şirketleri fon musluklarını açmaları için baskı görmeye başlayabilir. </w:t>
      </w:r>
      <w:r>
        <w:rPr>
          <w:rFonts w:ascii="Arial" w:hAnsi="Arial" w:cs="Arial"/>
        </w:rPr>
        <w:t>Rapora göre k</w:t>
      </w:r>
      <w:r w:rsidRPr="00F33F96">
        <w:rPr>
          <w:rFonts w:ascii="Arial" w:hAnsi="Arial" w:cs="Arial"/>
        </w:rPr>
        <w:t>üçük ölçekli birleşme ve satın alma faaliyetleri de dünyanın birçok bölgesinde artabilir, ek finansman sağlayamayan şirketler sıkıntılı birleşme ve satın alma</w:t>
      </w:r>
      <w:r w:rsidR="001F41A8">
        <w:rPr>
          <w:rFonts w:ascii="Arial" w:hAnsi="Arial" w:cs="Arial"/>
        </w:rPr>
        <w:t xml:space="preserve"> veya</w:t>
      </w:r>
      <w:r w:rsidRPr="00F33F96">
        <w:rPr>
          <w:rFonts w:ascii="Arial" w:hAnsi="Arial" w:cs="Arial"/>
        </w:rPr>
        <w:t xml:space="preserve"> fikri mülkiyet edinimi için hedef haline gelebilir. Yapay </w:t>
      </w:r>
      <w:r>
        <w:rPr>
          <w:rFonts w:ascii="Arial" w:hAnsi="Arial" w:cs="Arial"/>
        </w:rPr>
        <w:t xml:space="preserve">zekânın </w:t>
      </w:r>
      <w:r w:rsidRPr="00F33F96">
        <w:rPr>
          <w:rFonts w:ascii="Arial" w:hAnsi="Arial" w:cs="Arial"/>
        </w:rPr>
        <w:t xml:space="preserve">küresel olarak risk sermayesi yatırımcıları için çok cazip olmaya devam etmesi </w:t>
      </w:r>
      <w:r>
        <w:rPr>
          <w:rFonts w:ascii="Arial" w:hAnsi="Arial" w:cs="Arial"/>
        </w:rPr>
        <w:t xml:space="preserve">de </w:t>
      </w:r>
      <w:r w:rsidRPr="00F33F96">
        <w:rPr>
          <w:rFonts w:ascii="Arial" w:hAnsi="Arial" w:cs="Arial"/>
        </w:rPr>
        <w:t xml:space="preserve">bekleniyor, ancak yatırımlar muhtemelen daha dar bir alana odaklanmaya başlayacak. </w:t>
      </w:r>
      <w:r>
        <w:rPr>
          <w:rFonts w:ascii="Arial" w:hAnsi="Arial" w:cs="Arial"/>
        </w:rPr>
        <w:t>F</w:t>
      </w:r>
      <w:r w:rsidRPr="00F33F96">
        <w:rPr>
          <w:rFonts w:ascii="Arial" w:hAnsi="Arial" w:cs="Arial"/>
        </w:rPr>
        <w:t xml:space="preserve">inansal hizmetler, hukuk ve </w:t>
      </w:r>
      <w:r w:rsidR="001F41A8">
        <w:rPr>
          <w:rFonts w:ascii="Arial" w:hAnsi="Arial" w:cs="Arial"/>
        </w:rPr>
        <w:t>gayrimenkul şirketlerinin</w:t>
      </w:r>
      <w:r w:rsidRPr="00F33F96">
        <w:rPr>
          <w:rFonts w:ascii="Arial" w:hAnsi="Arial" w:cs="Arial"/>
        </w:rPr>
        <w:t xml:space="preserve"> verimliliğini artırmayı amaçlayan </w:t>
      </w:r>
      <w:r>
        <w:rPr>
          <w:rFonts w:ascii="Arial" w:hAnsi="Arial" w:cs="Arial"/>
        </w:rPr>
        <w:t>s</w:t>
      </w:r>
      <w:r w:rsidRPr="00F33F96">
        <w:rPr>
          <w:rFonts w:ascii="Arial" w:hAnsi="Arial" w:cs="Arial"/>
        </w:rPr>
        <w:t xml:space="preserve">ektör odaklı yapay </w:t>
      </w:r>
      <w:r>
        <w:rPr>
          <w:rFonts w:ascii="Arial" w:hAnsi="Arial" w:cs="Arial"/>
        </w:rPr>
        <w:t xml:space="preserve">zekâ </w:t>
      </w:r>
      <w:r w:rsidRPr="00F33F96">
        <w:rPr>
          <w:rFonts w:ascii="Arial" w:hAnsi="Arial" w:cs="Arial"/>
        </w:rPr>
        <w:t>çözümleri</w:t>
      </w:r>
      <w:r>
        <w:rPr>
          <w:rFonts w:ascii="Arial" w:hAnsi="Arial" w:cs="Arial"/>
        </w:rPr>
        <w:t xml:space="preserve">nin </w:t>
      </w:r>
      <w:r w:rsidRPr="00F33F96">
        <w:rPr>
          <w:rFonts w:ascii="Arial" w:hAnsi="Arial" w:cs="Arial"/>
        </w:rPr>
        <w:t>VC yatırımları için önemli bir alan haline gel</w:t>
      </w:r>
      <w:r>
        <w:rPr>
          <w:rFonts w:ascii="Arial" w:hAnsi="Arial" w:cs="Arial"/>
        </w:rPr>
        <w:t>mesi de bekleniyor</w:t>
      </w:r>
      <w:r w:rsidRPr="00F33F96">
        <w:rPr>
          <w:rFonts w:ascii="Arial" w:hAnsi="Arial" w:cs="Arial"/>
        </w:rPr>
        <w:t xml:space="preserve">. </w:t>
      </w:r>
    </w:p>
    <w:p w14:paraId="1EB0B36B" w14:textId="77777777" w:rsidR="00253863" w:rsidRDefault="00253863" w:rsidP="00253863">
      <w:pPr>
        <w:spacing w:after="0" w:line="300" w:lineRule="auto"/>
        <w:contextualSpacing/>
        <w:jc w:val="both"/>
        <w:rPr>
          <w:rFonts w:ascii="Arial" w:hAnsi="Arial" w:cs="Arial"/>
          <w:b/>
          <w:bCs/>
        </w:rPr>
      </w:pPr>
    </w:p>
    <w:p w14:paraId="41B0D660" w14:textId="109CA8F3" w:rsidR="005F0E8D" w:rsidRPr="00EC3D74" w:rsidRDefault="00C77633" w:rsidP="005F0E8D">
      <w:pPr>
        <w:spacing w:after="0" w:line="300" w:lineRule="auto"/>
        <w:jc w:val="both"/>
        <w:rPr>
          <w:rFonts w:ascii="Arial" w:hAnsi="Arial" w:cs="Arial"/>
          <w:b/>
          <w:bCs/>
        </w:rPr>
      </w:pPr>
      <w:r w:rsidRPr="72BA80A3">
        <w:rPr>
          <w:rFonts w:ascii="Arial" w:hAnsi="Arial" w:cs="Arial"/>
          <w:b/>
          <w:bCs/>
        </w:rPr>
        <w:t>202</w:t>
      </w:r>
      <w:r w:rsidR="002F0232">
        <w:rPr>
          <w:rFonts w:ascii="Arial" w:hAnsi="Arial" w:cs="Arial"/>
          <w:b/>
          <w:bCs/>
        </w:rPr>
        <w:t>4</w:t>
      </w:r>
      <w:r w:rsidR="00912EF3" w:rsidRPr="72BA80A3">
        <w:rPr>
          <w:rFonts w:ascii="Arial" w:hAnsi="Arial" w:cs="Arial"/>
          <w:b/>
          <w:bCs/>
        </w:rPr>
        <w:t xml:space="preserve"> yılı </w:t>
      </w:r>
      <w:r w:rsidR="002F0232">
        <w:rPr>
          <w:rFonts w:ascii="Arial" w:hAnsi="Arial" w:cs="Arial"/>
          <w:b/>
          <w:bCs/>
        </w:rPr>
        <w:t>1</w:t>
      </w:r>
      <w:r w:rsidR="00912EF3" w:rsidRPr="72BA80A3">
        <w:rPr>
          <w:rFonts w:ascii="Arial" w:hAnsi="Arial" w:cs="Arial"/>
          <w:b/>
          <w:bCs/>
        </w:rPr>
        <w:t xml:space="preserve">. </w:t>
      </w:r>
      <w:r w:rsidR="003F63B6" w:rsidRPr="72BA80A3">
        <w:rPr>
          <w:rFonts w:ascii="Arial" w:hAnsi="Arial" w:cs="Arial"/>
          <w:b/>
          <w:bCs/>
        </w:rPr>
        <w:t xml:space="preserve">çeyrekte </w:t>
      </w:r>
      <w:r w:rsidR="00F67306" w:rsidRPr="72BA80A3">
        <w:rPr>
          <w:rFonts w:ascii="Arial" w:hAnsi="Arial" w:cs="Arial"/>
          <w:b/>
          <w:bCs/>
        </w:rPr>
        <w:t>gerçekleşen</w:t>
      </w:r>
      <w:r w:rsidR="00912EF3" w:rsidRPr="72BA80A3">
        <w:rPr>
          <w:rFonts w:ascii="Arial" w:hAnsi="Arial" w:cs="Arial"/>
          <w:b/>
          <w:bCs/>
        </w:rPr>
        <w:t xml:space="preserve"> en büyük küresel finansman </w:t>
      </w:r>
      <w:r w:rsidR="00F67306" w:rsidRPr="72BA80A3">
        <w:rPr>
          <w:rFonts w:ascii="Arial" w:hAnsi="Arial" w:cs="Arial"/>
          <w:b/>
          <w:bCs/>
        </w:rPr>
        <w:t>işlemleri</w:t>
      </w:r>
    </w:p>
    <w:tbl>
      <w:tblPr>
        <w:tblStyle w:val="TabloKlavuzu"/>
        <w:tblW w:w="10148" w:type="dxa"/>
        <w:tblLook w:val="04A0" w:firstRow="1" w:lastRow="0" w:firstColumn="1" w:lastColumn="0" w:noHBand="0" w:noVBand="1"/>
      </w:tblPr>
      <w:tblGrid>
        <w:gridCol w:w="584"/>
        <w:gridCol w:w="2349"/>
        <w:gridCol w:w="2094"/>
        <w:gridCol w:w="1699"/>
        <w:gridCol w:w="3422"/>
      </w:tblGrid>
      <w:tr w:rsidR="00F67306" w:rsidRPr="00EC3D74" w14:paraId="14E38077" w14:textId="4BD5DAE4" w:rsidTr="72BA80A3">
        <w:trPr>
          <w:trHeight w:val="320"/>
        </w:trPr>
        <w:tc>
          <w:tcPr>
            <w:tcW w:w="584" w:type="dxa"/>
            <w:shd w:val="clear" w:color="auto" w:fill="FFF2CC" w:themeFill="accent4" w:themeFillTint="33"/>
          </w:tcPr>
          <w:p w14:paraId="7CE661A2" w14:textId="77777777" w:rsidR="00685A79" w:rsidRPr="00EC3D74" w:rsidRDefault="00685A79" w:rsidP="003F63B6">
            <w:pPr>
              <w:spacing w:line="300" w:lineRule="auto"/>
              <w:contextualSpacing/>
              <w:rPr>
                <w:rFonts w:ascii="Arial" w:hAnsi="Arial" w:cs="Arial"/>
                <w:b/>
                <w:bCs/>
              </w:rPr>
            </w:pPr>
          </w:p>
        </w:tc>
        <w:tc>
          <w:tcPr>
            <w:tcW w:w="2349" w:type="dxa"/>
            <w:shd w:val="clear" w:color="auto" w:fill="FFF2CC" w:themeFill="accent4" w:themeFillTint="33"/>
          </w:tcPr>
          <w:p w14:paraId="63939634" w14:textId="0E384F28" w:rsidR="00685A79" w:rsidRPr="00EC3D74" w:rsidRDefault="00F67306" w:rsidP="003F63B6">
            <w:pPr>
              <w:spacing w:line="300" w:lineRule="auto"/>
              <w:contextualSpacing/>
              <w:rPr>
                <w:rFonts w:ascii="Arial" w:hAnsi="Arial" w:cs="Arial"/>
                <w:b/>
                <w:bCs/>
              </w:rPr>
            </w:pPr>
            <w:r>
              <w:rPr>
                <w:rFonts w:ascii="Arial" w:hAnsi="Arial" w:cs="Arial"/>
                <w:b/>
                <w:bCs/>
              </w:rPr>
              <w:t xml:space="preserve">Hedef </w:t>
            </w:r>
            <w:r w:rsidR="00685A79" w:rsidRPr="00EC3D74">
              <w:rPr>
                <w:rFonts w:ascii="Arial" w:hAnsi="Arial" w:cs="Arial"/>
                <w:b/>
                <w:bCs/>
              </w:rPr>
              <w:t>Şirket</w:t>
            </w:r>
          </w:p>
        </w:tc>
        <w:tc>
          <w:tcPr>
            <w:tcW w:w="2094" w:type="dxa"/>
            <w:shd w:val="clear" w:color="auto" w:fill="FFF2CC" w:themeFill="accent4" w:themeFillTint="33"/>
          </w:tcPr>
          <w:p w14:paraId="2FF63F34" w14:textId="5D469E1B" w:rsidR="00685A79" w:rsidRPr="00EC3D74" w:rsidRDefault="00685A79" w:rsidP="003F63B6">
            <w:pPr>
              <w:spacing w:line="300" w:lineRule="auto"/>
              <w:contextualSpacing/>
              <w:rPr>
                <w:rFonts w:ascii="Arial" w:hAnsi="Arial" w:cs="Arial"/>
                <w:b/>
                <w:bCs/>
              </w:rPr>
            </w:pPr>
            <w:r w:rsidRPr="00EC3D74">
              <w:rPr>
                <w:rFonts w:ascii="Arial" w:hAnsi="Arial" w:cs="Arial"/>
                <w:b/>
                <w:bCs/>
              </w:rPr>
              <w:t xml:space="preserve">Yatırım </w:t>
            </w:r>
            <w:r w:rsidR="00F67306">
              <w:rPr>
                <w:rFonts w:ascii="Arial" w:hAnsi="Arial" w:cs="Arial"/>
                <w:b/>
                <w:bCs/>
              </w:rPr>
              <w:t>Tutarı</w:t>
            </w:r>
          </w:p>
        </w:tc>
        <w:tc>
          <w:tcPr>
            <w:tcW w:w="1699" w:type="dxa"/>
            <w:shd w:val="clear" w:color="auto" w:fill="FFF2CC" w:themeFill="accent4" w:themeFillTint="33"/>
          </w:tcPr>
          <w:p w14:paraId="31857645" w14:textId="7575B425" w:rsidR="00685A79" w:rsidRPr="00EC3D74" w:rsidRDefault="00F67306" w:rsidP="003F63B6">
            <w:pPr>
              <w:spacing w:line="300" w:lineRule="auto"/>
              <w:contextualSpacing/>
              <w:rPr>
                <w:rFonts w:ascii="Arial" w:hAnsi="Arial" w:cs="Arial"/>
                <w:b/>
                <w:bCs/>
              </w:rPr>
            </w:pPr>
            <w:r>
              <w:rPr>
                <w:rFonts w:ascii="Arial" w:hAnsi="Arial" w:cs="Arial"/>
                <w:b/>
                <w:bCs/>
              </w:rPr>
              <w:t>Köken</w:t>
            </w:r>
          </w:p>
        </w:tc>
        <w:tc>
          <w:tcPr>
            <w:tcW w:w="3422" w:type="dxa"/>
            <w:shd w:val="clear" w:color="auto" w:fill="FFF2CC" w:themeFill="accent4" w:themeFillTint="33"/>
          </w:tcPr>
          <w:p w14:paraId="663B3E75" w14:textId="79BCBBD0" w:rsidR="00685A79" w:rsidRPr="00EC3D74" w:rsidRDefault="00685A79" w:rsidP="003F63B6">
            <w:pPr>
              <w:spacing w:line="300" w:lineRule="auto"/>
              <w:contextualSpacing/>
              <w:rPr>
                <w:rFonts w:ascii="Arial" w:hAnsi="Arial" w:cs="Arial"/>
                <w:b/>
                <w:bCs/>
              </w:rPr>
            </w:pPr>
            <w:r w:rsidRPr="00EC3D74">
              <w:rPr>
                <w:rFonts w:ascii="Arial" w:hAnsi="Arial" w:cs="Arial"/>
                <w:b/>
                <w:bCs/>
              </w:rPr>
              <w:t>Sektör</w:t>
            </w:r>
          </w:p>
        </w:tc>
      </w:tr>
      <w:tr w:rsidR="00F67306" w:rsidRPr="00EC3D74" w14:paraId="13A0C094" w14:textId="09D80259" w:rsidTr="72BA80A3">
        <w:trPr>
          <w:trHeight w:val="310"/>
        </w:trPr>
        <w:tc>
          <w:tcPr>
            <w:tcW w:w="584" w:type="dxa"/>
            <w:shd w:val="clear" w:color="auto" w:fill="D9E2F3" w:themeFill="accent1" w:themeFillTint="33"/>
          </w:tcPr>
          <w:p w14:paraId="027B2341" w14:textId="3C880C3B" w:rsidR="00685A79" w:rsidRPr="00EC3D74" w:rsidRDefault="00685A79" w:rsidP="005C4C04">
            <w:pPr>
              <w:spacing w:line="300" w:lineRule="auto"/>
              <w:contextualSpacing/>
              <w:jc w:val="both"/>
              <w:rPr>
                <w:rFonts w:ascii="Arial" w:hAnsi="Arial" w:cs="Arial"/>
              </w:rPr>
            </w:pPr>
            <w:r w:rsidRPr="00EC3D74">
              <w:rPr>
                <w:rFonts w:ascii="Arial" w:hAnsi="Arial" w:cs="Arial"/>
              </w:rPr>
              <w:t>1</w:t>
            </w:r>
          </w:p>
        </w:tc>
        <w:tc>
          <w:tcPr>
            <w:tcW w:w="2349" w:type="dxa"/>
            <w:shd w:val="clear" w:color="auto" w:fill="D9E2F3" w:themeFill="accent1" w:themeFillTint="33"/>
          </w:tcPr>
          <w:p w14:paraId="5A860E4D" w14:textId="4C0D66C9" w:rsidR="00685A79" w:rsidRPr="00EC3D74" w:rsidRDefault="0081056E" w:rsidP="005C4C04">
            <w:pPr>
              <w:spacing w:line="300" w:lineRule="auto"/>
              <w:contextualSpacing/>
              <w:jc w:val="both"/>
              <w:rPr>
                <w:rFonts w:ascii="Arial" w:hAnsi="Arial" w:cs="Arial"/>
              </w:rPr>
            </w:pPr>
            <w:r w:rsidRPr="0081056E">
              <w:rPr>
                <w:rFonts w:ascii="Arial" w:hAnsi="Arial" w:cs="Arial"/>
              </w:rPr>
              <w:t>H2 Green Steel</w:t>
            </w:r>
          </w:p>
        </w:tc>
        <w:tc>
          <w:tcPr>
            <w:tcW w:w="2094" w:type="dxa"/>
            <w:shd w:val="clear" w:color="auto" w:fill="D9E2F3" w:themeFill="accent1" w:themeFillTint="33"/>
          </w:tcPr>
          <w:p w14:paraId="63DF9695" w14:textId="5948D979" w:rsidR="00685A79" w:rsidRPr="00EC3D74" w:rsidRDefault="0081056E" w:rsidP="005C4C04">
            <w:pPr>
              <w:spacing w:line="300" w:lineRule="auto"/>
              <w:contextualSpacing/>
              <w:jc w:val="both"/>
              <w:rPr>
                <w:rFonts w:ascii="Arial" w:hAnsi="Arial" w:cs="Arial"/>
              </w:rPr>
            </w:pPr>
            <w:r>
              <w:rPr>
                <w:rFonts w:ascii="Arial" w:hAnsi="Arial" w:cs="Arial"/>
              </w:rPr>
              <w:t>5,2</w:t>
            </w:r>
            <w:r w:rsidR="00685A79" w:rsidRPr="00EC3D74">
              <w:rPr>
                <w:rFonts w:ascii="Arial" w:hAnsi="Arial" w:cs="Arial"/>
              </w:rPr>
              <w:t xml:space="preserve"> milyar dolar</w:t>
            </w:r>
          </w:p>
        </w:tc>
        <w:tc>
          <w:tcPr>
            <w:tcW w:w="1699" w:type="dxa"/>
            <w:shd w:val="clear" w:color="auto" w:fill="D9E2F3" w:themeFill="accent1" w:themeFillTint="33"/>
          </w:tcPr>
          <w:p w14:paraId="588C817A" w14:textId="7A137EFE" w:rsidR="00685A79" w:rsidRPr="00EC3D74" w:rsidRDefault="0081056E" w:rsidP="005C4C04">
            <w:pPr>
              <w:spacing w:line="300" w:lineRule="auto"/>
              <w:contextualSpacing/>
              <w:jc w:val="both"/>
              <w:rPr>
                <w:rFonts w:ascii="Arial" w:hAnsi="Arial" w:cs="Arial"/>
              </w:rPr>
            </w:pPr>
            <w:r w:rsidRPr="0081056E">
              <w:rPr>
                <w:rFonts w:ascii="Arial" w:hAnsi="Arial" w:cs="Arial"/>
              </w:rPr>
              <w:t>İsveç</w:t>
            </w:r>
          </w:p>
        </w:tc>
        <w:tc>
          <w:tcPr>
            <w:tcW w:w="3422" w:type="dxa"/>
            <w:shd w:val="clear" w:color="auto" w:fill="D9E2F3" w:themeFill="accent1" w:themeFillTint="33"/>
          </w:tcPr>
          <w:p w14:paraId="3EDEBCC4" w14:textId="57F380E4" w:rsidR="00685A79" w:rsidRPr="00EC3D74" w:rsidRDefault="0081056E" w:rsidP="005C4C04">
            <w:pPr>
              <w:spacing w:line="300" w:lineRule="auto"/>
              <w:contextualSpacing/>
              <w:jc w:val="both"/>
              <w:rPr>
                <w:rFonts w:ascii="Arial" w:hAnsi="Arial" w:cs="Arial"/>
              </w:rPr>
            </w:pPr>
            <w:r w:rsidRPr="0081056E">
              <w:rPr>
                <w:rFonts w:ascii="Arial" w:hAnsi="Arial" w:cs="Arial"/>
              </w:rPr>
              <w:t xml:space="preserve">Temiz </w:t>
            </w:r>
            <w:r>
              <w:rPr>
                <w:rFonts w:ascii="Arial" w:hAnsi="Arial" w:cs="Arial"/>
              </w:rPr>
              <w:t>T</w:t>
            </w:r>
            <w:r w:rsidRPr="0081056E">
              <w:rPr>
                <w:rFonts w:ascii="Arial" w:hAnsi="Arial" w:cs="Arial"/>
              </w:rPr>
              <w:t>eknoloji</w:t>
            </w:r>
          </w:p>
        </w:tc>
      </w:tr>
      <w:tr w:rsidR="00F67306" w:rsidRPr="00EC3D74" w14:paraId="2578D6B8" w14:textId="01FC7A08" w:rsidTr="72BA80A3">
        <w:trPr>
          <w:trHeight w:val="320"/>
        </w:trPr>
        <w:tc>
          <w:tcPr>
            <w:tcW w:w="584" w:type="dxa"/>
            <w:shd w:val="clear" w:color="auto" w:fill="D9E2F3" w:themeFill="accent1" w:themeFillTint="33"/>
          </w:tcPr>
          <w:p w14:paraId="3CD98AAE" w14:textId="4A4A149E" w:rsidR="00685A79" w:rsidRPr="00EC3D74" w:rsidRDefault="00685A79" w:rsidP="005C4C04">
            <w:pPr>
              <w:spacing w:line="300" w:lineRule="auto"/>
              <w:contextualSpacing/>
              <w:jc w:val="both"/>
              <w:rPr>
                <w:rFonts w:ascii="Arial" w:hAnsi="Arial" w:cs="Arial"/>
              </w:rPr>
            </w:pPr>
            <w:r w:rsidRPr="00EC3D74">
              <w:rPr>
                <w:rFonts w:ascii="Arial" w:hAnsi="Arial" w:cs="Arial"/>
              </w:rPr>
              <w:t>2</w:t>
            </w:r>
          </w:p>
        </w:tc>
        <w:tc>
          <w:tcPr>
            <w:tcW w:w="2349" w:type="dxa"/>
            <w:shd w:val="clear" w:color="auto" w:fill="D9E2F3" w:themeFill="accent1" w:themeFillTint="33"/>
          </w:tcPr>
          <w:p w14:paraId="799D6A86" w14:textId="0516491B" w:rsidR="00685A79" w:rsidRPr="00EC3D74" w:rsidRDefault="0081056E" w:rsidP="005C4C04">
            <w:pPr>
              <w:spacing w:line="300" w:lineRule="auto"/>
              <w:contextualSpacing/>
              <w:jc w:val="both"/>
              <w:rPr>
                <w:rFonts w:ascii="Arial" w:hAnsi="Arial" w:cs="Arial"/>
              </w:rPr>
            </w:pPr>
            <w:r w:rsidRPr="0081056E">
              <w:rPr>
                <w:rFonts w:ascii="Arial" w:hAnsi="Arial" w:cs="Arial"/>
              </w:rPr>
              <w:t>Anthropic</w:t>
            </w:r>
          </w:p>
        </w:tc>
        <w:tc>
          <w:tcPr>
            <w:tcW w:w="2094" w:type="dxa"/>
            <w:shd w:val="clear" w:color="auto" w:fill="D9E2F3" w:themeFill="accent1" w:themeFillTint="33"/>
          </w:tcPr>
          <w:p w14:paraId="270C7F35" w14:textId="113F705E" w:rsidR="00685A79" w:rsidRPr="00EC3D74" w:rsidRDefault="00971777" w:rsidP="005C4C04">
            <w:pPr>
              <w:spacing w:line="300" w:lineRule="auto"/>
              <w:contextualSpacing/>
              <w:jc w:val="both"/>
              <w:rPr>
                <w:rFonts w:ascii="Arial" w:hAnsi="Arial" w:cs="Arial"/>
              </w:rPr>
            </w:pPr>
            <w:r>
              <w:rPr>
                <w:rFonts w:ascii="Arial" w:hAnsi="Arial" w:cs="Arial"/>
              </w:rPr>
              <w:t>4</w:t>
            </w:r>
            <w:r w:rsidR="00685A79" w:rsidRPr="00EC3D74">
              <w:rPr>
                <w:rFonts w:ascii="Arial" w:hAnsi="Arial" w:cs="Arial"/>
              </w:rPr>
              <w:t xml:space="preserve"> milyar dolar</w:t>
            </w:r>
          </w:p>
        </w:tc>
        <w:tc>
          <w:tcPr>
            <w:tcW w:w="1699" w:type="dxa"/>
            <w:shd w:val="clear" w:color="auto" w:fill="D9E2F3" w:themeFill="accent1" w:themeFillTint="33"/>
          </w:tcPr>
          <w:p w14:paraId="16A3268F" w14:textId="066B8B61" w:rsidR="00685A79" w:rsidRPr="00EC3D74" w:rsidRDefault="0081056E" w:rsidP="005C4C04">
            <w:pPr>
              <w:spacing w:line="300" w:lineRule="auto"/>
              <w:contextualSpacing/>
              <w:jc w:val="both"/>
              <w:rPr>
                <w:rFonts w:ascii="Arial" w:hAnsi="Arial" w:cs="Arial"/>
              </w:rPr>
            </w:pPr>
            <w:r>
              <w:rPr>
                <w:rFonts w:ascii="Arial" w:hAnsi="Arial" w:cs="Arial"/>
              </w:rPr>
              <w:t>Çin</w:t>
            </w:r>
          </w:p>
        </w:tc>
        <w:tc>
          <w:tcPr>
            <w:tcW w:w="3422" w:type="dxa"/>
            <w:shd w:val="clear" w:color="auto" w:fill="D9E2F3" w:themeFill="accent1" w:themeFillTint="33"/>
          </w:tcPr>
          <w:p w14:paraId="4DE23BAE" w14:textId="29D3F5B7" w:rsidR="00685A79" w:rsidRPr="00EC3D74" w:rsidRDefault="0081056E" w:rsidP="005C4C04">
            <w:pPr>
              <w:spacing w:line="300" w:lineRule="auto"/>
              <w:contextualSpacing/>
              <w:jc w:val="both"/>
              <w:rPr>
                <w:rFonts w:ascii="Arial" w:hAnsi="Arial" w:cs="Arial"/>
              </w:rPr>
            </w:pPr>
            <w:r w:rsidRPr="0081056E">
              <w:rPr>
                <w:rFonts w:ascii="Arial" w:hAnsi="Arial" w:cs="Arial"/>
              </w:rPr>
              <w:t>AI &amp; ML</w:t>
            </w:r>
          </w:p>
        </w:tc>
      </w:tr>
      <w:tr w:rsidR="00F67306" w:rsidRPr="00EC3D74" w14:paraId="5AD3DD2A" w14:textId="7B185395" w:rsidTr="72BA80A3">
        <w:trPr>
          <w:trHeight w:val="310"/>
        </w:trPr>
        <w:tc>
          <w:tcPr>
            <w:tcW w:w="584" w:type="dxa"/>
            <w:shd w:val="clear" w:color="auto" w:fill="D9E2F3" w:themeFill="accent1" w:themeFillTint="33"/>
          </w:tcPr>
          <w:p w14:paraId="1755344B" w14:textId="1705BB6E" w:rsidR="00685A79" w:rsidRPr="00EC3D74" w:rsidRDefault="00685A79" w:rsidP="005C4C04">
            <w:pPr>
              <w:spacing w:line="300" w:lineRule="auto"/>
              <w:contextualSpacing/>
              <w:jc w:val="both"/>
              <w:rPr>
                <w:rFonts w:ascii="Arial" w:hAnsi="Arial" w:cs="Arial"/>
              </w:rPr>
            </w:pPr>
            <w:r w:rsidRPr="00EC3D74">
              <w:rPr>
                <w:rFonts w:ascii="Arial" w:hAnsi="Arial" w:cs="Arial"/>
              </w:rPr>
              <w:t>3</w:t>
            </w:r>
          </w:p>
        </w:tc>
        <w:tc>
          <w:tcPr>
            <w:tcW w:w="2349" w:type="dxa"/>
            <w:shd w:val="clear" w:color="auto" w:fill="D9E2F3" w:themeFill="accent1" w:themeFillTint="33"/>
          </w:tcPr>
          <w:p w14:paraId="3FA627D5" w14:textId="6C43C46C" w:rsidR="00685A79" w:rsidRPr="00EC3D74" w:rsidRDefault="0081056E" w:rsidP="005C4C04">
            <w:pPr>
              <w:spacing w:line="300" w:lineRule="auto"/>
              <w:contextualSpacing/>
              <w:jc w:val="both"/>
              <w:rPr>
                <w:rFonts w:ascii="Arial" w:hAnsi="Arial" w:cs="Arial"/>
              </w:rPr>
            </w:pPr>
            <w:r w:rsidRPr="0081056E">
              <w:rPr>
                <w:rFonts w:ascii="Arial" w:hAnsi="Arial" w:cs="Arial"/>
              </w:rPr>
              <w:t>IM Motors</w:t>
            </w:r>
          </w:p>
        </w:tc>
        <w:tc>
          <w:tcPr>
            <w:tcW w:w="2094" w:type="dxa"/>
            <w:shd w:val="clear" w:color="auto" w:fill="D9E2F3" w:themeFill="accent1" w:themeFillTint="33"/>
          </w:tcPr>
          <w:p w14:paraId="6452E2CE" w14:textId="0A0E65E4" w:rsidR="00685A79" w:rsidRPr="00EC3D74" w:rsidRDefault="00685A79" w:rsidP="005C4C04">
            <w:pPr>
              <w:spacing w:line="300" w:lineRule="auto"/>
              <w:contextualSpacing/>
              <w:jc w:val="both"/>
              <w:rPr>
                <w:rFonts w:ascii="Arial" w:hAnsi="Arial" w:cs="Arial"/>
              </w:rPr>
            </w:pPr>
            <w:r w:rsidRPr="00EC3D74">
              <w:rPr>
                <w:rFonts w:ascii="Arial" w:hAnsi="Arial" w:cs="Arial"/>
              </w:rPr>
              <w:t>1</w:t>
            </w:r>
            <w:r w:rsidR="00EC3D74">
              <w:rPr>
                <w:rFonts w:ascii="Arial" w:hAnsi="Arial" w:cs="Arial"/>
              </w:rPr>
              <w:t>,</w:t>
            </w:r>
            <w:r w:rsidR="0081056E">
              <w:rPr>
                <w:rFonts w:ascii="Arial" w:hAnsi="Arial" w:cs="Arial"/>
              </w:rPr>
              <w:t>1</w:t>
            </w:r>
            <w:r w:rsidRPr="00EC3D74">
              <w:rPr>
                <w:rFonts w:ascii="Arial" w:hAnsi="Arial" w:cs="Arial"/>
              </w:rPr>
              <w:t xml:space="preserve"> milyar dolar</w:t>
            </w:r>
          </w:p>
        </w:tc>
        <w:tc>
          <w:tcPr>
            <w:tcW w:w="1699" w:type="dxa"/>
            <w:shd w:val="clear" w:color="auto" w:fill="D9E2F3" w:themeFill="accent1" w:themeFillTint="33"/>
          </w:tcPr>
          <w:p w14:paraId="1BB24D36" w14:textId="3E0E156A" w:rsidR="00685A79" w:rsidRPr="00EC3D74" w:rsidRDefault="00685A79" w:rsidP="005C4C04">
            <w:pPr>
              <w:spacing w:line="300" w:lineRule="auto"/>
              <w:contextualSpacing/>
              <w:jc w:val="both"/>
              <w:rPr>
                <w:rFonts w:ascii="Arial" w:hAnsi="Arial" w:cs="Arial"/>
              </w:rPr>
            </w:pPr>
            <w:r w:rsidRPr="00EC3D74">
              <w:rPr>
                <w:rFonts w:ascii="Arial" w:hAnsi="Arial" w:cs="Arial"/>
              </w:rPr>
              <w:t>Çin</w:t>
            </w:r>
          </w:p>
        </w:tc>
        <w:tc>
          <w:tcPr>
            <w:tcW w:w="3422" w:type="dxa"/>
            <w:shd w:val="clear" w:color="auto" w:fill="D9E2F3" w:themeFill="accent1" w:themeFillTint="33"/>
          </w:tcPr>
          <w:p w14:paraId="6F4B7602" w14:textId="4B1A936E" w:rsidR="00685A79" w:rsidRPr="00EC3D74" w:rsidRDefault="0081056E" w:rsidP="005C4C04">
            <w:pPr>
              <w:spacing w:line="300" w:lineRule="auto"/>
              <w:contextualSpacing/>
              <w:jc w:val="both"/>
              <w:rPr>
                <w:rFonts w:ascii="Arial" w:hAnsi="Arial" w:cs="Arial"/>
              </w:rPr>
            </w:pPr>
            <w:r w:rsidRPr="0081056E">
              <w:rPr>
                <w:rFonts w:ascii="Arial" w:hAnsi="Arial" w:cs="Arial"/>
              </w:rPr>
              <w:t xml:space="preserve">Temiz </w:t>
            </w:r>
            <w:r>
              <w:rPr>
                <w:rFonts w:ascii="Arial" w:hAnsi="Arial" w:cs="Arial"/>
              </w:rPr>
              <w:t>T</w:t>
            </w:r>
            <w:r w:rsidRPr="0081056E">
              <w:rPr>
                <w:rFonts w:ascii="Arial" w:hAnsi="Arial" w:cs="Arial"/>
              </w:rPr>
              <w:t>eknoloji</w:t>
            </w:r>
          </w:p>
        </w:tc>
      </w:tr>
      <w:tr w:rsidR="00F67306" w:rsidRPr="00EC3D74" w14:paraId="051CB099" w14:textId="3CFB26BC" w:rsidTr="72BA80A3">
        <w:trPr>
          <w:trHeight w:val="320"/>
        </w:trPr>
        <w:tc>
          <w:tcPr>
            <w:tcW w:w="584" w:type="dxa"/>
            <w:shd w:val="clear" w:color="auto" w:fill="D9E2F3" w:themeFill="accent1" w:themeFillTint="33"/>
          </w:tcPr>
          <w:p w14:paraId="08203F3A" w14:textId="51F4301E" w:rsidR="00685A79" w:rsidRPr="00EC3D74" w:rsidRDefault="00685A79" w:rsidP="005C4C04">
            <w:pPr>
              <w:spacing w:line="300" w:lineRule="auto"/>
              <w:contextualSpacing/>
              <w:jc w:val="both"/>
              <w:rPr>
                <w:rFonts w:ascii="Arial" w:hAnsi="Arial" w:cs="Arial"/>
              </w:rPr>
            </w:pPr>
            <w:r w:rsidRPr="00EC3D74">
              <w:rPr>
                <w:rFonts w:ascii="Arial" w:hAnsi="Arial" w:cs="Arial"/>
              </w:rPr>
              <w:t>4</w:t>
            </w:r>
          </w:p>
        </w:tc>
        <w:tc>
          <w:tcPr>
            <w:tcW w:w="2349" w:type="dxa"/>
            <w:shd w:val="clear" w:color="auto" w:fill="D9E2F3" w:themeFill="accent1" w:themeFillTint="33"/>
          </w:tcPr>
          <w:p w14:paraId="67439866" w14:textId="293F5E58" w:rsidR="00685A79" w:rsidRPr="00EC3D74" w:rsidRDefault="0081056E" w:rsidP="005C4C04">
            <w:pPr>
              <w:spacing w:line="300" w:lineRule="auto"/>
              <w:contextualSpacing/>
              <w:jc w:val="both"/>
              <w:rPr>
                <w:rFonts w:ascii="Arial" w:hAnsi="Arial" w:cs="Arial"/>
              </w:rPr>
            </w:pPr>
            <w:r w:rsidRPr="0081056E">
              <w:rPr>
                <w:rFonts w:ascii="Arial" w:hAnsi="Arial" w:cs="Arial"/>
              </w:rPr>
              <w:t>YueZhiAnMian</w:t>
            </w:r>
          </w:p>
        </w:tc>
        <w:tc>
          <w:tcPr>
            <w:tcW w:w="2094" w:type="dxa"/>
            <w:shd w:val="clear" w:color="auto" w:fill="D9E2F3" w:themeFill="accent1" w:themeFillTint="33"/>
          </w:tcPr>
          <w:p w14:paraId="273A5D5E" w14:textId="19CE1B89" w:rsidR="00685A79" w:rsidRPr="00EC3D74" w:rsidRDefault="0081056E" w:rsidP="005C4C04">
            <w:pPr>
              <w:spacing w:line="300" w:lineRule="auto"/>
              <w:contextualSpacing/>
              <w:jc w:val="both"/>
              <w:rPr>
                <w:rFonts w:ascii="Arial" w:hAnsi="Arial" w:cs="Arial"/>
              </w:rPr>
            </w:pPr>
            <w:r>
              <w:rPr>
                <w:rFonts w:ascii="Arial" w:hAnsi="Arial" w:cs="Arial"/>
              </w:rPr>
              <w:t>1</w:t>
            </w:r>
            <w:r w:rsidR="00EC3D74">
              <w:rPr>
                <w:rFonts w:ascii="Arial" w:hAnsi="Arial" w:cs="Arial"/>
              </w:rPr>
              <w:t xml:space="preserve"> milyar </w:t>
            </w:r>
            <w:r w:rsidR="00685A79" w:rsidRPr="00EC3D74">
              <w:rPr>
                <w:rFonts w:ascii="Arial" w:hAnsi="Arial" w:cs="Arial"/>
              </w:rPr>
              <w:t>dolar</w:t>
            </w:r>
          </w:p>
        </w:tc>
        <w:tc>
          <w:tcPr>
            <w:tcW w:w="1699" w:type="dxa"/>
            <w:shd w:val="clear" w:color="auto" w:fill="D9E2F3" w:themeFill="accent1" w:themeFillTint="33"/>
          </w:tcPr>
          <w:p w14:paraId="5D63B535" w14:textId="1421800D" w:rsidR="00685A79" w:rsidRPr="00EC3D74" w:rsidRDefault="0081056E" w:rsidP="005C4C04">
            <w:pPr>
              <w:spacing w:line="300" w:lineRule="auto"/>
              <w:contextualSpacing/>
              <w:jc w:val="both"/>
              <w:rPr>
                <w:rFonts w:ascii="Arial" w:hAnsi="Arial" w:cs="Arial"/>
              </w:rPr>
            </w:pPr>
            <w:r>
              <w:rPr>
                <w:rFonts w:ascii="Arial" w:hAnsi="Arial" w:cs="Arial"/>
              </w:rPr>
              <w:t>Çin</w:t>
            </w:r>
          </w:p>
        </w:tc>
        <w:tc>
          <w:tcPr>
            <w:tcW w:w="3422" w:type="dxa"/>
            <w:shd w:val="clear" w:color="auto" w:fill="D9E2F3" w:themeFill="accent1" w:themeFillTint="33"/>
          </w:tcPr>
          <w:p w14:paraId="0A09C574" w14:textId="72120F68" w:rsidR="00685A79" w:rsidRPr="00EC3D74" w:rsidRDefault="0081056E" w:rsidP="005C4C04">
            <w:pPr>
              <w:spacing w:line="300" w:lineRule="auto"/>
              <w:contextualSpacing/>
              <w:jc w:val="both"/>
              <w:rPr>
                <w:rFonts w:ascii="Arial" w:hAnsi="Arial" w:cs="Arial"/>
              </w:rPr>
            </w:pPr>
            <w:r w:rsidRPr="0081056E">
              <w:rPr>
                <w:rFonts w:ascii="Arial" w:hAnsi="Arial" w:cs="Arial"/>
              </w:rPr>
              <w:t>AI &amp; ML</w:t>
            </w:r>
          </w:p>
        </w:tc>
      </w:tr>
      <w:tr w:rsidR="00F67306" w:rsidRPr="00EC3D74" w14:paraId="4AF6E6EC" w14:textId="33E8ADBC" w:rsidTr="72BA80A3">
        <w:trPr>
          <w:trHeight w:val="269"/>
        </w:trPr>
        <w:tc>
          <w:tcPr>
            <w:tcW w:w="584" w:type="dxa"/>
            <w:shd w:val="clear" w:color="auto" w:fill="D9E2F3" w:themeFill="accent1" w:themeFillTint="33"/>
          </w:tcPr>
          <w:p w14:paraId="4E7CC413" w14:textId="1FE6E1D7" w:rsidR="00685A79" w:rsidRPr="00EC3D74" w:rsidRDefault="00685A79" w:rsidP="005C4C04">
            <w:pPr>
              <w:spacing w:line="300" w:lineRule="auto"/>
              <w:contextualSpacing/>
              <w:jc w:val="both"/>
              <w:rPr>
                <w:rFonts w:ascii="Arial" w:hAnsi="Arial" w:cs="Arial"/>
              </w:rPr>
            </w:pPr>
            <w:r w:rsidRPr="00EC3D74">
              <w:rPr>
                <w:rFonts w:ascii="Arial" w:hAnsi="Arial" w:cs="Arial"/>
              </w:rPr>
              <w:t>5</w:t>
            </w:r>
          </w:p>
        </w:tc>
        <w:tc>
          <w:tcPr>
            <w:tcW w:w="2349" w:type="dxa"/>
            <w:shd w:val="clear" w:color="auto" w:fill="D9E2F3" w:themeFill="accent1" w:themeFillTint="33"/>
          </w:tcPr>
          <w:p w14:paraId="44E940C4" w14:textId="15875499" w:rsidR="00685A79" w:rsidRPr="00EC3D74" w:rsidRDefault="0081056E" w:rsidP="005C4C04">
            <w:pPr>
              <w:spacing w:line="300" w:lineRule="auto"/>
              <w:contextualSpacing/>
              <w:jc w:val="both"/>
              <w:rPr>
                <w:rFonts w:ascii="Arial" w:hAnsi="Arial" w:cs="Arial"/>
              </w:rPr>
            </w:pPr>
            <w:r w:rsidRPr="0081056E">
              <w:rPr>
                <w:rFonts w:ascii="Arial" w:hAnsi="Arial" w:cs="Arial"/>
              </w:rPr>
              <w:t>Yuanxin Satellite</w:t>
            </w:r>
          </w:p>
        </w:tc>
        <w:tc>
          <w:tcPr>
            <w:tcW w:w="2094" w:type="dxa"/>
            <w:shd w:val="clear" w:color="auto" w:fill="D9E2F3" w:themeFill="accent1" w:themeFillTint="33"/>
          </w:tcPr>
          <w:p w14:paraId="436669D5" w14:textId="420FDF6B" w:rsidR="00685A79" w:rsidRPr="00EC3D74" w:rsidRDefault="0081056E" w:rsidP="005C4C04">
            <w:pPr>
              <w:spacing w:line="300" w:lineRule="auto"/>
              <w:contextualSpacing/>
              <w:jc w:val="both"/>
              <w:rPr>
                <w:rFonts w:ascii="Arial" w:hAnsi="Arial" w:cs="Arial"/>
              </w:rPr>
            </w:pPr>
            <w:r>
              <w:rPr>
                <w:rFonts w:ascii="Arial" w:hAnsi="Arial" w:cs="Arial"/>
              </w:rPr>
              <w:t>940,9 milyon</w:t>
            </w:r>
            <w:r w:rsidR="00685A79" w:rsidRPr="00EC3D74">
              <w:rPr>
                <w:rFonts w:ascii="Arial" w:hAnsi="Arial" w:cs="Arial"/>
              </w:rPr>
              <w:t xml:space="preserve"> dolar</w:t>
            </w:r>
          </w:p>
        </w:tc>
        <w:tc>
          <w:tcPr>
            <w:tcW w:w="1699" w:type="dxa"/>
            <w:shd w:val="clear" w:color="auto" w:fill="D9E2F3" w:themeFill="accent1" w:themeFillTint="33"/>
          </w:tcPr>
          <w:p w14:paraId="04BE0E78" w14:textId="54758706" w:rsidR="00685A79" w:rsidRPr="00EC3D74" w:rsidRDefault="00685A79" w:rsidP="005C4C04">
            <w:pPr>
              <w:spacing w:line="300" w:lineRule="auto"/>
              <w:contextualSpacing/>
              <w:jc w:val="both"/>
              <w:rPr>
                <w:rFonts w:ascii="Arial" w:hAnsi="Arial" w:cs="Arial"/>
              </w:rPr>
            </w:pPr>
            <w:r w:rsidRPr="00EC3D74">
              <w:rPr>
                <w:rFonts w:ascii="Arial" w:hAnsi="Arial" w:cs="Arial"/>
              </w:rPr>
              <w:t>Çin</w:t>
            </w:r>
          </w:p>
        </w:tc>
        <w:tc>
          <w:tcPr>
            <w:tcW w:w="3422" w:type="dxa"/>
            <w:shd w:val="clear" w:color="auto" w:fill="D9E2F3" w:themeFill="accent1" w:themeFillTint="33"/>
          </w:tcPr>
          <w:p w14:paraId="005DE0CA" w14:textId="397C2410" w:rsidR="00685A79" w:rsidRPr="00EC3D74" w:rsidRDefault="0081056E" w:rsidP="005C4C04">
            <w:pPr>
              <w:spacing w:line="300" w:lineRule="auto"/>
              <w:contextualSpacing/>
              <w:jc w:val="both"/>
              <w:rPr>
                <w:rFonts w:ascii="Arial" w:hAnsi="Arial" w:cs="Arial"/>
              </w:rPr>
            </w:pPr>
            <w:r w:rsidRPr="0081056E">
              <w:rPr>
                <w:rFonts w:ascii="Arial" w:hAnsi="Arial" w:cs="Arial"/>
              </w:rPr>
              <w:t>Uzay Teknolojisi</w:t>
            </w:r>
          </w:p>
        </w:tc>
      </w:tr>
      <w:tr w:rsidR="00F67306" w:rsidRPr="00EC3D74" w14:paraId="776D1364" w14:textId="77777777" w:rsidTr="72BA80A3">
        <w:trPr>
          <w:trHeight w:val="320"/>
        </w:trPr>
        <w:tc>
          <w:tcPr>
            <w:tcW w:w="584" w:type="dxa"/>
            <w:shd w:val="clear" w:color="auto" w:fill="D9E2F3" w:themeFill="accent1" w:themeFillTint="33"/>
          </w:tcPr>
          <w:p w14:paraId="3F4B9DAB" w14:textId="0CD44127" w:rsidR="00685A79" w:rsidRPr="00EC3D74" w:rsidRDefault="00685A79" w:rsidP="005C4C04">
            <w:pPr>
              <w:spacing w:line="300" w:lineRule="auto"/>
              <w:contextualSpacing/>
              <w:jc w:val="both"/>
              <w:rPr>
                <w:rFonts w:ascii="Arial" w:hAnsi="Arial" w:cs="Arial"/>
              </w:rPr>
            </w:pPr>
            <w:r w:rsidRPr="00EC3D74">
              <w:rPr>
                <w:rFonts w:ascii="Arial" w:hAnsi="Arial" w:cs="Arial"/>
              </w:rPr>
              <w:t>6</w:t>
            </w:r>
          </w:p>
        </w:tc>
        <w:tc>
          <w:tcPr>
            <w:tcW w:w="2349" w:type="dxa"/>
            <w:shd w:val="clear" w:color="auto" w:fill="D9E2F3" w:themeFill="accent1" w:themeFillTint="33"/>
          </w:tcPr>
          <w:p w14:paraId="18160BFA" w14:textId="3E0B7807" w:rsidR="00685A79" w:rsidRPr="00EC3D74" w:rsidRDefault="0081056E" w:rsidP="005C4C04">
            <w:pPr>
              <w:spacing w:line="300" w:lineRule="auto"/>
              <w:contextualSpacing/>
              <w:jc w:val="both"/>
              <w:rPr>
                <w:rFonts w:ascii="Arial" w:hAnsi="Arial" w:cs="Arial"/>
              </w:rPr>
            </w:pPr>
            <w:r w:rsidRPr="0081056E">
              <w:rPr>
                <w:rFonts w:ascii="Arial" w:hAnsi="Arial" w:cs="Arial"/>
              </w:rPr>
              <w:t>Ascend Elements</w:t>
            </w:r>
          </w:p>
        </w:tc>
        <w:tc>
          <w:tcPr>
            <w:tcW w:w="2094" w:type="dxa"/>
            <w:shd w:val="clear" w:color="auto" w:fill="D9E2F3" w:themeFill="accent1" w:themeFillTint="33"/>
          </w:tcPr>
          <w:p w14:paraId="20D626D3" w14:textId="3EBD0FAE" w:rsidR="00685A79" w:rsidRPr="00EC3D74" w:rsidRDefault="0081056E" w:rsidP="005C4C04">
            <w:pPr>
              <w:spacing w:line="300" w:lineRule="auto"/>
              <w:contextualSpacing/>
              <w:jc w:val="both"/>
              <w:rPr>
                <w:rFonts w:ascii="Arial" w:hAnsi="Arial" w:cs="Arial"/>
              </w:rPr>
            </w:pPr>
            <w:r>
              <w:rPr>
                <w:rFonts w:ascii="Arial" w:hAnsi="Arial" w:cs="Arial"/>
              </w:rPr>
              <w:t>704</w:t>
            </w:r>
            <w:r w:rsidR="00685A79" w:rsidRPr="00EC3D74">
              <w:rPr>
                <w:rFonts w:ascii="Arial" w:hAnsi="Arial" w:cs="Arial"/>
              </w:rPr>
              <w:t xml:space="preserve"> milyon dolar</w:t>
            </w:r>
          </w:p>
        </w:tc>
        <w:tc>
          <w:tcPr>
            <w:tcW w:w="1699" w:type="dxa"/>
            <w:shd w:val="clear" w:color="auto" w:fill="D9E2F3" w:themeFill="accent1" w:themeFillTint="33"/>
          </w:tcPr>
          <w:p w14:paraId="529C3E8C" w14:textId="18B17861" w:rsidR="00685A79" w:rsidRPr="00EC3D74" w:rsidRDefault="00EC3D74" w:rsidP="005C4C04">
            <w:pPr>
              <w:spacing w:line="300" w:lineRule="auto"/>
              <w:contextualSpacing/>
              <w:jc w:val="both"/>
              <w:rPr>
                <w:rFonts w:ascii="Arial" w:hAnsi="Arial" w:cs="Arial"/>
              </w:rPr>
            </w:pPr>
            <w:r>
              <w:rPr>
                <w:rFonts w:ascii="Arial" w:hAnsi="Arial" w:cs="Arial"/>
              </w:rPr>
              <w:t>ABD</w:t>
            </w:r>
          </w:p>
        </w:tc>
        <w:tc>
          <w:tcPr>
            <w:tcW w:w="3422" w:type="dxa"/>
            <w:shd w:val="clear" w:color="auto" w:fill="D9E2F3" w:themeFill="accent1" w:themeFillTint="33"/>
          </w:tcPr>
          <w:p w14:paraId="4F186F27" w14:textId="77972CC6" w:rsidR="00685A79" w:rsidRPr="00EC3D74" w:rsidRDefault="00891DD7" w:rsidP="005C4C04">
            <w:pPr>
              <w:spacing w:line="300" w:lineRule="auto"/>
              <w:contextualSpacing/>
              <w:jc w:val="both"/>
              <w:rPr>
                <w:rFonts w:ascii="Arial" w:hAnsi="Arial" w:cs="Arial"/>
              </w:rPr>
            </w:pPr>
            <w:r w:rsidRPr="0081056E">
              <w:rPr>
                <w:rFonts w:ascii="Arial" w:hAnsi="Arial" w:cs="Arial"/>
              </w:rPr>
              <w:t xml:space="preserve">Temiz </w:t>
            </w:r>
            <w:r>
              <w:rPr>
                <w:rFonts w:ascii="Arial" w:hAnsi="Arial" w:cs="Arial"/>
              </w:rPr>
              <w:t>T</w:t>
            </w:r>
            <w:r w:rsidRPr="0081056E">
              <w:rPr>
                <w:rFonts w:ascii="Arial" w:hAnsi="Arial" w:cs="Arial"/>
              </w:rPr>
              <w:t>eknoloji</w:t>
            </w:r>
          </w:p>
        </w:tc>
      </w:tr>
      <w:tr w:rsidR="00F67306" w:rsidRPr="00EC3D74" w14:paraId="1EE76B99" w14:textId="77777777" w:rsidTr="72BA80A3">
        <w:trPr>
          <w:trHeight w:val="310"/>
        </w:trPr>
        <w:tc>
          <w:tcPr>
            <w:tcW w:w="584" w:type="dxa"/>
            <w:shd w:val="clear" w:color="auto" w:fill="D9E2F3" w:themeFill="accent1" w:themeFillTint="33"/>
          </w:tcPr>
          <w:p w14:paraId="53BFA7B0" w14:textId="45D4318F" w:rsidR="00685A79" w:rsidRPr="00EC3D74" w:rsidRDefault="00685A79" w:rsidP="005C4C04">
            <w:pPr>
              <w:spacing w:line="300" w:lineRule="auto"/>
              <w:contextualSpacing/>
              <w:jc w:val="both"/>
              <w:rPr>
                <w:rFonts w:ascii="Arial" w:hAnsi="Arial" w:cs="Arial"/>
              </w:rPr>
            </w:pPr>
            <w:r w:rsidRPr="00EC3D74">
              <w:rPr>
                <w:rFonts w:ascii="Arial" w:hAnsi="Arial" w:cs="Arial"/>
              </w:rPr>
              <w:t>7</w:t>
            </w:r>
          </w:p>
        </w:tc>
        <w:tc>
          <w:tcPr>
            <w:tcW w:w="2349" w:type="dxa"/>
            <w:shd w:val="clear" w:color="auto" w:fill="D9E2F3" w:themeFill="accent1" w:themeFillTint="33"/>
          </w:tcPr>
          <w:p w14:paraId="399DDE4D" w14:textId="2A20C776" w:rsidR="00685A79" w:rsidRPr="00EC3D74" w:rsidRDefault="0081056E" w:rsidP="005C4C04">
            <w:pPr>
              <w:spacing w:line="300" w:lineRule="auto"/>
              <w:contextualSpacing/>
              <w:jc w:val="both"/>
              <w:rPr>
                <w:rFonts w:ascii="Arial" w:hAnsi="Arial" w:cs="Arial"/>
              </w:rPr>
            </w:pPr>
            <w:r w:rsidRPr="0081056E">
              <w:rPr>
                <w:rFonts w:ascii="Arial" w:hAnsi="Arial" w:cs="Arial"/>
              </w:rPr>
              <w:t>Huakong Power</w:t>
            </w:r>
          </w:p>
        </w:tc>
        <w:tc>
          <w:tcPr>
            <w:tcW w:w="2094" w:type="dxa"/>
            <w:shd w:val="clear" w:color="auto" w:fill="D9E2F3" w:themeFill="accent1" w:themeFillTint="33"/>
          </w:tcPr>
          <w:p w14:paraId="7865F1D5" w14:textId="3E5DED36" w:rsidR="00685A79" w:rsidRPr="00EC3D74" w:rsidRDefault="00891DD7" w:rsidP="005C4C04">
            <w:pPr>
              <w:spacing w:line="300" w:lineRule="auto"/>
              <w:contextualSpacing/>
              <w:jc w:val="both"/>
              <w:rPr>
                <w:rFonts w:ascii="Arial" w:hAnsi="Arial" w:cs="Arial"/>
              </w:rPr>
            </w:pPr>
            <w:r>
              <w:rPr>
                <w:rFonts w:ascii="Arial" w:hAnsi="Arial" w:cs="Arial"/>
              </w:rPr>
              <w:t>696,2</w:t>
            </w:r>
            <w:r w:rsidR="00685A79" w:rsidRPr="00EC3D74">
              <w:rPr>
                <w:rFonts w:ascii="Arial" w:hAnsi="Arial" w:cs="Arial"/>
              </w:rPr>
              <w:t xml:space="preserve"> milyon dolar</w:t>
            </w:r>
          </w:p>
        </w:tc>
        <w:tc>
          <w:tcPr>
            <w:tcW w:w="1699" w:type="dxa"/>
            <w:shd w:val="clear" w:color="auto" w:fill="D9E2F3" w:themeFill="accent1" w:themeFillTint="33"/>
          </w:tcPr>
          <w:p w14:paraId="79FB6B9E" w14:textId="64D9D8DC" w:rsidR="00685A79" w:rsidRPr="00EC3D74" w:rsidRDefault="00EC3D74" w:rsidP="005C4C04">
            <w:pPr>
              <w:spacing w:line="300" w:lineRule="auto"/>
              <w:contextualSpacing/>
              <w:jc w:val="both"/>
              <w:rPr>
                <w:rFonts w:ascii="Arial" w:hAnsi="Arial" w:cs="Arial"/>
              </w:rPr>
            </w:pPr>
            <w:r>
              <w:rPr>
                <w:rFonts w:ascii="Arial" w:hAnsi="Arial" w:cs="Arial"/>
              </w:rPr>
              <w:t>Çin</w:t>
            </w:r>
          </w:p>
        </w:tc>
        <w:tc>
          <w:tcPr>
            <w:tcW w:w="3422" w:type="dxa"/>
            <w:shd w:val="clear" w:color="auto" w:fill="D9E2F3" w:themeFill="accent1" w:themeFillTint="33"/>
          </w:tcPr>
          <w:p w14:paraId="3D5C7453" w14:textId="245EF111" w:rsidR="00685A79" w:rsidRPr="00EC3D74" w:rsidRDefault="00891DD7" w:rsidP="005C4C04">
            <w:pPr>
              <w:spacing w:line="300" w:lineRule="auto"/>
              <w:contextualSpacing/>
              <w:jc w:val="both"/>
              <w:rPr>
                <w:rFonts w:ascii="Arial" w:hAnsi="Arial" w:cs="Arial"/>
              </w:rPr>
            </w:pPr>
            <w:r w:rsidRPr="0081056E">
              <w:rPr>
                <w:rFonts w:ascii="Arial" w:hAnsi="Arial" w:cs="Arial"/>
              </w:rPr>
              <w:t xml:space="preserve">Temiz </w:t>
            </w:r>
            <w:r>
              <w:rPr>
                <w:rFonts w:ascii="Arial" w:hAnsi="Arial" w:cs="Arial"/>
              </w:rPr>
              <w:t>T</w:t>
            </w:r>
            <w:r w:rsidRPr="0081056E">
              <w:rPr>
                <w:rFonts w:ascii="Arial" w:hAnsi="Arial" w:cs="Arial"/>
              </w:rPr>
              <w:t>eknoloji</w:t>
            </w:r>
          </w:p>
        </w:tc>
      </w:tr>
      <w:tr w:rsidR="00F67306" w:rsidRPr="00EC3D74" w14:paraId="795E4A7C" w14:textId="77777777" w:rsidTr="72BA80A3">
        <w:trPr>
          <w:trHeight w:val="320"/>
        </w:trPr>
        <w:tc>
          <w:tcPr>
            <w:tcW w:w="584" w:type="dxa"/>
            <w:shd w:val="clear" w:color="auto" w:fill="D9E2F3" w:themeFill="accent1" w:themeFillTint="33"/>
          </w:tcPr>
          <w:p w14:paraId="2637BA5A" w14:textId="787E2438" w:rsidR="00685A79" w:rsidRPr="00EC3D74" w:rsidRDefault="00685A79" w:rsidP="005C4C04">
            <w:pPr>
              <w:spacing w:line="300" w:lineRule="auto"/>
              <w:contextualSpacing/>
              <w:jc w:val="both"/>
              <w:rPr>
                <w:rFonts w:ascii="Arial" w:hAnsi="Arial" w:cs="Arial"/>
              </w:rPr>
            </w:pPr>
            <w:r w:rsidRPr="00EC3D74">
              <w:rPr>
                <w:rFonts w:ascii="Arial" w:hAnsi="Arial" w:cs="Arial"/>
              </w:rPr>
              <w:t>8</w:t>
            </w:r>
          </w:p>
        </w:tc>
        <w:tc>
          <w:tcPr>
            <w:tcW w:w="2349" w:type="dxa"/>
            <w:shd w:val="clear" w:color="auto" w:fill="D9E2F3" w:themeFill="accent1" w:themeFillTint="33"/>
          </w:tcPr>
          <w:p w14:paraId="223EF426" w14:textId="2604D34E" w:rsidR="00685A79" w:rsidRPr="00EC3D74" w:rsidRDefault="00891DD7" w:rsidP="005C4C04">
            <w:pPr>
              <w:spacing w:line="300" w:lineRule="auto"/>
              <w:contextualSpacing/>
              <w:jc w:val="both"/>
              <w:rPr>
                <w:rFonts w:ascii="Arial" w:hAnsi="Arial" w:cs="Arial"/>
              </w:rPr>
            </w:pPr>
            <w:r w:rsidRPr="00891DD7">
              <w:rPr>
                <w:rFonts w:ascii="Arial" w:hAnsi="Arial" w:cs="Arial"/>
              </w:rPr>
              <w:t>Figure AI</w:t>
            </w:r>
          </w:p>
        </w:tc>
        <w:tc>
          <w:tcPr>
            <w:tcW w:w="2094" w:type="dxa"/>
            <w:shd w:val="clear" w:color="auto" w:fill="D9E2F3" w:themeFill="accent1" w:themeFillTint="33"/>
          </w:tcPr>
          <w:p w14:paraId="6429211B" w14:textId="072E93E1" w:rsidR="00685A79" w:rsidRPr="00EC3D74" w:rsidRDefault="00891DD7" w:rsidP="005C4C04">
            <w:pPr>
              <w:spacing w:line="300" w:lineRule="auto"/>
              <w:contextualSpacing/>
              <w:jc w:val="both"/>
              <w:rPr>
                <w:rFonts w:ascii="Arial" w:hAnsi="Arial" w:cs="Arial"/>
              </w:rPr>
            </w:pPr>
            <w:r>
              <w:rPr>
                <w:rFonts w:ascii="Arial" w:hAnsi="Arial" w:cs="Arial"/>
              </w:rPr>
              <w:t>675</w:t>
            </w:r>
            <w:r w:rsidR="00685A79" w:rsidRPr="00EC3D74">
              <w:rPr>
                <w:rFonts w:ascii="Arial" w:hAnsi="Arial" w:cs="Arial"/>
              </w:rPr>
              <w:t xml:space="preserve"> milyon dolar</w:t>
            </w:r>
          </w:p>
        </w:tc>
        <w:tc>
          <w:tcPr>
            <w:tcW w:w="1699" w:type="dxa"/>
            <w:shd w:val="clear" w:color="auto" w:fill="D9E2F3" w:themeFill="accent1" w:themeFillTint="33"/>
          </w:tcPr>
          <w:p w14:paraId="18E7F7B5" w14:textId="1812069F" w:rsidR="00685A79" w:rsidRPr="00EC3D74" w:rsidRDefault="00891DD7" w:rsidP="005C4C04">
            <w:pPr>
              <w:spacing w:line="300" w:lineRule="auto"/>
              <w:contextualSpacing/>
              <w:jc w:val="both"/>
              <w:rPr>
                <w:rFonts w:ascii="Arial" w:hAnsi="Arial" w:cs="Arial"/>
              </w:rPr>
            </w:pPr>
            <w:r>
              <w:rPr>
                <w:rFonts w:ascii="Arial" w:hAnsi="Arial" w:cs="Arial"/>
              </w:rPr>
              <w:t>ABD</w:t>
            </w:r>
          </w:p>
        </w:tc>
        <w:tc>
          <w:tcPr>
            <w:tcW w:w="3422" w:type="dxa"/>
            <w:shd w:val="clear" w:color="auto" w:fill="D9E2F3" w:themeFill="accent1" w:themeFillTint="33"/>
          </w:tcPr>
          <w:p w14:paraId="161687A4" w14:textId="117EE9EA" w:rsidR="00685A79" w:rsidRPr="00EC3D74" w:rsidRDefault="00891DD7" w:rsidP="005C4C04">
            <w:pPr>
              <w:spacing w:line="300" w:lineRule="auto"/>
              <w:contextualSpacing/>
              <w:jc w:val="both"/>
              <w:rPr>
                <w:rFonts w:ascii="Arial" w:hAnsi="Arial" w:cs="Arial"/>
              </w:rPr>
            </w:pPr>
            <w:r>
              <w:rPr>
                <w:rFonts w:ascii="Arial" w:hAnsi="Arial" w:cs="Arial"/>
              </w:rPr>
              <w:t>Robotik</w:t>
            </w:r>
          </w:p>
        </w:tc>
      </w:tr>
      <w:tr w:rsidR="00F67306" w:rsidRPr="00EC3D74" w14:paraId="4656B66B" w14:textId="77777777" w:rsidTr="72BA80A3">
        <w:trPr>
          <w:trHeight w:val="320"/>
        </w:trPr>
        <w:tc>
          <w:tcPr>
            <w:tcW w:w="584" w:type="dxa"/>
            <w:shd w:val="clear" w:color="auto" w:fill="D9E2F3" w:themeFill="accent1" w:themeFillTint="33"/>
          </w:tcPr>
          <w:p w14:paraId="4508C9CB" w14:textId="1A40806B" w:rsidR="00685A79" w:rsidRPr="00EC3D74" w:rsidRDefault="00685A79" w:rsidP="005C4C04">
            <w:pPr>
              <w:spacing w:line="300" w:lineRule="auto"/>
              <w:contextualSpacing/>
              <w:jc w:val="both"/>
              <w:rPr>
                <w:rFonts w:ascii="Arial" w:hAnsi="Arial" w:cs="Arial"/>
              </w:rPr>
            </w:pPr>
            <w:r w:rsidRPr="00EC3D74">
              <w:rPr>
                <w:rFonts w:ascii="Arial" w:hAnsi="Arial" w:cs="Arial"/>
              </w:rPr>
              <w:t>9</w:t>
            </w:r>
          </w:p>
        </w:tc>
        <w:tc>
          <w:tcPr>
            <w:tcW w:w="2349" w:type="dxa"/>
            <w:shd w:val="clear" w:color="auto" w:fill="D9E2F3" w:themeFill="accent1" w:themeFillTint="33"/>
          </w:tcPr>
          <w:p w14:paraId="44681E9E" w14:textId="1728ED36" w:rsidR="00685A79" w:rsidRPr="00EC3D74" w:rsidRDefault="00891DD7" w:rsidP="005C4C04">
            <w:pPr>
              <w:spacing w:line="300" w:lineRule="auto"/>
              <w:contextualSpacing/>
              <w:jc w:val="both"/>
              <w:rPr>
                <w:rFonts w:ascii="Arial" w:hAnsi="Arial" w:cs="Arial"/>
              </w:rPr>
            </w:pPr>
            <w:r w:rsidRPr="00891DD7">
              <w:rPr>
                <w:rFonts w:ascii="Arial" w:hAnsi="Arial" w:cs="Arial"/>
              </w:rPr>
              <w:t>MiniMax AI</w:t>
            </w:r>
          </w:p>
        </w:tc>
        <w:tc>
          <w:tcPr>
            <w:tcW w:w="2094" w:type="dxa"/>
            <w:shd w:val="clear" w:color="auto" w:fill="D9E2F3" w:themeFill="accent1" w:themeFillTint="33"/>
          </w:tcPr>
          <w:p w14:paraId="696B7361" w14:textId="0C21E163" w:rsidR="00685A79" w:rsidRPr="00EC3D74" w:rsidRDefault="00EC3D74" w:rsidP="005C4C04">
            <w:pPr>
              <w:spacing w:line="300" w:lineRule="auto"/>
              <w:contextualSpacing/>
              <w:jc w:val="both"/>
              <w:rPr>
                <w:rFonts w:ascii="Arial" w:hAnsi="Arial" w:cs="Arial"/>
              </w:rPr>
            </w:pPr>
            <w:r>
              <w:rPr>
                <w:rFonts w:ascii="Arial" w:hAnsi="Arial" w:cs="Arial"/>
              </w:rPr>
              <w:t>600</w:t>
            </w:r>
            <w:r w:rsidR="00685A79" w:rsidRPr="00EC3D74">
              <w:rPr>
                <w:rFonts w:ascii="Arial" w:hAnsi="Arial" w:cs="Arial"/>
              </w:rPr>
              <w:t xml:space="preserve"> milyon dolar</w:t>
            </w:r>
          </w:p>
        </w:tc>
        <w:tc>
          <w:tcPr>
            <w:tcW w:w="1699" w:type="dxa"/>
            <w:shd w:val="clear" w:color="auto" w:fill="D9E2F3" w:themeFill="accent1" w:themeFillTint="33"/>
          </w:tcPr>
          <w:p w14:paraId="5A36443A" w14:textId="7C45CD7E" w:rsidR="00685A79" w:rsidRPr="00EC3D74" w:rsidRDefault="00685A79" w:rsidP="005C4C04">
            <w:pPr>
              <w:spacing w:line="300" w:lineRule="auto"/>
              <w:contextualSpacing/>
              <w:jc w:val="both"/>
              <w:rPr>
                <w:rFonts w:ascii="Arial" w:hAnsi="Arial" w:cs="Arial"/>
              </w:rPr>
            </w:pPr>
            <w:r w:rsidRPr="00EC3D74">
              <w:rPr>
                <w:rFonts w:ascii="Arial" w:hAnsi="Arial" w:cs="Arial"/>
              </w:rPr>
              <w:t>Çin</w:t>
            </w:r>
          </w:p>
        </w:tc>
        <w:tc>
          <w:tcPr>
            <w:tcW w:w="3422" w:type="dxa"/>
            <w:shd w:val="clear" w:color="auto" w:fill="D9E2F3" w:themeFill="accent1" w:themeFillTint="33"/>
          </w:tcPr>
          <w:p w14:paraId="6EE445CD" w14:textId="79D8E58A" w:rsidR="00685A79" w:rsidRPr="00EC3D74" w:rsidRDefault="00891DD7" w:rsidP="005C4C04">
            <w:pPr>
              <w:spacing w:line="300" w:lineRule="auto"/>
              <w:contextualSpacing/>
              <w:jc w:val="both"/>
              <w:rPr>
                <w:rFonts w:ascii="Arial" w:hAnsi="Arial" w:cs="Arial"/>
              </w:rPr>
            </w:pPr>
            <w:r w:rsidRPr="00891DD7">
              <w:rPr>
                <w:rFonts w:ascii="Arial" w:hAnsi="Arial" w:cs="Arial"/>
              </w:rPr>
              <w:t>AI &amp; ML</w:t>
            </w:r>
          </w:p>
        </w:tc>
      </w:tr>
      <w:tr w:rsidR="00F67306" w:rsidRPr="00EC3D74" w14:paraId="3DE6ADA5" w14:textId="77777777" w:rsidTr="72BA80A3">
        <w:trPr>
          <w:trHeight w:val="320"/>
        </w:trPr>
        <w:tc>
          <w:tcPr>
            <w:tcW w:w="584" w:type="dxa"/>
            <w:shd w:val="clear" w:color="auto" w:fill="D9E2F3" w:themeFill="accent1" w:themeFillTint="33"/>
          </w:tcPr>
          <w:p w14:paraId="0A1E9781" w14:textId="4FE02E67" w:rsidR="00F67306" w:rsidRPr="00EC3D74" w:rsidRDefault="00F67306" w:rsidP="00F67306">
            <w:pPr>
              <w:spacing w:line="300" w:lineRule="auto"/>
              <w:contextualSpacing/>
              <w:jc w:val="both"/>
              <w:rPr>
                <w:rFonts w:ascii="Arial" w:hAnsi="Arial" w:cs="Arial"/>
              </w:rPr>
            </w:pPr>
            <w:r>
              <w:rPr>
                <w:rFonts w:ascii="Arial" w:hAnsi="Arial" w:cs="Arial"/>
              </w:rPr>
              <w:t>10</w:t>
            </w:r>
          </w:p>
        </w:tc>
        <w:tc>
          <w:tcPr>
            <w:tcW w:w="2349" w:type="dxa"/>
            <w:shd w:val="clear" w:color="auto" w:fill="D9E2F3" w:themeFill="accent1" w:themeFillTint="33"/>
          </w:tcPr>
          <w:p w14:paraId="52A6F3F9" w14:textId="263A5C15" w:rsidR="00F67306" w:rsidRPr="00EC3D74" w:rsidRDefault="00891DD7" w:rsidP="00F67306">
            <w:pPr>
              <w:spacing w:line="300" w:lineRule="auto"/>
              <w:contextualSpacing/>
              <w:jc w:val="both"/>
              <w:rPr>
                <w:rFonts w:ascii="Arial" w:hAnsi="Arial" w:cs="Arial"/>
              </w:rPr>
            </w:pPr>
            <w:r w:rsidRPr="00891DD7">
              <w:rPr>
                <w:rFonts w:ascii="Arial" w:hAnsi="Arial" w:cs="Arial"/>
              </w:rPr>
              <w:t>Monzo</w:t>
            </w:r>
          </w:p>
        </w:tc>
        <w:tc>
          <w:tcPr>
            <w:tcW w:w="2094" w:type="dxa"/>
            <w:shd w:val="clear" w:color="auto" w:fill="D9E2F3" w:themeFill="accent1" w:themeFillTint="33"/>
          </w:tcPr>
          <w:p w14:paraId="69EA7591" w14:textId="662856D2" w:rsidR="00F67306" w:rsidRDefault="00891DD7" w:rsidP="00F67306">
            <w:pPr>
              <w:spacing w:line="300" w:lineRule="auto"/>
              <w:contextualSpacing/>
              <w:jc w:val="both"/>
              <w:rPr>
                <w:rFonts w:ascii="Arial" w:hAnsi="Arial" w:cs="Arial"/>
              </w:rPr>
            </w:pPr>
            <w:r>
              <w:rPr>
                <w:rFonts w:ascii="Arial" w:hAnsi="Arial" w:cs="Arial"/>
              </w:rPr>
              <w:t>431,1</w:t>
            </w:r>
            <w:r w:rsidR="00F67306" w:rsidRPr="00EC3D74">
              <w:rPr>
                <w:rFonts w:ascii="Arial" w:hAnsi="Arial" w:cs="Arial"/>
              </w:rPr>
              <w:t xml:space="preserve"> milyon dolar</w:t>
            </w:r>
          </w:p>
        </w:tc>
        <w:tc>
          <w:tcPr>
            <w:tcW w:w="1699" w:type="dxa"/>
            <w:shd w:val="clear" w:color="auto" w:fill="D9E2F3" w:themeFill="accent1" w:themeFillTint="33"/>
          </w:tcPr>
          <w:p w14:paraId="62AD1AE8" w14:textId="2B588ACF" w:rsidR="00F67306" w:rsidRPr="00EC3D74" w:rsidRDefault="00891DD7" w:rsidP="00F67306">
            <w:pPr>
              <w:spacing w:line="300" w:lineRule="auto"/>
              <w:contextualSpacing/>
              <w:jc w:val="both"/>
              <w:rPr>
                <w:rFonts w:ascii="Arial" w:hAnsi="Arial" w:cs="Arial"/>
              </w:rPr>
            </w:pPr>
            <w:r>
              <w:rPr>
                <w:rFonts w:ascii="Arial" w:hAnsi="Arial" w:cs="Arial"/>
              </w:rPr>
              <w:t>Birleşik Krallık</w:t>
            </w:r>
          </w:p>
        </w:tc>
        <w:tc>
          <w:tcPr>
            <w:tcW w:w="3422" w:type="dxa"/>
            <w:shd w:val="clear" w:color="auto" w:fill="D9E2F3" w:themeFill="accent1" w:themeFillTint="33"/>
          </w:tcPr>
          <w:p w14:paraId="25EE3151" w14:textId="281D5917" w:rsidR="00F67306" w:rsidRPr="00EC3D74" w:rsidRDefault="00891DD7" w:rsidP="00F67306">
            <w:pPr>
              <w:spacing w:line="300" w:lineRule="auto"/>
              <w:contextualSpacing/>
              <w:jc w:val="both"/>
              <w:rPr>
                <w:rFonts w:ascii="Arial" w:hAnsi="Arial" w:cs="Arial"/>
              </w:rPr>
            </w:pPr>
            <w:r w:rsidRPr="00891DD7">
              <w:rPr>
                <w:rFonts w:ascii="Arial" w:hAnsi="Arial" w:cs="Arial"/>
              </w:rPr>
              <w:t>Fintech</w:t>
            </w:r>
          </w:p>
        </w:tc>
      </w:tr>
    </w:tbl>
    <w:p w14:paraId="3A15ED56" w14:textId="77777777" w:rsidR="004A17A6" w:rsidRPr="00EC3D74" w:rsidRDefault="004A17A6" w:rsidP="005F0E8D">
      <w:pPr>
        <w:spacing w:after="0" w:line="300" w:lineRule="auto"/>
        <w:jc w:val="both"/>
        <w:rPr>
          <w:rFonts w:ascii="Arial" w:hAnsi="Arial" w:cs="Arial"/>
          <w:b/>
          <w:bCs/>
        </w:rPr>
      </w:pPr>
    </w:p>
    <w:p w14:paraId="28266002" w14:textId="0BB597F2" w:rsidR="004A399D" w:rsidRPr="00EC3D74" w:rsidRDefault="004A399D" w:rsidP="00BA1F99">
      <w:pPr>
        <w:spacing w:after="0" w:line="300" w:lineRule="auto"/>
        <w:jc w:val="both"/>
        <w:rPr>
          <w:rFonts w:ascii="Arial" w:hAnsi="Arial" w:cs="Arial"/>
        </w:rPr>
      </w:pPr>
      <w:r w:rsidRPr="00EC3D74">
        <w:rPr>
          <w:rFonts w:ascii="Arial" w:hAnsi="Arial" w:cs="Arial"/>
        </w:rPr>
        <w:t xml:space="preserve">Raporun tamamına </w:t>
      </w:r>
      <w:hyperlink r:id="rId11" w:history="1">
        <w:r w:rsidRPr="00EC3D74">
          <w:rPr>
            <w:rStyle w:val="Kpr"/>
            <w:rFonts w:ascii="Arial" w:hAnsi="Arial" w:cs="Arial"/>
          </w:rPr>
          <w:t>buradan</w:t>
        </w:r>
      </w:hyperlink>
      <w:r w:rsidRPr="00EC3D74">
        <w:rPr>
          <w:rFonts w:ascii="Arial" w:hAnsi="Arial" w:cs="Arial"/>
        </w:rPr>
        <w:t xml:space="preserve"> ulaşabilirsiniz. </w:t>
      </w:r>
    </w:p>
    <w:p w14:paraId="1452D3B2" w14:textId="0C299C32" w:rsidR="00511A4F" w:rsidRPr="00EC3D74" w:rsidRDefault="00511A4F" w:rsidP="00FB099A">
      <w:pPr>
        <w:rPr>
          <w:rFonts w:ascii="Arial" w:hAnsi="Arial" w:cs="Arial"/>
        </w:rPr>
      </w:pPr>
    </w:p>
    <w:p w14:paraId="19833D12" w14:textId="77777777" w:rsidR="007C4B71" w:rsidRPr="00EC3D74" w:rsidRDefault="007C4B71" w:rsidP="007C4B71">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 xml:space="preserve">Bilgi için: </w:t>
      </w:r>
      <w:r w:rsidRPr="00EC3D74">
        <w:rPr>
          <w:rStyle w:val="tabchar"/>
          <w:rFonts w:asciiTheme="minorHAnsi" w:hAnsiTheme="minorHAnsi" w:cstheme="minorHAnsi"/>
          <w:sz w:val="18"/>
          <w:szCs w:val="18"/>
        </w:rPr>
        <w:tab/>
      </w:r>
      <w:r w:rsidRPr="00EC3D74">
        <w:rPr>
          <w:rStyle w:val="eop"/>
          <w:rFonts w:asciiTheme="minorHAnsi" w:hAnsiTheme="minorHAnsi" w:cstheme="minorHAnsi"/>
          <w:sz w:val="18"/>
          <w:szCs w:val="18"/>
        </w:rPr>
        <w:t> </w:t>
      </w:r>
    </w:p>
    <w:p w14:paraId="5ACAA93D" w14:textId="77777777" w:rsidR="007C4B71" w:rsidRPr="00EC3D74" w:rsidRDefault="007C4B71" w:rsidP="007C4B71">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 Moral Aru</w:t>
      </w:r>
      <w:r w:rsidRPr="00EC3D74">
        <w:rPr>
          <w:rStyle w:val="eop"/>
          <w:rFonts w:asciiTheme="minorHAnsi" w:hAnsiTheme="minorHAnsi" w:cstheme="minorHAnsi"/>
          <w:color w:val="000000"/>
          <w:sz w:val="18"/>
          <w:szCs w:val="18"/>
        </w:rPr>
        <w:t> </w:t>
      </w:r>
    </w:p>
    <w:p w14:paraId="2BCB70DD" w14:textId="77777777" w:rsidR="007C4B71" w:rsidRPr="00EC3D74" w:rsidRDefault="007C4B71" w:rsidP="007C4B71">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0533 921 43 53</w:t>
      </w:r>
      <w:r w:rsidRPr="00EC3D74">
        <w:rPr>
          <w:rStyle w:val="eop"/>
          <w:rFonts w:asciiTheme="minorHAnsi" w:hAnsiTheme="minorHAnsi" w:cstheme="minorHAnsi"/>
          <w:color w:val="000000"/>
          <w:sz w:val="18"/>
          <w:szCs w:val="18"/>
        </w:rPr>
        <w:t> </w:t>
      </w:r>
    </w:p>
    <w:p w14:paraId="36B590BF" w14:textId="77777777" w:rsidR="007C4B71" w:rsidRPr="00EC3D74" w:rsidRDefault="007C4B71" w:rsidP="007C4B71">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cerenm@marjinal.com.tr</w:t>
      </w:r>
      <w:r w:rsidRPr="00EC3D74">
        <w:rPr>
          <w:rStyle w:val="eop"/>
          <w:rFonts w:asciiTheme="minorHAnsi" w:hAnsiTheme="minorHAnsi" w:cstheme="minorHAnsi"/>
          <w:color w:val="000000"/>
          <w:sz w:val="18"/>
          <w:szCs w:val="18"/>
        </w:rPr>
        <w:t> </w:t>
      </w:r>
    </w:p>
    <w:p w14:paraId="6E7ECDA5" w14:textId="77777777" w:rsidR="007C4B71" w:rsidRPr="00EC3D74" w:rsidRDefault="007C4B71" w:rsidP="007C4B71">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eop"/>
          <w:rFonts w:asciiTheme="minorHAnsi" w:hAnsiTheme="minorHAnsi" w:cstheme="minorHAnsi"/>
          <w:sz w:val="18"/>
          <w:szCs w:val="18"/>
        </w:rPr>
        <w:t> </w:t>
      </w:r>
    </w:p>
    <w:p w14:paraId="11A4201D" w14:textId="77777777" w:rsidR="007C4B71" w:rsidRPr="00EC3D74" w:rsidRDefault="007C4B71" w:rsidP="007C4B71">
      <w:pPr>
        <w:pStyle w:val="paragraph"/>
        <w:spacing w:before="0" w:beforeAutospacing="0" w:after="0" w:afterAutospacing="0"/>
        <w:contextualSpacing/>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KPMG Hakkında</w:t>
      </w:r>
      <w:r w:rsidRPr="00EC3D74">
        <w:rPr>
          <w:rStyle w:val="eop"/>
          <w:rFonts w:asciiTheme="minorHAnsi" w:hAnsiTheme="minorHAnsi" w:cstheme="minorHAnsi"/>
          <w:sz w:val="18"/>
          <w:szCs w:val="18"/>
        </w:rPr>
        <w:t> </w:t>
      </w:r>
    </w:p>
    <w:p w14:paraId="2AB1866D" w14:textId="29EF9A9E" w:rsidR="00376CAF" w:rsidRPr="00EC3D74" w:rsidRDefault="007C4B71" w:rsidP="72BA80A3">
      <w:pPr>
        <w:pStyle w:val="paragraph"/>
        <w:spacing w:before="0" w:beforeAutospacing="0" w:after="0" w:afterAutospacing="0"/>
        <w:contextualSpacing/>
        <w:jc w:val="both"/>
        <w:textAlignment w:val="baseline"/>
        <w:rPr>
          <w:rFonts w:ascii="Arial" w:hAnsi="Arial" w:cs="Arial"/>
        </w:rPr>
      </w:pPr>
      <w:r w:rsidRPr="72BA80A3">
        <w:rPr>
          <w:rStyle w:val="normaltextrun"/>
          <w:rFonts w:asciiTheme="minorHAnsi" w:hAnsiTheme="minorHAnsi" w:cstheme="minorBidi"/>
          <w:color w:val="000000" w:themeColor="text1"/>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w:t>
      </w:r>
      <w:r w:rsidR="003F63B6" w:rsidRPr="72BA80A3">
        <w:rPr>
          <w:rStyle w:val="normaltextrun"/>
          <w:rFonts w:asciiTheme="minorHAnsi" w:hAnsiTheme="minorHAnsi" w:cstheme="minorBidi"/>
          <w:color w:val="000000" w:themeColor="text1"/>
          <w:sz w:val="18"/>
          <w:szCs w:val="18"/>
        </w:rPr>
        <w:t>1.700</w:t>
      </w:r>
      <w:r w:rsidRPr="72BA80A3">
        <w:rPr>
          <w:rStyle w:val="normaltextrun"/>
          <w:rFonts w:asciiTheme="minorHAnsi" w:hAnsiTheme="minorHAnsi" w:cstheme="minorBidi"/>
          <w:color w:val="000000" w:themeColor="text1"/>
          <w:sz w:val="18"/>
          <w:szCs w:val="18"/>
        </w:rPr>
        <w:t xml:space="preserve">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2">
        <w:r w:rsidRPr="72BA80A3">
          <w:rPr>
            <w:rStyle w:val="Kpr"/>
            <w:rFonts w:asciiTheme="minorHAnsi" w:hAnsiTheme="minorHAnsi" w:cstheme="minorBidi"/>
            <w:sz w:val="18"/>
            <w:szCs w:val="18"/>
          </w:rPr>
          <w:t>www.kpmg.com.tr</w:t>
        </w:r>
      </w:hyperlink>
      <w:r w:rsidRPr="72BA80A3">
        <w:rPr>
          <w:rStyle w:val="normaltextrun"/>
          <w:rFonts w:asciiTheme="minorHAnsi" w:hAnsiTheme="minorHAnsi" w:cstheme="minorBidi"/>
          <w:color w:val="000000" w:themeColor="text1"/>
          <w:sz w:val="18"/>
          <w:szCs w:val="18"/>
        </w:rPr>
        <w:t xml:space="preserve"> adresine başvurabilirsiniz.</w:t>
      </w:r>
    </w:p>
    <w:sectPr w:rsidR="00376CAF" w:rsidRPr="00EC3D74" w:rsidSect="00DA69A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40CB" w14:textId="77777777" w:rsidR="00E24305" w:rsidRDefault="00E24305" w:rsidP="00D322B8">
      <w:pPr>
        <w:spacing w:after="0" w:line="240" w:lineRule="auto"/>
      </w:pPr>
      <w:r>
        <w:separator/>
      </w:r>
    </w:p>
  </w:endnote>
  <w:endnote w:type="continuationSeparator" w:id="0">
    <w:p w14:paraId="73C51338" w14:textId="77777777" w:rsidR="00E24305" w:rsidRDefault="00E24305" w:rsidP="00D322B8">
      <w:pPr>
        <w:spacing w:after="0" w:line="240" w:lineRule="auto"/>
      </w:pPr>
      <w:r>
        <w:continuationSeparator/>
      </w:r>
    </w:p>
  </w:endnote>
  <w:endnote w:type="continuationNotice" w:id="1">
    <w:p w14:paraId="2FE112DA" w14:textId="77777777" w:rsidR="00E24305" w:rsidRDefault="00E24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50BB" w14:textId="77777777" w:rsidR="008D12F9" w:rsidRDefault="008D12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E77C5" w14:textId="77777777" w:rsidR="00E24305" w:rsidRDefault="00E24305" w:rsidP="00D322B8">
      <w:pPr>
        <w:spacing w:after="0" w:line="240" w:lineRule="auto"/>
      </w:pPr>
      <w:r>
        <w:separator/>
      </w:r>
    </w:p>
  </w:footnote>
  <w:footnote w:type="continuationSeparator" w:id="0">
    <w:p w14:paraId="68145EAE" w14:textId="77777777" w:rsidR="00E24305" w:rsidRDefault="00E24305" w:rsidP="00D322B8">
      <w:pPr>
        <w:spacing w:after="0" w:line="240" w:lineRule="auto"/>
      </w:pPr>
      <w:r>
        <w:continuationSeparator/>
      </w:r>
    </w:p>
  </w:footnote>
  <w:footnote w:type="continuationNotice" w:id="1">
    <w:p w14:paraId="2717599B" w14:textId="77777777" w:rsidR="00E24305" w:rsidRDefault="00E24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89251">
    <w:abstractNumId w:val="1"/>
  </w:num>
  <w:num w:numId="2" w16cid:durableId="362442383">
    <w:abstractNumId w:val="3"/>
  </w:num>
  <w:num w:numId="3" w16cid:durableId="1408960717">
    <w:abstractNumId w:val="2"/>
  </w:num>
  <w:num w:numId="4" w16cid:durableId="1086927810">
    <w:abstractNumId w:val="4"/>
  </w:num>
  <w:num w:numId="5" w16cid:durableId="172937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11454"/>
    <w:rsid w:val="000271D2"/>
    <w:rsid w:val="000859AF"/>
    <w:rsid w:val="000A7CEC"/>
    <w:rsid w:val="000B037E"/>
    <w:rsid w:val="000C46F9"/>
    <w:rsid w:val="000C5B2E"/>
    <w:rsid w:val="001007D9"/>
    <w:rsid w:val="00113973"/>
    <w:rsid w:val="00113D8D"/>
    <w:rsid w:val="001255D1"/>
    <w:rsid w:val="0013228F"/>
    <w:rsid w:val="00137590"/>
    <w:rsid w:val="001B55F3"/>
    <w:rsid w:val="001C3C68"/>
    <w:rsid w:val="001C64F9"/>
    <w:rsid w:val="001F41A8"/>
    <w:rsid w:val="001F682E"/>
    <w:rsid w:val="0022416D"/>
    <w:rsid w:val="00253863"/>
    <w:rsid w:val="0027440B"/>
    <w:rsid w:val="00281304"/>
    <w:rsid w:val="00282E9B"/>
    <w:rsid w:val="002C1784"/>
    <w:rsid w:val="002C69A1"/>
    <w:rsid w:val="002E1634"/>
    <w:rsid w:val="002F0232"/>
    <w:rsid w:val="00320E15"/>
    <w:rsid w:val="0032769C"/>
    <w:rsid w:val="0033122E"/>
    <w:rsid w:val="00361F83"/>
    <w:rsid w:val="003638E3"/>
    <w:rsid w:val="00376117"/>
    <w:rsid w:val="00376CAF"/>
    <w:rsid w:val="00377A44"/>
    <w:rsid w:val="00393762"/>
    <w:rsid w:val="003C258D"/>
    <w:rsid w:val="003C439A"/>
    <w:rsid w:val="003C6440"/>
    <w:rsid w:val="003F5B88"/>
    <w:rsid w:val="003F63B6"/>
    <w:rsid w:val="004136C3"/>
    <w:rsid w:val="004270D8"/>
    <w:rsid w:val="00447082"/>
    <w:rsid w:val="0045715B"/>
    <w:rsid w:val="004A0495"/>
    <w:rsid w:val="004A17A6"/>
    <w:rsid w:val="004A399D"/>
    <w:rsid w:val="004E384A"/>
    <w:rsid w:val="00511A4F"/>
    <w:rsid w:val="0053663E"/>
    <w:rsid w:val="00554A60"/>
    <w:rsid w:val="00565DB8"/>
    <w:rsid w:val="00595EB4"/>
    <w:rsid w:val="005A0087"/>
    <w:rsid w:val="005B1116"/>
    <w:rsid w:val="005C2E52"/>
    <w:rsid w:val="005C472D"/>
    <w:rsid w:val="005C7F0D"/>
    <w:rsid w:val="005F0E8D"/>
    <w:rsid w:val="005F5B05"/>
    <w:rsid w:val="005F66E8"/>
    <w:rsid w:val="00611493"/>
    <w:rsid w:val="00664204"/>
    <w:rsid w:val="00664709"/>
    <w:rsid w:val="00670ED5"/>
    <w:rsid w:val="00675F0B"/>
    <w:rsid w:val="006840AC"/>
    <w:rsid w:val="00685A79"/>
    <w:rsid w:val="006914F7"/>
    <w:rsid w:val="00691774"/>
    <w:rsid w:val="00693178"/>
    <w:rsid w:val="006C01A8"/>
    <w:rsid w:val="006C34C2"/>
    <w:rsid w:val="006C764C"/>
    <w:rsid w:val="006F371D"/>
    <w:rsid w:val="006F7AF2"/>
    <w:rsid w:val="00711EAA"/>
    <w:rsid w:val="00737D9D"/>
    <w:rsid w:val="00745D55"/>
    <w:rsid w:val="00783AE9"/>
    <w:rsid w:val="007C4B71"/>
    <w:rsid w:val="007C5C32"/>
    <w:rsid w:val="007D16C4"/>
    <w:rsid w:val="007D3441"/>
    <w:rsid w:val="007D428A"/>
    <w:rsid w:val="007F6AD2"/>
    <w:rsid w:val="0081056E"/>
    <w:rsid w:val="00812B22"/>
    <w:rsid w:val="00847927"/>
    <w:rsid w:val="00891DD7"/>
    <w:rsid w:val="008A0814"/>
    <w:rsid w:val="008A6F0A"/>
    <w:rsid w:val="008D12F9"/>
    <w:rsid w:val="008E1CCE"/>
    <w:rsid w:val="008E64C3"/>
    <w:rsid w:val="008F5F78"/>
    <w:rsid w:val="009073F9"/>
    <w:rsid w:val="00912EF3"/>
    <w:rsid w:val="009156C2"/>
    <w:rsid w:val="00917AD1"/>
    <w:rsid w:val="009307A7"/>
    <w:rsid w:val="0093489B"/>
    <w:rsid w:val="00946E34"/>
    <w:rsid w:val="0095123B"/>
    <w:rsid w:val="00955B7B"/>
    <w:rsid w:val="0095766F"/>
    <w:rsid w:val="00960BB3"/>
    <w:rsid w:val="00970471"/>
    <w:rsid w:val="00971777"/>
    <w:rsid w:val="0097526A"/>
    <w:rsid w:val="00975E58"/>
    <w:rsid w:val="00990FFA"/>
    <w:rsid w:val="00995C2B"/>
    <w:rsid w:val="009C5BD8"/>
    <w:rsid w:val="00A316D4"/>
    <w:rsid w:val="00A76CA9"/>
    <w:rsid w:val="00A84385"/>
    <w:rsid w:val="00A97A31"/>
    <w:rsid w:val="00AA2E80"/>
    <w:rsid w:val="00AB5A5D"/>
    <w:rsid w:val="00AD1559"/>
    <w:rsid w:val="00AD337D"/>
    <w:rsid w:val="00AF5D95"/>
    <w:rsid w:val="00B03D09"/>
    <w:rsid w:val="00B41214"/>
    <w:rsid w:val="00B459FC"/>
    <w:rsid w:val="00B50068"/>
    <w:rsid w:val="00B8026A"/>
    <w:rsid w:val="00B90A10"/>
    <w:rsid w:val="00BA1F99"/>
    <w:rsid w:val="00BA2B2C"/>
    <w:rsid w:val="00BB0308"/>
    <w:rsid w:val="00BC72CA"/>
    <w:rsid w:val="00BD5E0A"/>
    <w:rsid w:val="00BD7DC2"/>
    <w:rsid w:val="00BE1CA0"/>
    <w:rsid w:val="00BF5F40"/>
    <w:rsid w:val="00C24518"/>
    <w:rsid w:val="00C36793"/>
    <w:rsid w:val="00C55430"/>
    <w:rsid w:val="00C77633"/>
    <w:rsid w:val="00C836CC"/>
    <w:rsid w:val="00C87E24"/>
    <w:rsid w:val="00CC2668"/>
    <w:rsid w:val="00D10FF5"/>
    <w:rsid w:val="00D14152"/>
    <w:rsid w:val="00D16F7C"/>
    <w:rsid w:val="00D322B8"/>
    <w:rsid w:val="00D45DB2"/>
    <w:rsid w:val="00D778F5"/>
    <w:rsid w:val="00DA69A6"/>
    <w:rsid w:val="00DC6FDB"/>
    <w:rsid w:val="00DD1909"/>
    <w:rsid w:val="00DF3FEE"/>
    <w:rsid w:val="00E24305"/>
    <w:rsid w:val="00E25211"/>
    <w:rsid w:val="00E300B3"/>
    <w:rsid w:val="00E51FD2"/>
    <w:rsid w:val="00E533B4"/>
    <w:rsid w:val="00E57B5B"/>
    <w:rsid w:val="00E65A9D"/>
    <w:rsid w:val="00E83E4D"/>
    <w:rsid w:val="00E95096"/>
    <w:rsid w:val="00EC3D74"/>
    <w:rsid w:val="00EC7491"/>
    <w:rsid w:val="00ED793F"/>
    <w:rsid w:val="00EF6C9E"/>
    <w:rsid w:val="00F05B1B"/>
    <w:rsid w:val="00F14548"/>
    <w:rsid w:val="00F26881"/>
    <w:rsid w:val="00F33F96"/>
    <w:rsid w:val="00F375D1"/>
    <w:rsid w:val="00F52095"/>
    <w:rsid w:val="00F67306"/>
    <w:rsid w:val="00FB099A"/>
    <w:rsid w:val="00FF6C55"/>
    <w:rsid w:val="00FF7D9C"/>
    <w:rsid w:val="04A32E60"/>
    <w:rsid w:val="0CCC2DFF"/>
    <w:rsid w:val="176BFF97"/>
    <w:rsid w:val="19C4C88E"/>
    <w:rsid w:val="2D864E95"/>
    <w:rsid w:val="3FF72FFC"/>
    <w:rsid w:val="593178D9"/>
    <w:rsid w:val="5C042AE0"/>
    <w:rsid w:val="65EC882E"/>
    <w:rsid w:val="72418E64"/>
    <w:rsid w:val="72BA8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paragraph" w:styleId="NormalWeb">
    <w:name w:val="Normal (Web)"/>
    <w:basedOn w:val="Normal"/>
    <w:uiPriority w:val="99"/>
    <w:semiHidden/>
    <w:unhideWhenUsed/>
    <w:rsid w:val="00ED79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5B1116"/>
    <w:rPr>
      <w:color w:val="954F72" w:themeColor="followedHyperlink"/>
      <w:u w:val="single"/>
    </w:rPr>
  </w:style>
  <w:style w:type="table" w:styleId="TabloKlavuzu">
    <w:name w:val="Table Grid"/>
    <w:basedOn w:val="NormalTablo"/>
    <w:uiPriority w:val="39"/>
    <w:rsid w:val="004A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 w:id="20935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mg.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kpmg.com/content/dam/kpmg/xx/pdf/2024/04/venture-pulse-q1-202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097CD-09F7-44E0-BC5D-18552FA9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A5539-B5DB-4264-8B7E-5662E82D2C61}">
  <ds:schemaRefs>
    <ds:schemaRef ds:uri="http://schemas.microsoft.com/sharepoint/v3/contenttype/forms"/>
  </ds:schemaRefs>
</ds:datastoreItem>
</file>

<file path=customXml/itemProps3.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B1486A24-6487-4C82-B40C-FF3DB82F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1143</Words>
  <Characters>6521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KPMG</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Ceren Moral</cp:lastModifiedBy>
  <cp:revision>5</cp:revision>
  <dcterms:created xsi:type="dcterms:W3CDTF">2024-05-14T11:53:00Z</dcterms:created>
  <dcterms:modified xsi:type="dcterms:W3CDTF">2024-05-17T07:08:00Z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