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4FD3C" w14:textId="77777777" w:rsidR="00FC2246" w:rsidRDefault="00FC2246">
      <w:pPr>
        <w:pStyle w:val="GvdeA"/>
        <w:spacing w:line="288" w:lineRule="auto"/>
        <w:jc w:val="both"/>
        <w:rPr>
          <w:b/>
          <w:bCs/>
          <w:u w:color="1C3F95"/>
        </w:rPr>
      </w:pPr>
    </w:p>
    <w:p w14:paraId="0323D552" w14:textId="77777777" w:rsidR="00FC2246" w:rsidRDefault="005727BB">
      <w:pPr>
        <w:pStyle w:val="GvdeB"/>
        <w:spacing w:before="240" w:after="24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Sayın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Bakan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Yardımcım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Değerli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İzleyiciler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,</w:t>
      </w:r>
    </w:p>
    <w:p w14:paraId="10BB5B32" w14:textId="77777777" w:rsidR="00FC2246" w:rsidRDefault="005727BB">
      <w:pPr>
        <w:pStyle w:val="GvdeB"/>
        <w:spacing w:before="240" w:after="24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Sizleri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şahsım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TÜSİAD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Yönetim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Kurulu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adına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sevgi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saygıyla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selamlıyorum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Ticaret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Bakan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Yardımcımız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Gonca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Yılmaz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Batur’a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sivil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toplumun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çok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değerli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temsilcilerine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etkinliğimize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katılımları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için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çok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teşekkür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ediyorum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</w:p>
    <w:p w14:paraId="7EA64DAD" w14:textId="77777777" w:rsidR="00FC2246" w:rsidRDefault="005727BB">
      <w:pPr>
        <w:pStyle w:val="GvdeB"/>
        <w:spacing w:before="240" w:after="24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Bugün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bizleri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araya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getiren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konu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“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Avrupa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Yeşil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Mutabakatı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”. 2019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yılında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AB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Komisyonu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iklim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değişikliği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yükümlülüğü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açısından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çok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önemli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radikal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adım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attı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.  2050</w:t>
      </w:r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yılına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kadar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“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karbon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nötr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”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kıta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olmak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için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yol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haritasını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kamuoyu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paylaştı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Komisyon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Başkanı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Ursula von der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Leyen’in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, “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Avrupa’nın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aya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insan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göndermesi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”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benzetmesini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yaptığı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“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Avrupa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Yeşil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Mutabakatı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",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iklim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değişikliği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mücadelenin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ötesinde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aynı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zamanda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AB’nin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“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büyüme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stratejisi”nin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yol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planı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strateji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“modern,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kaynak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verimliliğine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odaklanan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rekabetçi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ekonomi”yi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hedef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alıyor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AB’nin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uluslararası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ticarette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rekabet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gücünü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korumak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için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sürdürülebilirliği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odağına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aldığını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görüyoruz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.</w:t>
      </w:r>
    </w:p>
    <w:p w14:paraId="4CFEE5C0" w14:textId="77777777" w:rsidR="00FC2246" w:rsidRDefault="005727BB">
      <w:pPr>
        <w:pStyle w:val="GvdeB"/>
        <w:spacing w:before="240" w:after="24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Avrupa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Yeşil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Mutabakatı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sadece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iklim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değişikliği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yetinmeyip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biyolojik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çeşitlilikten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atık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hava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kirliliğine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kadar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tüm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çevre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konularını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alıyor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Kaynakların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verimli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kullanımını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artıracak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eylemler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içeren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yol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haritası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sunuyor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Anlaşmanın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diğer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ayırt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edici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özelliği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ise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iklim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değişikliği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mücadeleyi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sadece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kendi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coğrafyası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sınırlı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tutmayıp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küresel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ölçekte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dönüşüm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potansiyeli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barındırması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.</w:t>
      </w:r>
    </w:p>
    <w:p w14:paraId="69C0D2FC" w14:textId="77777777" w:rsidR="00FC2246" w:rsidRDefault="005727BB">
      <w:pPr>
        <w:pStyle w:val="GvdeA"/>
        <w:shd w:val="clear" w:color="auto" w:fill="FFFFFF"/>
        <w:spacing w:before="100" w:after="100" w:line="360" w:lineRule="auto"/>
        <w:jc w:val="both"/>
        <w:rPr>
          <w:color w:val="000F9F"/>
          <w:u w:color="000F9F"/>
        </w:rPr>
      </w:pPr>
      <w:r>
        <w:rPr>
          <w:color w:val="000F9F"/>
          <w:u w:color="000F9F"/>
        </w:rPr>
        <w:t xml:space="preserve">Öte yandan Yeşil Mutabakat, AB’nin </w:t>
      </w:r>
      <w:r>
        <w:rPr>
          <w:color w:val="000F9F"/>
          <w:u w:color="000F9F"/>
          <w:lang w:val="sv-SE"/>
        </w:rPr>
        <w:t>ö</w:t>
      </w:r>
      <w:r>
        <w:rPr>
          <w:color w:val="000F9F"/>
          <w:u w:color="000F9F"/>
        </w:rPr>
        <w:t>nümüzdeki d</w:t>
      </w:r>
      <w:r>
        <w:rPr>
          <w:color w:val="000F9F"/>
          <w:u w:color="000F9F"/>
          <w:lang w:val="sv-SE"/>
        </w:rPr>
        <w:t>ö</w:t>
      </w:r>
      <w:r>
        <w:rPr>
          <w:color w:val="000F9F"/>
          <w:u w:color="000F9F"/>
        </w:rPr>
        <w:t xml:space="preserve">nemde partnerleriyle ticari ilişkilerinde yeni kural ve yaptırım mekanizmaları getireceğine işaret ediyor. </w:t>
      </w:r>
      <w:proofErr w:type="spellStart"/>
      <w:r>
        <w:rPr>
          <w:color w:val="000F9F"/>
          <w:u w:color="000F9F"/>
        </w:rPr>
        <w:t>Birliğ</w:t>
      </w:r>
      <w:proofErr w:type="spellEnd"/>
      <w:r>
        <w:rPr>
          <w:color w:val="000F9F"/>
          <w:u w:color="000F9F"/>
          <w:lang w:val="de-DE"/>
        </w:rPr>
        <w:t>in d</w:t>
      </w:r>
      <w:proofErr w:type="spellStart"/>
      <w:r>
        <w:rPr>
          <w:color w:val="000F9F"/>
          <w:u w:color="000F9F"/>
        </w:rPr>
        <w:t>ış</w:t>
      </w:r>
      <w:proofErr w:type="spellEnd"/>
      <w:r>
        <w:rPr>
          <w:color w:val="000F9F"/>
          <w:u w:color="000F9F"/>
        </w:rPr>
        <w:t xml:space="preserve"> ticaret, uluslararası yatırım ve finansman politikalarında büyük değişiklikler </w:t>
      </w:r>
      <w:r>
        <w:rPr>
          <w:color w:val="000F9F"/>
          <w:u w:color="000F9F"/>
          <w:lang w:val="sv-SE"/>
        </w:rPr>
        <w:t>ö</w:t>
      </w:r>
      <w:proofErr w:type="spellStart"/>
      <w:r>
        <w:rPr>
          <w:color w:val="000F9F"/>
          <w:u w:color="000F9F"/>
        </w:rPr>
        <w:t>ng</w:t>
      </w:r>
      <w:proofErr w:type="spellEnd"/>
      <w:r>
        <w:rPr>
          <w:color w:val="000F9F"/>
          <w:u w:color="000F9F"/>
          <w:lang w:val="sv-SE"/>
        </w:rPr>
        <w:t>ö</w:t>
      </w:r>
      <w:r>
        <w:rPr>
          <w:color w:val="000F9F"/>
          <w:u w:color="000F9F"/>
        </w:rPr>
        <w:t xml:space="preserve">ren </w:t>
      </w:r>
      <w:r w:rsidRPr="00D565C7">
        <w:rPr>
          <w:color w:val="000F9F"/>
          <w:u w:color="000F9F"/>
        </w:rPr>
        <w:t>eylem planı hayata ge</w:t>
      </w:r>
      <w:r w:rsidRPr="00D565C7">
        <w:rPr>
          <w:color w:val="000F9F"/>
          <w:u w:color="000F9F"/>
          <w:lang w:val="pt-PT"/>
        </w:rPr>
        <w:t>ç</w:t>
      </w:r>
      <w:proofErr w:type="spellStart"/>
      <w:r w:rsidRPr="00D565C7">
        <w:rPr>
          <w:color w:val="000F9F"/>
          <w:u w:color="000F9F"/>
        </w:rPr>
        <w:t>tiğ</w:t>
      </w:r>
      <w:proofErr w:type="spellEnd"/>
      <w:r w:rsidRPr="00D565C7">
        <w:rPr>
          <w:color w:val="000F9F"/>
          <w:u w:color="000F9F"/>
          <w:lang w:val="da-DK"/>
        </w:rPr>
        <w:t xml:space="preserve">inde, </w:t>
      </w:r>
      <w:r w:rsidRPr="00D565C7">
        <w:rPr>
          <w:color w:val="000F9F"/>
          <w:u w:color="000F9F"/>
          <w:lang w:val="sv-SE"/>
        </w:rPr>
        <w:t>ö</w:t>
      </w:r>
      <w:proofErr w:type="spellStart"/>
      <w:r w:rsidRPr="00D565C7">
        <w:rPr>
          <w:color w:val="000F9F"/>
          <w:u w:color="000F9F"/>
        </w:rPr>
        <w:t>zellikle</w:t>
      </w:r>
      <w:proofErr w:type="spellEnd"/>
      <w:r w:rsidRPr="00D565C7">
        <w:rPr>
          <w:color w:val="000F9F"/>
          <w:u w:color="000F9F"/>
        </w:rPr>
        <w:t xml:space="preserve"> AB ile dış ticareti yüksek olan Türkiye gibi ülkeler açısından </w:t>
      </w:r>
      <w:r w:rsidRPr="00D565C7">
        <w:rPr>
          <w:color w:val="000F9F"/>
          <w:u w:color="000F9F"/>
          <w:lang w:val="sv-SE"/>
        </w:rPr>
        <w:t>ö</w:t>
      </w:r>
      <w:r w:rsidRPr="00D565C7">
        <w:rPr>
          <w:color w:val="000F9F"/>
          <w:u w:color="000F9F"/>
        </w:rPr>
        <w:t>nemli sonu</w:t>
      </w:r>
      <w:r w:rsidRPr="00D565C7">
        <w:rPr>
          <w:color w:val="000F9F"/>
          <w:u w:color="000F9F"/>
          <w:lang w:val="pt-PT"/>
        </w:rPr>
        <w:t>ç</w:t>
      </w:r>
      <w:proofErr w:type="spellStart"/>
      <w:r w:rsidRPr="00D565C7">
        <w:rPr>
          <w:color w:val="000F9F"/>
          <w:u w:color="000F9F"/>
        </w:rPr>
        <w:t>lar</w:t>
      </w:r>
      <w:proofErr w:type="spellEnd"/>
      <w:r w:rsidRPr="00D565C7">
        <w:rPr>
          <w:color w:val="000F9F"/>
          <w:u w:color="000F9F"/>
        </w:rPr>
        <w:t xml:space="preserve"> doğuracak.</w:t>
      </w:r>
    </w:p>
    <w:p w14:paraId="256AFE64" w14:textId="77777777" w:rsidR="00FC2246" w:rsidRDefault="005727BB">
      <w:pPr>
        <w:pStyle w:val="GvdeB"/>
        <w:spacing w:before="240" w:after="24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Değerli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İzleyiciler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,</w:t>
      </w:r>
    </w:p>
    <w:p w14:paraId="14AE0AF0" w14:textId="77777777" w:rsidR="00FC2246" w:rsidRDefault="005727BB">
      <w:pPr>
        <w:pStyle w:val="GvdeA"/>
        <w:shd w:val="clear" w:color="auto" w:fill="FFFFFF"/>
        <w:spacing w:before="100" w:after="100" w:line="360" w:lineRule="auto"/>
        <w:jc w:val="both"/>
        <w:rPr>
          <w:color w:val="000F9F"/>
          <w:u w:color="000F9F"/>
        </w:rPr>
      </w:pPr>
      <w:r>
        <w:rPr>
          <w:color w:val="000F9F"/>
          <w:u w:color="000F9F"/>
        </w:rPr>
        <w:t>Türkiye olarak gelişmeleri dikkatli okur ve gerekli hazırlıkları önceden yaparsak riskleri iyi y</w:t>
      </w:r>
      <w:r>
        <w:rPr>
          <w:color w:val="000F9F"/>
          <w:u w:color="000F9F"/>
          <w:lang w:val="sv-SE"/>
        </w:rPr>
        <w:t>ö</w:t>
      </w:r>
      <w:proofErr w:type="spellStart"/>
      <w:r>
        <w:rPr>
          <w:color w:val="000F9F"/>
          <w:u w:color="000F9F"/>
        </w:rPr>
        <w:t>netme</w:t>
      </w:r>
      <w:proofErr w:type="spellEnd"/>
      <w:r>
        <w:rPr>
          <w:color w:val="000F9F"/>
          <w:u w:color="000F9F"/>
        </w:rPr>
        <w:t xml:space="preserve"> ve bu d</w:t>
      </w:r>
      <w:r>
        <w:rPr>
          <w:color w:val="000F9F"/>
          <w:u w:color="000F9F"/>
          <w:lang w:val="sv-SE"/>
        </w:rPr>
        <w:t>ö</w:t>
      </w:r>
      <w:proofErr w:type="spellStart"/>
      <w:r>
        <w:rPr>
          <w:color w:val="000F9F"/>
          <w:u w:color="000F9F"/>
        </w:rPr>
        <w:t>nüşümü</w:t>
      </w:r>
      <w:proofErr w:type="spellEnd"/>
      <w:r>
        <w:rPr>
          <w:color w:val="000F9F"/>
          <w:u w:color="000F9F"/>
        </w:rPr>
        <w:t xml:space="preserve"> büyük bir avantaja </w:t>
      </w:r>
      <w:r>
        <w:rPr>
          <w:color w:val="000F9F"/>
          <w:u w:color="000F9F"/>
          <w:lang w:val="pt-PT"/>
        </w:rPr>
        <w:t>ç</w:t>
      </w:r>
      <w:r>
        <w:rPr>
          <w:color w:val="000F9F"/>
          <w:u w:color="000F9F"/>
        </w:rPr>
        <w:t xml:space="preserve">evirme şansımız var. Zira AB, Avrupa </w:t>
      </w:r>
      <w:proofErr w:type="spellStart"/>
      <w:r>
        <w:rPr>
          <w:color w:val="000F9F"/>
          <w:u w:color="000F9F"/>
        </w:rPr>
        <w:t>Yeş</w:t>
      </w:r>
      <w:r>
        <w:rPr>
          <w:color w:val="000F9F"/>
          <w:u w:color="000F9F"/>
          <w:lang w:val="de-DE"/>
        </w:rPr>
        <w:t>il</w:t>
      </w:r>
      <w:proofErr w:type="spellEnd"/>
      <w:r>
        <w:rPr>
          <w:color w:val="000F9F"/>
          <w:u w:color="000F9F"/>
          <w:lang w:val="de-DE"/>
        </w:rPr>
        <w:t xml:space="preserve"> </w:t>
      </w:r>
      <w:proofErr w:type="spellStart"/>
      <w:r>
        <w:rPr>
          <w:color w:val="000F9F"/>
          <w:u w:color="000F9F"/>
          <w:lang w:val="de-DE"/>
        </w:rPr>
        <w:t>Anla</w:t>
      </w:r>
      <w:r>
        <w:rPr>
          <w:color w:val="000F9F"/>
          <w:u w:color="000F9F"/>
        </w:rPr>
        <w:t>şması</w:t>
      </w:r>
      <w:proofErr w:type="spellEnd"/>
      <w:r>
        <w:rPr>
          <w:color w:val="000F9F"/>
          <w:u w:color="000F9F"/>
        </w:rPr>
        <w:t xml:space="preserve"> strateji belgesinde, yakın </w:t>
      </w:r>
      <w:r>
        <w:rPr>
          <w:color w:val="000F9F"/>
          <w:u w:color="000F9F"/>
          <w:lang w:val="pt-PT"/>
        </w:rPr>
        <w:t>ç</w:t>
      </w:r>
      <w:r>
        <w:rPr>
          <w:color w:val="000F9F"/>
          <w:u w:color="000F9F"/>
        </w:rPr>
        <w:t xml:space="preserve">evresindeki ülkelerin desteklenmesine </w:t>
      </w:r>
      <w:r>
        <w:rPr>
          <w:color w:val="000F9F"/>
          <w:u w:color="000F9F"/>
          <w:lang w:val="sv-SE"/>
        </w:rPr>
        <w:t>ö</w:t>
      </w:r>
      <w:proofErr w:type="spellStart"/>
      <w:r>
        <w:rPr>
          <w:color w:val="000F9F"/>
          <w:u w:color="000F9F"/>
        </w:rPr>
        <w:t>zellikle</w:t>
      </w:r>
      <w:proofErr w:type="spellEnd"/>
      <w:r>
        <w:rPr>
          <w:color w:val="000F9F"/>
          <w:u w:color="000F9F"/>
        </w:rPr>
        <w:t xml:space="preserve"> </w:t>
      </w:r>
      <w:r>
        <w:rPr>
          <w:color w:val="000F9F"/>
          <w:u w:color="000F9F"/>
          <w:lang w:val="sv-SE"/>
        </w:rPr>
        <w:t>ö</w:t>
      </w:r>
      <w:r>
        <w:rPr>
          <w:color w:val="000F9F"/>
          <w:u w:color="000F9F"/>
        </w:rPr>
        <w:t xml:space="preserve">nem vereceğini açıklıyor. Bizim bu </w:t>
      </w:r>
      <w:r w:rsidRPr="00D565C7">
        <w:rPr>
          <w:color w:val="000F9F"/>
          <w:u w:color="000F9F"/>
        </w:rPr>
        <w:t xml:space="preserve">rekabet yarışında hangi stratejileri ve politikaları benimseyerek </w:t>
      </w:r>
      <w:r w:rsidRPr="00D565C7">
        <w:rPr>
          <w:color w:val="000F9F"/>
          <w:u w:color="000F9F"/>
          <w:lang w:val="sv-SE"/>
        </w:rPr>
        <w:t>ö</w:t>
      </w:r>
      <w:r w:rsidRPr="00D565C7">
        <w:rPr>
          <w:color w:val="000F9F"/>
          <w:u w:color="000F9F"/>
        </w:rPr>
        <w:t>ne çıkacağımı</w:t>
      </w:r>
      <w:r w:rsidRPr="00D565C7">
        <w:rPr>
          <w:color w:val="000F9F"/>
          <w:u w:color="000F9F"/>
          <w:lang w:val="es-ES_tradnl"/>
        </w:rPr>
        <w:t xml:space="preserve">z, </w:t>
      </w:r>
      <w:r w:rsidRPr="00D565C7">
        <w:rPr>
          <w:color w:val="000F9F"/>
          <w:u w:color="000F9F"/>
          <w:lang w:val="sv-SE"/>
        </w:rPr>
        <w:t>ö</w:t>
      </w:r>
      <w:r w:rsidRPr="00D565C7">
        <w:rPr>
          <w:color w:val="000F9F"/>
          <w:u w:color="000F9F"/>
        </w:rPr>
        <w:t>nümüzdeki d</w:t>
      </w:r>
      <w:r w:rsidRPr="00D565C7">
        <w:rPr>
          <w:color w:val="000F9F"/>
          <w:u w:color="000F9F"/>
          <w:lang w:val="sv-SE"/>
        </w:rPr>
        <w:t>ö</w:t>
      </w:r>
      <w:r w:rsidRPr="00D565C7">
        <w:rPr>
          <w:color w:val="000F9F"/>
          <w:u w:color="000F9F"/>
        </w:rPr>
        <w:t>nemin belirleyicisi olacak.</w:t>
      </w:r>
      <w:r>
        <w:rPr>
          <w:color w:val="000F9F"/>
          <w:u w:color="000F9F"/>
        </w:rPr>
        <w:t xml:space="preserve"> Türkiye i</w:t>
      </w:r>
      <w:r>
        <w:rPr>
          <w:color w:val="000F9F"/>
          <w:u w:color="000F9F"/>
          <w:lang w:val="pt-PT"/>
        </w:rPr>
        <w:t>ç</w:t>
      </w:r>
      <w:r>
        <w:rPr>
          <w:color w:val="000F9F"/>
          <w:u w:color="000F9F"/>
        </w:rPr>
        <w:t>in açılan bu fırsat penceresini değerlendirebilmemiz i</w:t>
      </w:r>
      <w:r>
        <w:rPr>
          <w:color w:val="000F9F"/>
          <w:u w:color="000F9F"/>
          <w:lang w:val="pt-PT"/>
        </w:rPr>
        <w:t>ç</w:t>
      </w:r>
      <w:r>
        <w:rPr>
          <w:color w:val="000F9F"/>
          <w:u w:color="000F9F"/>
        </w:rPr>
        <w:t>in iyi hazırlanmış bir yol haritasına ihtiyacımız var.</w:t>
      </w:r>
    </w:p>
    <w:p w14:paraId="73E64D09" w14:textId="77777777" w:rsidR="00FC2246" w:rsidRDefault="005727BB">
      <w:pPr>
        <w:pStyle w:val="GvdeB"/>
        <w:spacing w:before="240" w:after="24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Bakanlık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bünyesinde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oluşturulan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çalışma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grubu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bağlamda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çok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kıymetli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TÜSİAD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olarak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çalışmaları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yakından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takip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ediyoruz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katkı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sağlıyoruz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</w:p>
    <w:p w14:paraId="652646C8" w14:textId="77777777" w:rsidR="00FC2246" w:rsidRDefault="005727BB">
      <w:pPr>
        <w:pStyle w:val="GvdeB"/>
        <w:spacing w:before="240" w:after="24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lastRenderedPageBreak/>
        <w:t xml:space="preserve">En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büyük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ticaret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yatırım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ortağımız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AB’nin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dönüşümü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özellikle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bazı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sektörlerimiz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açısından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dikkatlice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izlenmeli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AB’nin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nesil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ticaret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yaklaşımı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artık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ticaret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politikalarında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Paris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Anlaşması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sürdürülebilir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kalkınma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ilkelerine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uyumu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ön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şart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olarak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gündeme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getirdiğini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biliyoruz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Bu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açıdan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AB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Yeşil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Mut</w:t>
      </w:r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abakatı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birlikte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gelen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Sınırda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Karbon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Düzenlemesi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gibi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alt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düzenlemelerin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ülkemizin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ihracat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rekabetçiliğine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etkileri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gözetilerek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alınması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alınacak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tedbirlere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yönelik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sektörel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yol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haritaları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çıkarılması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önem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arz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ediyor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.</w:t>
      </w:r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br/>
      </w:r>
    </w:p>
    <w:p w14:paraId="087651E2" w14:textId="77777777" w:rsidR="00FC2246" w:rsidRDefault="005727BB">
      <w:pPr>
        <w:pStyle w:val="GvdeB"/>
        <w:spacing w:after="16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Değerli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Konuklar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,</w:t>
      </w:r>
    </w:p>
    <w:p w14:paraId="3E2FFBCE" w14:textId="77777777" w:rsidR="00FC2246" w:rsidRDefault="005727BB">
      <w:pPr>
        <w:pStyle w:val="GvdeB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TÜSİAD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olarak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Mart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ayında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kurduğumuz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Yeşil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Mutabakat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Görev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Gücü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çalışmaları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kapsamında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tüm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gelişmeleri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yakından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takip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ediyor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Türkiye’nin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ilgili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alanlardaki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tutum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belgelerinin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hazırlanmasında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ilgili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kamu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kurumlarımız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yakın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temasta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olmaya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gayret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gösteriyoruz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Aynı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zamanda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üyesi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olduğumuz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Avrupa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İş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Dünyası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kuruluşu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Businesseurope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bünyesinde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konuyla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ilgili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oluşturulan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tutum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belgelerine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katkı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sağlıyor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AB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Komisyonu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başta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olmak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üzere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AB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kurumlarının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üst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düzey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yetkilileriyle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Türk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iş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dünyasının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önerilerini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hassasiyetlerini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paylaşıyoruz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Yanısıra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ulusal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uluslararası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sektörel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sivil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toplum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örgütleri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işbirlikleri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kuruyoruz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</w:p>
    <w:p w14:paraId="51DBEA39" w14:textId="77777777" w:rsidR="00FC2246" w:rsidRDefault="005727BB">
      <w:pPr>
        <w:pStyle w:val="GvdeB"/>
        <w:spacing w:after="16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Bugün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gerçekleştireceğimiz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webinarda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Avrupa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Yeşil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Mutabakatı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kapsamında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kurulacak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düzenin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Türkiye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– AB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ticaret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ilişkileri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Türkiye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sanayisine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etkilerini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değerlendireceğiz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Türkiye’nin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tutumunu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gündemindeki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politika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düzenlenmeler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Avrupa’nın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ticaret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politikalarının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iklim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hedeflerine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ulaşılmasında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üstleneceği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rolü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alacağız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Buradan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aldığımız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çıktılar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sonrasında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Yeşil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Mutabakat’ın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finansal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sonuçlarının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tespit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edilebilmesi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,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etkilerinin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analiz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edilerek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sanayimiz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için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hazırlanacak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yol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planına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katkı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sağlanması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için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çalışmalarımıza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devam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edeceğiz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</w:p>
    <w:p w14:paraId="7CB5651E" w14:textId="77777777" w:rsidR="00FC2246" w:rsidRDefault="005727BB">
      <w:pPr>
        <w:pStyle w:val="GvdeB"/>
        <w:spacing w:after="160" w:line="360" w:lineRule="auto"/>
        <w:jc w:val="both"/>
        <w:rPr>
          <w:rFonts w:ascii="Calibri" w:eastAsia="Calibri" w:hAnsi="Calibri" w:cs="Calibri"/>
          <w:color w:val="000F9F"/>
          <w:sz w:val="22"/>
          <w:szCs w:val="22"/>
          <w:u w:color="000F9F"/>
        </w:rPr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Sözlerimi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kısa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duyuru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tamamlamak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istiyorum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Yakın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zamanda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TÜSİAD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Enerji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Çevre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Yuvarlak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Masası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faaliyetleri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kapsamında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yürüttüğümüz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"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Ekonomik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Göstergeler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>Merceğinden</w:t>
      </w:r>
      <w:proofErr w:type="spellEnd"/>
      <w:r w:rsidRPr="00D565C7"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Yeni</w:t>
      </w:r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İklim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Rejimi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Raporu"nu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tamamladık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vesile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öngörülen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yeni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iklim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rejiminin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ülkemiz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sanayisi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açısından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etkilerini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ekonomik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modellerle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ele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alan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raporun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21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Eylül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2020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tarihindeki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tanıtım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toplantısına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sizleri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de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davet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etmek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isterim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.</w:t>
      </w:r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br/>
      </w:r>
    </w:p>
    <w:p w14:paraId="55F53CFD" w14:textId="77777777" w:rsidR="00FC2246" w:rsidRDefault="005727BB">
      <w:pPr>
        <w:pStyle w:val="GvdeB"/>
        <w:spacing w:after="160" w:line="360" w:lineRule="auto"/>
        <w:jc w:val="both"/>
      </w:pP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Bugünkü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webinarımızın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verimli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keyifli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etkinlik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olmasını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diliyorum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Sözü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Sayın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Gonca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Yılmaz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Batur’u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ağırlayacağımız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sonraki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oturumumuzun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moderatörü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Yönetim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Kurulu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Üyemiz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Yatırım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Ortamı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Yuvarlak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Masa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Başkanımız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Dr. Fatih Kemal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Ebiçlioğlu’na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bırakıyorum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.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Katılımınız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için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bir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kez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daha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teşekkür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ediyor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ve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hepinizi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saygıyla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 xml:space="preserve"> </w:t>
      </w:r>
      <w:proofErr w:type="spellStart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selamlıyorum</w:t>
      </w:r>
      <w:proofErr w:type="spellEnd"/>
      <w:r>
        <w:rPr>
          <w:rFonts w:ascii="Calibri" w:eastAsia="Calibri" w:hAnsi="Calibri" w:cs="Calibri"/>
          <w:color w:val="000F9F"/>
          <w:sz w:val="22"/>
          <w:szCs w:val="22"/>
          <w:u w:color="000F9F"/>
        </w:rPr>
        <w:t>.</w:t>
      </w:r>
    </w:p>
    <w:sectPr w:rsidR="00FC2246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8" w:right="991" w:bottom="709" w:left="1418" w:header="709" w:footer="1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8DE57" w14:textId="77777777" w:rsidR="00C0582A" w:rsidRDefault="00C0582A">
      <w:r>
        <w:separator/>
      </w:r>
    </w:p>
  </w:endnote>
  <w:endnote w:type="continuationSeparator" w:id="0">
    <w:p w14:paraId="122B1B35" w14:textId="77777777" w:rsidR="00C0582A" w:rsidRDefault="00C0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56798" w14:textId="77777777" w:rsidR="00FC2246" w:rsidRDefault="00FC2246">
    <w:pPr>
      <w:pStyle w:val="AltBilgi"/>
      <w:jc w:val="center"/>
    </w:pPr>
  </w:p>
  <w:p w14:paraId="1883FF2C" w14:textId="77777777" w:rsidR="00FC2246" w:rsidRDefault="00FC2246">
    <w:pPr>
      <w:pStyle w:val="AltBilgi"/>
      <w:jc w:val="center"/>
    </w:pPr>
  </w:p>
  <w:p w14:paraId="1AE1035E" w14:textId="77777777" w:rsidR="00FC2246" w:rsidRDefault="005727BB">
    <w:pPr>
      <w:pStyle w:val="AltBilgi"/>
      <w:jc w:val="center"/>
    </w:pPr>
    <w:r>
      <w:rPr>
        <w:color w:val="2F5496"/>
        <w:sz w:val="20"/>
        <w:szCs w:val="20"/>
        <w:u w:color="2F5496"/>
      </w:rPr>
      <w:t xml:space="preserve">-  </w:t>
    </w:r>
    <w:r>
      <w:rPr>
        <w:color w:val="2F5496"/>
        <w:sz w:val="20"/>
        <w:szCs w:val="20"/>
        <w:u w:color="2F5496"/>
      </w:rPr>
      <w:fldChar w:fldCharType="begin"/>
    </w:r>
    <w:r>
      <w:rPr>
        <w:color w:val="2F5496"/>
        <w:sz w:val="20"/>
        <w:szCs w:val="20"/>
        <w:u w:color="2F5496"/>
      </w:rPr>
      <w:instrText xml:space="preserve"> PAGE </w:instrText>
    </w:r>
    <w:r>
      <w:rPr>
        <w:color w:val="2F5496"/>
        <w:sz w:val="20"/>
        <w:szCs w:val="20"/>
        <w:u w:color="2F5496"/>
      </w:rPr>
      <w:fldChar w:fldCharType="separate"/>
    </w:r>
    <w:r w:rsidR="007F4D73">
      <w:rPr>
        <w:noProof/>
        <w:color w:val="2F5496"/>
        <w:sz w:val="20"/>
        <w:szCs w:val="20"/>
        <w:u w:color="2F5496"/>
      </w:rPr>
      <w:t>2</w:t>
    </w:r>
    <w:r>
      <w:rPr>
        <w:color w:val="2F5496"/>
        <w:sz w:val="20"/>
        <w:szCs w:val="20"/>
        <w:u w:color="2F5496"/>
      </w:rPr>
      <w:fldChar w:fldCharType="end"/>
    </w:r>
    <w:r>
      <w:rPr>
        <w:color w:val="2F5496"/>
        <w:sz w:val="20"/>
        <w:szCs w:val="20"/>
        <w:u w:color="2F549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1BF4" w14:textId="77777777" w:rsidR="00FC2246" w:rsidRDefault="005727BB">
    <w:pPr>
      <w:pStyle w:val="AltBilgi"/>
      <w:jc w:val="center"/>
    </w:pPr>
    <w:r>
      <w:fldChar w:fldCharType="begin"/>
    </w:r>
    <w:r>
      <w:instrText xml:space="preserve"> PAGE </w:instrText>
    </w:r>
    <w:r>
      <w:fldChar w:fldCharType="separate"/>
    </w:r>
    <w:r w:rsidR="007F4D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92380" w14:textId="77777777" w:rsidR="00C0582A" w:rsidRDefault="00C0582A">
      <w:r>
        <w:separator/>
      </w:r>
    </w:p>
  </w:footnote>
  <w:footnote w:type="continuationSeparator" w:id="0">
    <w:p w14:paraId="0AB0C6F6" w14:textId="77777777" w:rsidR="00C0582A" w:rsidRDefault="00C0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C08C" w14:textId="77777777" w:rsidR="00FC2246" w:rsidRDefault="005727BB">
    <w:pPr>
      <w:pStyle w:val="stBilgi"/>
      <w:jc w:val="right"/>
    </w:pPr>
    <w:r>
      <w:rPr>
        <w:noProof/>
      </w:rPr>
      <w:drawing>
        <wp:inline distT="0" distB="0" distL="0" distR="0" wp14:anchorId="2238FFED" wp14:editId="7FBEF7B8">
          <wp:extent cx="1278890" cy="291297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890" cy="291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A6C9C1F" w14:textId="77777777" w:rsidR="00FC2246" w:rsidRDefault="005727BB">
    <w:pPr>
      <w:pStyle w:val="stBilgi"/>
      <w:tabs>
        <w:tab w:val="clear" w:pos="4536"/>
      </w:tabs>
      <w:jc w:val="right"/>
    </w:pPr>
    <w:r>
      <w:rPr>
        <w:b/>
        <w:bCs/>
        <w:color w:val="2F5496"/>
        <w:spacing w:val="56"/>
        <w:sz w:val="6"/>
        <w:szCs w:val="6"/>
        <w:u w:color="2F549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44D04" w14:textId="77777777" w:rsidR="00FC2246" w:rsidRDefault="005727BB">
    <w:pPr>
      <w:pStyle w:val="stBilgi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C3238C4" wp14:editId="0DB898D7">
          <wp:simplePos x="0" y="0"/>
          <wp:positionH relativeFrom="page">
            <wp:posOffset>853438</wp:posOffset>
          </wp:positionH>
          <wp:positionV relativeFrom="page">
            <wp:posOffset>442594</wp:posOffset>
          </wp:positionV>
          <wp:extent cx="1339850" cy="304800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30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24B7C7A" w14:textId="77777777" w:rsidR="00FC2246" w:rsidRDefault="005727BB">
    <w:pPr>
      <w:pStyle w:val="stBilgi"/>
      <w:tabs>
        <w:tab w:val="clear" w:pos="4536"/>
      </w:tabs>
      <w:rPr>
        <w:b/>
        <w:bCs/>
        <w:color w:val="2F5496"/>
        <w:spacing w:val="56"/>
        <w:sz w:val="8"/>
        <w:szCs w:val="8"/>
        <w:u w:color="2F5496"/>
      </w:rPr>
    </w:pPr>
    <w:r>
      <w:rPr>
        <w:b/>
        <w:bCs/>
        <w:color w:val="2F5496"/>
        <w:spacing w:val="56"/>
        <w:sz w:val="20"/>
        <w:szCs w:val="20"/>
        <w:u w:color="2F5496"/>
      </w:rPr>
      <w:t xml:space="preserve">  </w:t>
    </w:r>
  </w:p>
  <w:p w14:paraId="64F32EFB" w14:textId="77777777" w:rsidR="00FC2246" w:rsidRDefault="00FC2246">
    <w:pPr>
      <w:pStyle w:val="stBilgi"/>
      <w:tabs>
        <w:tab w:val="clear" w:pos="4536"/>
      </w:tabs>
      <w:rPr>
        <w:b/>
        <w:bCs/>
        <w:color w:val="2F5496"/>
        <w:sz w:val="20"/>
        <w:szCs w:val="20"/>
        <w:u w:color="2F5496"/>
      </w:rPr>
    </w:pPr>
  </w:p>
  <w:p w14:paraId="605E4B24" w14:textId="77777777" w:rsidR="00FC2246" w:rsidRDefault="005727BB">
    <w:pPr>
      <w:pStyle w:val="GvdeB"/>
      <w:rPr>
        <w:rFonts w:ascii="Calibri" w:eastAsia="Calibri" w:hAnsi="Calibri" w:cs="Calibri"/>
        <w:b/>
        <w:bCs/>
        <w:color w:val="2F5496"/>
        <w:sz w:val="22"/>
        <w:szCs w:val="22"/>
        <w:u w:color="2F5496"/>
      </w:rPr>
    </w:pPr>
    <w:r>
      <w:rPr>
        <w:rFonts w:ascii="Calibri" w:eastAsia="Calibri" w:hAnsi="Calibri" w:cs="Calibri"/>
        <w:b/>
        <w:bCs/>
        <w:color w:val="2F5496"/>
        <w:sz w:val="22"/>
        <w:szCs w:val="22"/>
        <w:u w:color="2F5496"/>
      </w:rPr>
      <w:t>AVRUPA YEŞIL MUTABAKATI TÜRKIYE İŞ DÜNYASINI NASIL ETKILEYECEK?</w:t>
    </w:r>
  </w:p>
  <w:p w14:paraId="1C759CDD" w14:textId="77777777" w:rsidR="00FC2246" w:rsidRDefault="005727BB">
    <w:pPr>
      <w:pStyle w:val="GvdeB"/>
      <w:rPr>
        <w:rFonts w:ascii="Calibri" w:eastAsia="Calibri" w:hAnsi="Calibri" w:cs="Calibri"/>
        <w:b/>
        <w:bCs/>
        <w:color w:val="2F5496"/>
        <w:sz w:val="22"/>
        <w:szCs w:val="22"/>
        <w:u w:color="2F5496"/>
      </w:rPr>
    </w:pPr>
    <w:r>
      <w:rPr>
        <w:rFonts w:ascii="Calibri" w:eastAsia="Calibri" w:hAnsi="Calibri" w:cs="Calibri"/>
        <w:b/>
        <w:bCs/>
        <w:color w:val="2F5496"/>
        <w:sz w:val="22"/>
        <w:szCs w:val="22"/>
        <w:u w:color="2F5496"/>
      </w:rPr>
      <w:t>SİMONE KASLOWSKİ</w:t>
    </w:r>
    <w:r>
      <w:rPr>
        <w:rFonts w:ascii="Calibri" w:eastAsia="Calibri" w:hAnsi="Calibri" w:cs="Calibri"/>
        <w:b/>
        <w:bCs/>
        <w:color w:val="2F5496"/>
        <w:sz w:val="22"/>
        <w:szCs w:val="22"/>
        <w:u w:color="2F5496"/>
      </w:rPr>
      <w:tab/>
    </w:r>
  </w:p>
  <w:p w14:paraId="670F9CA1" w14:textId="77777777" w:rsidR="00FC2246" w:rsidRDefault="005727BB">
    <w:pPr>
      <w:pStyle w:val="GvdeB"/>
      <w:rPr>
        <w:rFonts w:ascii="Calibri" w:eastAsia="Calibri" w:hAnsi="Calibri" w:cs="Calibri"/>
        <w:b/>
        <w:bCs/>
        <w:color w:val="2F5496"/>
        <w:sz w:val="22"/>
        <w:szCs w:val="22"/>
        <w:u w:color="2F5496"/>
      </w:rPr>
    </w:pPr>
    <w:r>
      <w:rPr>
        <w:rFonts w:ascii="Calibri" w:eastAsia="Calibri" w:hAnsi="Calibri" w:cs="Calibri"/>
        <w:b/>
        <w:bCs/>
        <w:color w:val="2F5496"/>
        <w:sz w:val="22"/>
        <w:szCs w:val="22"/>
        <w:u w:color="2F5496"/>
      </w:rPr>
      <w:t>TÜSİAD YÖNETİM KURULU BAŞKANI</w:t>
    </w:r>
  </w:p>
  <w:p w14:paraId="5CF8BE3A" w14:textId="77777777" w:rsidR="00FC2246" w:rsidRDefault="005727BB">
    <w:pPr>
      <w:pStyle w:val="stBilgi"/>
      <w:tabs>
        <w:tab w:val="clear" w:pos="4536"/>
      </w:tabs>
    </w:pPr>
    <w:r>
      <w:rPr>
        <w:b/>
        <w:bCs/>
        <w:color w:val="2F5496"/>
        <w:u w:color="2F5496"/>
      </w:rPr>
      <w:t>11 Eylül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46"/>
    <w:rsid w:val="005727BB"/>
    <w:rsid w:val="007F4D73"/>
    <w:rsid w:val="00C0582A"/>
    <w:rsid w:val="00D565C7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9224"/>
  <w15:docId w15:val="{037E16AA-371D-4CEE-91AB-B17E418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GvdeB">
    <w:name w:val="Gövde B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">
    <w:name w:val="Gövde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klamaBavurusu">
    <w:name w:val="annotation reference"/>
    <w:basedOn w:val="VarsaylanParagrafYazTipi"/>
    <w:uiPriority w:val="99"/>
    <w:semiHidden/>
    <w:unhideWhenUsed/>
    <w:rsid w:val="007F4D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4D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4D73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4D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4D73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4D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D7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Nevra Cankaya</dc:creator>
  <cp:lastModifiedBy>Ceylan Naza</cp:lastModifiedBy>
  <cp:revision>3</cp:revision>
  <dcterms:created xsi:type="dcterms:W3CDTF">2020-09-11T11:14:00Z</dcterms:created>
  <dcterms:modified xsi:type="dcterms:W3CDTF">2020-09-11T12:29:00Z</dcterms:modified>
</cp:coreProperties>
</file>