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99CC1" w14:textId="77777777" w:rsidR="00651EF7" w:rsidRPr="00B61CE4" w:rsidRDefault="00651EF7" w:rsidP="00651EF7">
      <w:pPr>
        <w:spacing w:line="360" w:lineRule="auto"/>
        <w:contextualSpacing/>
        <w:jc w:val="both"/>
        <w:rPr>
          <w:rFonts w:ascii="Verdana" w:hAnsi="Verdana"/>
          <w:b/>
          <w:sz w:val="32"/>
          <w:szCs w:val="32"/>
          <w:u w:val="single"/>
          <w:lang w:val="tr-TR"/>
        </w:rPr>
      </w:pPr>
      <w:r w:rsidRPr="00B61CE4">
        <w:rPr>
          <w:rFonts w:ascii="Verdana" w:hAnsi="Verdana"/>
          <w:b/>
          <w:sz w:val="32"/>
          <w:szCs w:val="32"/>
          <w:u w:val="single"/>
          <w:lang w:val="tr-TR"/>
        </w:rPr>
        <w:t>BASIN BÜLTENİ</w:t>
      </w:r>
    </w:p>
    <w:p w14:paraId="04CF71BB" w14:textId="77777777" w:rsidR="00651EF7" w:rsidRPr="00360F55" w:rsidRDefault="00651EF7" w:rsidP="00651EF7">
      <w:pPr>
        <w:spacing w:line="360" w:lineRule="auto"/>
        <w:contextualSpacing/>
        <w:jc w:val="both"/>
        <w:rPr>
          <w:rFonts w:ascii="Verdana" w:hAnsi="Verdana"/>
          <w:b/>
          <w:sz w:val="26"/>
          <w:szCs w:val="26"/>
          <w:lang w:val="tr-TR"/>
        </w:rPr>
      </w:pPr>
    </w:p>
    <w:p w14:paraId="1A243AB2" w14:textId="16A436C4" w:rsidR="00360F55" w:rsidRDefault="00360F55" w:rsidP="00016259">
      <w:pPr>
        <w:spacing w:line="360" w:lineRule="auto"/>
        <w:contextualSpacing/>
        <w:jc w:val="center"/>
        <w:rPr>
          <w:rFonts w:ascii="Verdana" w:hAnsi="Verdana"/>
          <w:b/>
          <w:bCs/>
          <w:iCs/>
          <w:sz w:val="26"/>
          <w:szCs w:val="26"/>
          <w:lang w:val="tr-TR"/>
        </w:rPr>
      </w:pPr>
      <w:r w:rsidRPr="00360F55">
        <w:rPr>
          <w:rFonts w:ascii="Verdana" w:hAnsi="Verdana"/>
          <w:b/>
          <w:bCs/>
          <w:iCs/>
          <w:sz w:val="26"/>
          <w:szCs w:val="26"/>
          <w:lang w:val="tr-TR"/>
        </w:rPr>
        <w:t>Türkiye, küresel işgücü endeksinde 75 ülke arasında 42. sırada</w:t>
      </w:r>
      <w:r w:rsidRPr="00360F55" w:rsidDel="00360F55">
        <w:rPr>
          <w:rFonts w:ascii="Verdana" w:hAnsi="Verdana"/>
          <w:b/>
          <w:bCs/>
          <w:iCs/>
          <w:sz w:val="26"/>
          <w:szCs w:val="26"/>
          <w:lang w:val="tr-TR"/>
        </w:rPr>
        <w:t xml:space="preserve"> </w:t>
      </w:r>
    </w:p>
    <w:p w14:paraId="0DEA4B03" w14:textId="651DA6A7" w:rsidR="00016259" w:rsidRPr="00360F55" w:rsidRDefault="00360F55" w:rsidP="00016259">
      <w:pPr>
        <w:spacing w:line="360" w:lineRule="auto"/>
        <w:contextualSpacing/>
        <w:jc w:val="center"/>
        <w:rPr>
          <w:rFonts w:ascii="Verdana" w:hAnsi="Verdana"/>
          <w:b/>
          <w:bCs/>
          <w:iCs/>
          <w:sz w:val="26"/>
          <w:szCs w:val="26"/>
          <w:lang w:val="tr-TR"/>
        </w:rPr>
      </w:pPr>
      <w:r w:rsidRPr="00360F55">
        <w:rPr>
          <w:rFonts w:ascii="Verdana" w:hAnsi="Verdana"/>
          <w:b/>
          <w:bCs/>
          <w:iCs/>
          <w:sz w:val="26"/>
          <w:szCs w:val="26"/>
          <w:lang w:val="tr-TR"/>
        </w:rPr>
        <w:t>Zirvede Yeni Zelanda, Hong Kong ve Singapur var</w:t>
      </w:r>
      <w:r w:rsidRPr="00360F55" w:rsidDel="00360F55">
        <w:rPr>
          <w:rFonts w:ascii="Verdana" w:hAnsi="Verdana"/>
          <w:b/>
          <w:bCs/>
          <w:iCs/>
          <w:sz w:val="26"/>
          <w:szCs w:val="26"/>
          <w:lang w:val="tr-TR"/>
        </w:rPr>
        <w:t xml:space="preserve"> </w:t>
      </w:r>
    </w:p>
    <w:p w14:paraId="420EEBC8" w14:textId="77777777" w:rsidR="0020214C" w:rsidRPr="00B61CE4" w:rsidRDefault="0020214C" w:rsidP="00651EF7">
      <w:pPr>
        <w:spacing w:line="360" w:lineRule="auto"/>
        <w:contextualSpacing/>
        <w:jc w:val="both"/>
        <w:rPr>
          <w:rFonts w:ascii="Verdana" w:hAnsi="Verdana"/>
          <w:i/>
          <w:sz w:val="20"/>
          <w:szCs w:val="20"/>
          <w:lang w:val="tr-TR"/>
        </w:rPr>
      </w:pPr>
    </w:p>
    <w:p w14:paraId="0EEAB342" w14:textId="3D8F4D3A" w:rsidR="00016259" w:rsidRPr="0020214C" w:rsidRDefault="00B61CE4" w:rsidP="00016259">
      <w:pPr>
        <w:spacing w:line="360" w:lineRule="auto"/>
        <w:contextualSpacing/>
        <w:jc w:val="center"/>
        <w:rPr>
          <w:rFonts w:ascii="Verdana" w:hAnsi="Verdana"/>
          <w:b/>
          <w:bCs/>
          <w:iCs/>
          <w:sz w:val="24"/>
          <w:szCs w:val="24"/>
          <w:lang w:val="tr-TR"/>
        </w:rPr>
      </w:pPr>
      <w:proofErr w:type="spellStart"/>
      <w:r w:rsidRPr="0020214C">
        <w:rPr>
          <w:rFonts w:ascii="Verdana" w:hAnsi="Verdana"/>
          <w:b/>
          <w:bCs/>
          <w:iCs/>
          <w:sz w:val="24"/>
          <w:szCs w:val="24"/>
          <w:lang w:val="tr-TR"/>
        </w:rPr>
        <w:t>ManpowerGroup</w:t>
      </w:r>
      <w:proofErr w:type="spellEnd"/>
      <w:r w:rsidRPr="0020214C">
        <w:rPr>
          <w:rFonts w:ascii="Verdana" w:hAnsi="Verdana"/>
          <w:b/>
          <w:bCs/>
          <w:iCs/>
          <w:sz w:val="24"/>
          <w:szCs w:val="24"/>
          <w:lang w:val="tr-TR"/>
        </w:rPr>
        <w:t xml:space="preserve"> </w:t>
      </w:r>
      <w:proofErr w:type="spellStart"/>
      <w:r w:rsidRPr="0020214C">
        <w:rPr>
          <w:rFonts w:ascii="Verdana" w:hAnsi="Verdana"/>
          <w:b/>
          <w:bCs/>
          <w:iCs/>
          <w:sz w:val="24"/>
          <w:szCs w:val="24"/>
          <w:lang w:val="tr-TR"/>
        </w:rPr>
        <w:t>Solutions’ın</w:t>
      </w:r>
      <w:proofErr w:type="spellEnd"/>
      <w:r w:rsidR="00F7677A" w:rsidRPr="0020214C">
        <w:rPr>
          <w:rFonts w:ascii="Verdana" w:hAnsi="Verdana"/>
          <w:b/>
          <w:bCs/>
          <w:iCs/>
          <w:sz w:val="24"/>
          <w:szCs w:val="24"/>
          <w:lang w:val="tr-TR"/>
        </w:rPr>
        <w:t xml:space="preserve"> </w:t>
      </w:r>
      <w:r w:rsidR="003327AE">
        <w:rPr>
          <w:rFonts w:ascii="Verdana" w:hAnsi="Verdana"/>
          <w:b/>
          <w:bCs/>
          <w:iCs/>
          <w:sz w:val="24"/>
          <w:szCs w:val="24"/>
          <w:lang w:val="tr-TR"/>
        </w:rPr>
        <w:t>Bütünsel</w:t>
      </w:r>
      <w:r w:rsidRPr="0020214C">
        <w:rPr>
          <w:rFonts w:ascii="Verdana" w:hAnsi="Verdana"/>
          <w:b/>
          <w:bCs/>
          <w:iCs/>
          <w:sz w:val="24"/>
          <w:szCs w:val="24"/>
          <w:lang w:val="tr-TR"/>
        </w:rPr>
        <w:t xml:space="preserve"> İşgücü Endeksi (</w:t>
      </w:r>
      <w:r w:rsidR="00F7677A" w:rsidRPr="0020214C">
        <w:rPr>
          <w:rFonts w:ascii="Verdana" w:hAnsi="Verdana"/>
          <w:b/>
          <w:bCs/>
          <w:iCs/>
          <w:sz w:val="24"/>
          <w:szCs w:val="24"/>
          <w:lang w:val="tr-TR"/>
        </w:rPr>
        <w:t>Total Workforce Index</w:t>
      </w:r>
      <w:r w:rsidR="00F7677A" w:rsidRPr="0020214C">
        <w:rPr>
          <w:rFonts w:ascii="Verdana" w:hAnsi="Verdana"/>
          <w:b/>
          <w:bCs/>
          <w:iCs/>
          <w:sz w:val="24"/>
          <w:szCs w:val="24"/>
          <w:vertAlign w:val="superscript"/>
          <w:lang w:val="tr-TR"/>
        </w:rPr>
        <w:t>TM</w:t>
      </w:r>
      <w:r w:rsidRPr="0020214C">
        <w:rPr>
          <w:rFonts w:ascii="Verdana" w:hAnsi="Verdana"/>
          <w:b/>
          <w:bCs/>
          <w:iCs/>
          <w:sz w:val="24"/>
          <w:szCs w:val="24"/>
          <w:lang w:val="tr-TR"/>
        </w:rPr>
        <w:t xml:space="preserve">, </w:t>
      </w:r>
      <w:r w:rsidR="00F7677A" w:rsidRPr="0020214C">
        <w:rPr>
          <w:rFonts w:ascii="Verdana" w:hAnsi="Verdana"/>
          <w:b/>
          <w:bCs/>
          <w:iCs/>
          <w:sz w:val="24"/>
          <w:szCs w:val="24"/>
          <w:lang w:val="tr-TR"/>
        </w:rPr>
        <w:t xml:space="preserve">TWI) </w:t>
      </w:r>
      <w:r w:rsidRPr="0020214C">
        <w:rPr>
          <w:rFonts w:ascii="Verdana" w:hAnsi="Verdana"/>
          <w:b/>
          <w:bCs/>
          <w:iCs/>
          <w:sz w:val="24"/>
          <w:szCs w:val="24"/>
          <w:lang w:val="tr-TR"/>
        </w:rPr>
        <w:t xml:space="preserve">raporu </w:t>
      </w:r>
      <w:r w:rsidR="0020214C" w:rsidRPr="0020214C">
        <w:rPr>
          <w:rFonts w:ascii="Verdana" w:hAnsi="Verdana"/>
          <w:b/>
          <w:bCs/>
          <w:iCs/>
          <w:sz w:val="24"/>
          <w:szCs w:val="24"/>
          <w:lang w:val="tr-TR"/>
        </w:rPr>
        <w:t>işverenlere</w:t>
      </w:r>
      <w:r w:rsidR="00711BE8" w:rsidRPr="0020214C">
        <w:rPr>
          <w:rFonts w:ascii="Verdana" w:hAnsi="Verdana"/>
          <w:b/>
          <w:bCs/>
          <w:iCs/>
          <w:sz w:val="24"/>
          <w:szCs w:val="24"/>
          <w:lang w:val="tr-TR"/>
        </w:rPr>
        <w:t xml:space="preserve">, </w:t>
      </w:r>
      <w:r w:rsidR="00002B76" w:rsidRPr="0020214C">
        <w:rPr>
          <w:rFonts w:ascii="Verdana" w:hAnsi="Verdana"/>
          <w:b/>
          <w:bCs/>
          <w:iCs/>
          <w:sz w:val="24"/>
          <w:szCs w:val="24"/>
          <w:lang w:val="tr-TR"/>
        </w:rPr>
        <w:t xml:space="preserve">75 farklı </w:t>
      </w:r>
      <w:r w:rsidR="0020214C" w:rsidRPr="0020214C">
        <w:rPr>
          <w:rFonts w:ascii="Verdana" w:hAnsi="Verdana"/>
          <w:b/>
          <w:bCs/>
          <w:iCs/>
          <w:sz w:val="24"/>
          <w:szCs w:val="24"/>
          <w:lang w:val="tr-TR"/>
        </w:rPr>
        <w:t>istihdam</w:t>
      </w:r>
      <w:r w:rsidR="00002B76" w:rsidRPr="0020214C">
        <w:rPr>
          <w:rFonts w:ascii="Verdana" w:hAnsi="Verdana"/>
          <w:b/>
          <w:bCs/>
          <w:iCs/>
          <w:sz w:val="24"/>
          <w:szCs w:val="24"/>
          <w:lang w:val="tr-TR"/>
        </w:rPr>
        <w:t xml:space="preserve"> pazarı hakkı</w:t>
      </w:r>
      <w:r w:rsidR="00711BE8" w:rsidRPr="0020214C">
        <w:rPr>
          <w:rFonts w:ascii="Verdana" w:hAnsi="Verdana"/>
          <w:b/>
          <w:bCs/>
          <w:iCs/>
          <w:sz w:val="24"/>
          <w:szCs w:val="24"/>
          <w:lang w:val="tr-TR"/>
        </w:rPr>
        <w:t>nda kapsamlı analizler sunuyor.</w:t>
      </w:r>
      <w:r w:rsidR="0020214C" w:rsidRPr="0020214C">
        <w:rPr>
          <w:rFonts w:ascii="Verdana" w:hAnsi="Verdana"/>
          <w:b/>
          <w:bCs/>
          <w:iCs/>
          <w:sz w:val="24"/>
          <w:szCs w:val="24"/>
          <w:lang w:val="tr-TR"/>
        </w:rPr>
        <w:t xml:space="preserve"> </w:t>
      </w:r>
      <w:r w:rsidR="00711BE8" w:rsidRPr="0020214C">
        <w:rPr>
          <w:rFonts w:ascii="Verdana" w:hAnsi="Verdana"/>
          <w:b/>
          <w:bCs/>
          <w:iCs/>
          <w:sz w:val="24"/>
          <w:szCs w:val="24"/>
          <w:lang w:val="tr-TR"/>
        </w:rPr>
        <w:t xml:space="preserve">Raporda dört kategori </w:t>
      </w:r>
      <w:r w:rsidR="0020214C" w:rsidRPr="0020214C">
        <w:rPr>
          <w:rFonts w:ascii="Verdana" w:hAnsi="Verdana"/>
          <w:b/>
          <w:bCs/>
          <w:iCs/>
          <w:sz w:val="24"/>
          <w:szCs w:val="24"/>
          <w:lang w:val="tr-TR"/>
        </w:rPr>
        <w:t>(kalifiye çalışan potansiyeli, maliyet, reg</w:t>
      </w:r>
      <w:bookmarkStart w:id="0" w:name="_GoBack"/>
      <w:bookmarkEnd w:id="0"/>
      <w:r w:rsidR="0020214C" w:rsidRPr="0020214C">
        <w:rPr>
          <w:rFonts w:ascii="Verdana" w:hAnsi="Verdana"/>
          <w:b/>
          <w:bCs/>
          <w:iCs/>
          <w:sz w:val="24"/>
          <w:szCs w:val="24"/>
          <w:lang w:val="tr-TR"/>
        </w:rPr>
        <w:t xml:space="preserve">ülasyon ve üretkenlik) </w:t>
      </w:r>
      <w:r w:rsidR="00711BE8" w:rsidRPr="0020214C">
        <w:rPr>
          <w:rFonts w:ascii="Verdana" w:hAnsi="Verdana"/>
          <w:b/>
          <w:bCs/>
          <w:iCs/>
          <w:sz w:val="24"/>
          <w:szCs w:val="24"/>
          <w:lang w:val="tr-TR"/>
        </w:rPr>
        <w:t>altındaki 90’ın üzerind</w:t>
      </w:r>
      <w:r w:rsidR="0020214C" w:rsidRPr="0020214C">
        <w:rPr>
          <w:rFonts w:ascii="Verdana" w:hAnsi="Verdana"/>
          <w:b/>
          <w:bCs/>
          <w:iCs/>
          <w:sz w:val="24"/>
          <w:szCs w:val="24"/>
          <w:lang w:val="tr-TR"/>
        </w:rPr>
        <w:t>e faktör değerlendirilmiş</w:t>
      </w:r>
      <w:r w:rsidR="00F7677A" w:rsidRPr="0020214C">
        <w:rPr>
          <w:rFonts w:ascii="Verdana" w:hAnsi="Verdana"/>
          <w:b/>
          <w:bCs/>
          <w:iCs/>
          <w:sz w:val="24"/>
          <w:szCs w:val="24"/>
          <w:lang w:val="tr-TR"/>
        </w:rPr>
        <w:t>.</w:t>
      </w:r>
      <w:bookmarkStart w:id="1" w:name="_kfr63hnoam6"/>
      <w:bookmarkEnd w:id="1"/>
      <w:r w:rsidR="0020214C" w:rsidRPr="0020214C">
        <w:rPr>
          <w:rFonts w:ascii="Verdana" w:hAnsi="Verdana"/>
          <w:b/>
          <w:bCs/>
          <w:iCs/>
          <w:sz w:val="24"/>
          <w:szCs w:val="24"/>
          <w:lang w:val="tr-TR"/>
        </w:rPr>
        <w:t xml:space="preserve"> TWI raporuna göre işverenler için en çekici ülkeler regülasyon, kalifiye çalışan sayısı ve yüksek üretkenlik seviyesiyle Yeni Zelanda, Hong Kong, Singapur, Kanada ve ABD</w:t>
      </w:r>
      <w:r w:rsidR="00F7677A" w:rsidRPr="0020214C">
        <w:rPr>
          <w:rFonts w:ascii="Verdana" w:hAnsi="Verdana"/>
          <w:b/>
          <w:bCs/>
          <w:iCs/>
          <w:sz w:val="24"/>
          <w:szCs w:val="24"/>
          <w:lang w:val="tr-TR"/>
        </w:rPr>
        <w:t>.</w:t>
      </w:r>
      <w:r w:rsidR="00016259">
        <w:rPr>
          <w:rFonts w:ascii="Verdana" w:hAnsi="Verdana"/>
          <w:b/>
          <w:bCs/>
          <w:iCs/>
          <w:sz w:val="24"/>
          <w:szCs w:val="24"/>
          <w:lang w:val="tr-TR"/>
        </w:rPr>
        <w:t xml:space="preserve"> Türkiye ise 2,27’lik skoruyla listenin 42’inci sırasında yer alıyor.</w:t>
      </w:r>
    </w:p>
    <w:p w14:paraId="0926FCCC" w14:textId="77777777" w:rsidR="00F7677A" w:rsidRPr="00B61CE4" w:rsidRDefault="00F7677A" w:rsidP="00651EF7">
      <w:pPr>
        <w:spacing w:line="360" w:lineRule="auto"/>
        <w:contextualSpacing/>
        <w:jc w:val="both"/>
        <w:rPr>
          <w:rFonts w:ascii="Verdana" w:hAnsi="Verdana"/>
          <w:i/>
          <w:sz w:val="20"/>
          <w:szCs w:val="20"/>
          <w:lang w:val="tr-TR"/>
        </w:rPr>
      </w:pPr>
    </w:p>
    <w:p w14:paraId="37BCDB2D" w14:textId="2FEEBEA0" w:rsidR="00F7677A" w:rsidRPr="00B61CE4" w:rsidRDefault="00F7677A" w:rsidP="00651EF7">
      <w:pPr>
        <w:spacing w:line="360" w:lineRule="auto"/>
        <w:contextualSpacing/>
        <w:jc w:val="both"/>
        <w:rPr>
          <w:rFonts w:ascii="Verdana" w:hAnsi="Verdana"/>
          <w:sz w:val="20"/>
          <w:szCs w:val="20"/>
          <w:lang w:val="tr-TR"/>
        </w:rPr>
      </w:pPr>
      <w:r w:rsidRPr="00B61CE4">
        <w:rPr>
          <w:rFonts w:ascii="Verdana" w:hAnsi="Verdana"/>
          <w:sz w:val="20"/>
          <w:szCs w:val="20"/>
          <w:lang w:val="tr-TR"/>
        </w:rPr>
        <w:t>ManpowerGroup Solutions</w:t>
      </w:r>
      <w:r w:rsidR="00B151EA">
        <w:rPr>
          <w:rFonts w:ascii="Verdana" w:hAnsi="Verdana"/>
          <w:sz w:val="20"/>
          <w:szCs w:val="20"/>
          <w:lang w:val="tr-TR"/>
        </w:rPr>
        <w:t>,</w:t>
      </w:r>
      <w:r w:rsidRPr="00B61CE4">
        <w:rPr>
          <w:rFonts w:ascii="Verdana" w:hAnsi="Verdana"/>
          <w:sz w:val="20"/>
          <w:szCs w:val="20"/>
          <w:lang w:val="tr-TR"/>
        </w:rPr>
        <w:t xml:space="preserve"> </w:t>
      </w:r>
      <w:r w:rsidR="00B151EA">
        <w:rPr>
          <w:rFonts w:ascii="Verdana" w:hAnsi="Verdana"/>
          <w:sz w:val="20"/>
          <w:szCs w:val="20"/>
          <w:lang w:val="tr-TR"/>
        </w:rPr>
        <w:t xml:space="preserve">ilk </w:t>
      </w:r>
      <w:r w:rsidR="003327AE">
        <w:rPr>
          <w:rFonts w:ascii="Verdana" w:hAnsi="Verdana"/>
          <w:sz w:val="20"/>
          <w:szCs w:val="20"/>
          <w:lang w:val="tr-TR"/>
        </w:rPr>
        <w:t>Bütünsel</w:t>
      </w:r>
      <w:r w:rsidR="00B151EA">
        <w:rPr>
          <w:rFonts w:ascii="Verdana" w:hAnsi="Verdana"/>
          <w:sz w:val="20"/>
          <w:szCs w:val="20"/>
          <w:lang w:val="tr-TR"/>
        </w:rPr>
        <w:t xml:space="preserve"> İşgücü Endeksi (</w:t>
      </w:r>
      <w:r w:rsidRPr="00B61CE4">
        <w:rPr>
          <w:rFonts w:ascii="Verdana" w:hAnsi="Verdana"/>
          <w:sz w:val="20"/>
          <w:szCs w:val="20"/>
          <w:lang w:val="tr-TR"/>
        </w:rPr>
        <w:t>Total Workforce Index</w:t>
      </w:r>
      <w:r w:rsidRPr="00B61CE4">
        <w:rPr>
          <w:rFonts w:ascii="Verdana" w:hAnsi="Verdana"/>
          <w:sz w:val="20"/>
          <w:szCs w:val="20"/>
          <w:vertAlign w:val="superscript"/>
          <w:lang w:val="tr-TR"/>
        </w:rPr>
        <w:t>TM</w:t>
      </w:r>
      <w:r w:rsidR="00B151EA">
        <w:rPr>
          <w:rFonts w:ascii="Verdana" w:hAnsi="Verdana"/>
          <w:sz w:val="20"/>
          <w:szCs w:val="20"/>
          <w:lang w:val="tr-TR"/>
        </w:rPr>
        <w:t>, TWI)</w:t>
      </w:r>
      <w:r w:rsidRPr="00B61CE4">
        <w:rPr>
          <w:rFonts w:ascii="Verdana" w:hAnsi="Verdana"/>
          <w:sz w:val="20"/>
          <w:szCs w:val="20"/>
          <w:lang w:val="tr-TR"/>
        </w:rPr>
        <w:t xml:space="preserve"> </w:t>
      </w:r>
      <w:r w:rsidR="00B151EA">
        <w:rPr>
          <w:rFonts w:ascii="Verdana" w:hAnsi="Verdana"/>
          <w:sz w:val="20"/>
          <w:szCs w:val="20"/>
          <w:lang w:val="tr-TR"/>
        </w:rPr>
        <w:t>raporunu yayınladı</w:t>
      </w:r>
      <w:r w:rsidRPr="00B61CE4">
        <w:rPr>
          <w:rFonts w:ascii="Verdana" w:hAnsi="Verdana"/>
          <w:sz w:val="20"/>
          <w:szCs w:val="20"/>
          <w:lang w:val="tr-TR"/>
        </w:rPr>
        <w:t xml:space="preserve">. </w:t>
      </w:r>
      <w:r w:rsidR="00B151EA">
        <w:rPr>
          <w:rFonts w:ascii="Verdana" w:hAnsi="Verdana"/>
          <w:sz w:val="20"/>
          <w:szCs w:val="20"/>
          <w:lang w:val="tr-TR"/>
        </w:rPr>
        <w:t xml:space="preserve">Raporda, yüksek teknoloji ve katılımcılarla bire bir temas yardımıyla oluşturulan ve bu özelliğiyle türünün tek örneği olan </w:t>
      </w:r>
      <w:r w:rsidR="003327AE">
        <w:rPr>
          <w:rFonts w:ascii="Verdana" w:hAnsi="Verdana"/>
          <w:sz w:val="20"/>
          <w:szCs w:val="20"/>
          <w:lang w:val="tr-TR"/>
        </w:rPr>
        <w:t>Bütünsel</w:t>
      </w:r>
      <w:r w:rsidR="00B151EA">
        <w:rPr>
          <w:rFonts w:ascii="Verdana" w:hAnsi="Verdana"/>
          <w:sz w:val="20"/>
          <w:szCs w:val="20"/>
          <w:lang w:val="tr-TR"/>
        </w:rPr>
        <w:t xml:space="preserve"> İşgücü Endeksi’nin bulgularına yer verildi.</w:t>
      </w:r>
      <w:r w:rsidRPr="00B61CE4">
        <w:rPr>
          <w:rFonts w:ascii="Verdana" w:hAnsi="Verdana"/>
          <w:sz w:val="20"/>
          <w:szCs w:val="20"/>
          <w:lang w:val="tr-TR"/>
        </w:rPr>
        <w:t xml:space="preserve"> </w:t>
      </w:r>
      <w:r w:rsidR="00B151EA">
        <w:rPr>
          <w:rFonts w:ascii="Verdana" w:hAnsi="Verdana"/>
          <w:sz w:val="20"/>
          <w:szCs w:val="20"/>
          <w:lang w:val="tr-TR"/>
        </w:rPr>
        <w:t xml:space="preserve">Endekste uzman görüşleri </w:t>
      </w:r>
      <w:r w:rsidR="003327AE">
        <w:rPr>
          <w:rFonts w:ascii="Verdana" w:hAnsi="Verdana"/>
          <w:sz w:val="20"/>
          <w:szCs w:val="20"/>
          <w:lang w:val="tr-TR"/>
        </w:rPr>
        <w:t>benzersiz bir formülle birleştirilerek pazarların işgücü potansiyeli</w:t>
      </w:r>
      <w:r w:rsidR="00401683">
        <w:rPr>
          <w:rFonts w:ascii="Verdana" w:hAnsi="Verdana"/>
          <w:sz w:val="20"/>
          <w:szCs w:val="20"/>
          <w:lang w:val="tr-TR"/>
        </w:rPr>
        <w:t>ni</w:t>
      </w:r>
      <w:r w:rsidR="003327AE">
        <w:rPr>
          <w:rFonts w:ascii="Verdana" w:hAnsi="Verdana"/>
          <w:sz w:val="20"/>
          <w:szCs w:val="20"/>
          <w:lang w:val="tr-TR"/>
        </w:rPr>
        <w:t xml:space="preserve"> karşılaştırmak ve böylece şirketlerin işgücü stratejilerini iş hedeflerine uygun hale getirmesine yardımcı olmak hedeflendi. Böylece şirketler geniş kapsamlı verilerden ve </w:t>
      </w:r>
      <w:r w:rsidRPr="00B61CE4">
        <w:rPr>
          <w:rFonts w:ascii="Verdana" w:hAnsi="Verdana"/>
          <w:sz w:val="20"/>
          <w:szCs w:val="20"/>
          <w:lang w:val="tr-TR"/>
        </w:rPr>
        <w:t>ManpowerGroup Solutions’</w:t>
      </w:r>
      <w:r w:rsidR="003327AE">
        <w:rPr>
          <w:rFonts w:ascii="Verdana" w:hAnsi="Verdana"/>
          <w:sz w:val="20"/>
          <w:szCs w:val="20"/>
          <w:lang w:val="tr-TR"/>
        </w:rPr>
        <w:t>ın sektör lideri deneyiminden faydalanarak, bütün kalıcı ve geçici işgücü türlerini kapsayan kalifikasyon, maliyet, üretkenlik ve regülasyon temelli bir Bütünsel Yetenek Yönetimi yaklaşımı geliştirebilecek ve iş süreçlerine uygulayabilecek</w:t>
      </w:r>
      <w:r w:rsidRPr="00B61CE4">
        <w:rPr>
          <w:rFonts w:ascii="Verdana" w:hAnsi="Verdana"/>
          <w:sz w:val="20"/>
          <w:szCs w:val="20"/>
          <w:lang w:val="tr-TR"/>
        </w:rPr>
        <w:t xml:space="preserve">. </w:t>
      </w:r>
    </w:p>
    <w:p w14:paraId="6331289C" w14:textId="77777777" w:rsidR="00F7677A" w:rsidRPr="00B61CE4" w:rsidRDefault="00F7677A" w:rsidP="00651EF7">
      <w:pPr>
        <w:spacing w:line="360" w:lineRule="auto"/>
        <w:contextualSpacing/>
        <w:jc w:val="both"/>
        <w:rPr>
          <w:rFonts w:ascii="Verdana" w:hAnsi="Verdana"/>
          <w:color w:val="333333"/>
          <w:sz w:val="20"/>
          <w:szCs w:val="20"/>
          <w:highlight w:val="white"/>
          <w:lang w:val="tr-TR"/>
        </w:rPr>
      </w:pPr>
    </w:p>
    <w:p w14:paraId="6FEFCBA6" w14:textId="77777777" w:rsidR="00F7677A" w:rsidRPr="00B61CE4" w:rsidRDefault="0034191A" w:rsidP="00651EF7">
      <w:pPr>
        <w:spacing w:line="360" w:lineRule="auto"/>
        <w:contextualSpacing/>
        <w:jc w:val="both"/>
        <w:rPr>
          <w:rFonts w:ascii="Verdana" w:hAnsi="Verdana"/>
          <w:sz w:val="20"/>
          <w:szCs w:val="20"/>
          <w:lang w:val="tr-TR"/>
        </w:rPr>
      </w:pPr>
      <w:r>
        <w:rPr>
          <w:rFonts w:ascii="Verdana" w:hAnsi="Verdana"/>
          <w:sz w:val="20"/>
          <w:szCs w:val="20"/>
          <w:lang w:val="tr-TR"/>
        </w:rPr>
        <w:t xml:space="preserve">Bütünsel İşgücü Endeksinde (TWI) toplam 75 işgücü pazarına yönelik küresel bir analiz yapıldı ve kalifiye çalışan, üretkenlik, maliyet ve regülasyonlar açısından işverenler için en avantajlı ülkeler belirlendi. 2017 yılının en avantajlı ülkeleri arasında Yeni Zelanda, Hong Kong ve Singapur başı çekiyor. </w:t>
      </w:r>
      <w:r w:rsidR="00F7677A" w:rsidRPr="00B61CE4">
        <w:rPr>
          <w:rFonts w:ascii="Verdana" w:hAnsi="Verdana"/>
          <w:sz w:val="20"/>
          <w:szCs w:val="20"/>
          <w:lang w:val="tr-TR"/>
        </w:rPr>
        <w:t xml:space="preserve">TWI </w:t>
      </w:r>
      <w:r>
        <w:rPr>
          <w:rFonts w:ascii="Verdana" w:hAnsi="Verdana"/>
          <w:sz w:val="20"/>
          <w:szCs w:val="20"/>
          <w:lang w:val="tr-TR"/>
        </w:rPr>
        <w:t>sıralamaları aynı zamanda şirketlerin kısa ve uzun vadeli büyüme stratejilerinde kullanabilecekleri Büyük Veriler ve güncel içgörüler sunuyor.</w:t>
      </w:r>
      <w:r w:rsidR="00F7677A" w:rsidRPr="00B61CE4">
        <w:rPr>
          <w:rFonts w:ascii="Verdana" w:hAnsi="Verdana"/>
          <w:sz w:val="20"/>
          <w:szCs w:val="20"/>
          <w:lang w:val="tr-TR"/>
        </w:rPr>
        <w:t xml:space="preserve"> </w:t>
      </w:r>
      <w:r>
        <w:rPr>
          <w:rFonts w:ascii="Verdana" w:hAnsi="Verdana"/>
          <w:sz w:val="20"/>
          <w:szCs w:val="20"/>
          <w:lang w:val="tr-TR"/>
        </w:rPr>
        <w:t>Ülke sıralamasında kalifikasyon, maliyet, regülasyonlar ve üretkenlik aynı önemde değerlendiriliyor ancak bu algoritma şirketlerin farklı işgücü önceliklerini yansıtacak şekilde de özelleştirilebiliyor.</w:t>
      </w:r>
      <w:r w:rsidR="00F7677A" w:rsidRPr="00B61CE4">
        <w:rPr>
          <w:rFonts w:ascii="Verdana" w:hAnsi="Verdana"/>
          <w:sz w:val="20"/>
          <w:szCs w:val="20"/>
          <w:lang w:val="tr-TR"/>
        </w:rPr>
        <w:t xml:space="preserve"> </w:t>
      </w:r>
    </w:p>
    <w:p w14:paraId="5D649D7C" w14:textId="77777777" w:rsidR="00F7677A" w:rsidRPr="00B61CE4" w:rsidRDefault="0034191A" w:rsidP="00651EF7">
      <w:pPr>
        <w:spacing w:line="360" w:lineRule="auto"/>
        <w:contextualSpacing/>
        <w:jc w:val="both"/>
        <w:rPr>
          <w:rFonts w:ascii="Verdana" w:hAnsi="Verdana"/>
          <w:sz w:val="20"/>
          <w:szCs w:val="20"/>
          <w:lang w:val="tr-TR"/>
        </w:rPr>
      </w:pPr>
      <w:r>
        <w:rPr>
          <w:rFonts w:ascii="Verdana" w:hAnsi="Verdana"/>
          <w:sz w:val="20"/>
          <w:szCs w:val="20"/>
          <w:lang w:val="tr-TR"/>
        </w:rPr>
        <w:lastRenderedPageBreak/>
        <w:t xml:space="preserve"> </w:t>
      </w:r>
    </w:p>
    <w:p w14:paraId="77FA7363" w14:textId="64D2919D" w:rsidR="00F7677A" w:rsidRDefault="00401683" w:rsidP="00851A9C">
      <w:pPr>
        <w:spacing w:line="360" w:lineRule="auto"/>
        <w:contextualSpacing/>
        <w:jc w:val="both"/>
        <w:rPr>
          <w:rFonts w:ascii="Verdana" w:hAnsi="Verdana"/>
          <w:sz w:val="20"/>
          <w:szCs w:val="20"/>
          <w:lang w:val="tr-TR"/>
        </w:rPr>
      </w:pPr>
      <w:r>
        <w:rPr>
          <w:rFonts w:ascii="Verdana" w:hAnsi="Verdana" w:cs="Times New Roman"/>
          <w:sz w:val="20"/>
          <w:szCs w:val="20"/>
          <w:lang w:val="tr-TR" w:eastAsia="en-GB"/>
        </w:rPr>
        <w:t>Manpower</w:t>
      </w:r>
      <w:r w:rsidR="00F636D1" w:rsidRPr="00504276">
        <w:rPr>
          <w:rFonts w:ascii="Verdana" w:hAnsi="Verdana" w:cs="Times New Roman"/>
          <w:sz w:val="20"/>
          <w:szCs w:val="20"/>
          <w:lang w:val="tr-TR" w:eastAsia="en-GB"/>
        </w:rPr>
        <w:t xml:space="preserve"> Türkiye Genel Müdürü Reha Hatipoğlu</w:t>
      </w:r>
      <w:r w:rsidR="00F636D1">
        <w:rPr>
          <w:rFonts w:ascii="Verdana" w:hAnsi="Verdana"/>
          <w:sz w:val="20"/>
          <w:szCs w:val="20"/>
          <w:lang w:val="tr-TR"/>
        </w:rPr>
        <w:t xml:space="preserve">, çalışma hakkında şunları söyledi: </w:t>
      </w:r>
      <w:r w:rsidR="00F7677A" w:rsidRPr="00B61CE4">
        <w:rPr>
          <w:rFonts w:ascii="Verdana" w:hAnsi="Verdana"/>
          <w:sz w:val="20"/>
          <w:szCs w:val="20"/>
          <w:lang w:val="tr-TR"/>
        </w:rPr>
        <w:t>“</w:t>
      </w:r>
      <w:r w:rsidR="00305B4F">
        <w:rPr>
          <w:rFonts w:ascii="Verdana" w:hAnsi="Verdana"/>
          <w:sz w:val="20"/>
          <w:szCs w:val="20"/>
          <w:lang w:val="tr-TR"/>
        </w:rPr>
        <w:t>Şirketlerin operasyon merkezi seçimlerinde kalifiye işgücüne erişim ve etkin işgücü politikası, sermayeye ve diğer ekonomik etkenlere erişim kadar önemlidir. Yeni Bütünsel İşgücü Endeksi (TWI) sayesinde bu formülü, şirketlerin kendi önceliklerine uygun şekilde geliştirebiliyoruz. İşverenler endeks verilerini ve bizim sunduğumuz içgörüleri hızlıca birleştirerek, ihtiyaç duydukları özelliklere sahip bir işgücü geliştirebiliyor. TWI’ın sunduğu küresel sıralam</w:t>
      </w:r>
      <w:r w:rsidR="00851A9C">
        <w:rPr>
          <w:rFonts w:ascii="Verdana" w:hAnsi="Verdana"/>
          <w:sz w:val="20"/>
          <w:szCs w:val="20"/>
          <w:lang w:val="tr-TR"/>
        </w:rPr>
        <w:t>a da gösteriyor ki hiçbir ülke, şirketlerin hızlıca operasyon başlatabilecekleri bir ortam sunmak konusunda</w:t>
      </w:r>
      <w:r w:rsidR="00305B4F">
        <w:rPr>
          <w:rFonts w:ascii="Verdana" w:hAnsi="Verdana"/>
          <w:sz w:val="20"/>
          <w:szCs w:val="20"/>
          <w:lang w:val="tr-TR"/>
        </w:rPr>
        <w:t xml:space="preserve"> mükemmel değil. </w:t>
      </w:r>
      <w:r w:rsidR="00851A9C">
        <w:rPr>
          <w:rFonts w:ascii="Verdana" w:hAnsi="Verdana"/>
          <w:sz w:val="20"/>
          <w:szCs w:val="20"/>
          <w:lang w:val="tr-TR"/>
        </w:rPr>
        <w:t xml:space="preserve">Ancak etkili işgücü regülasyonuna, </w:t>
      </w:r>
      <w:proofErr w:type="gramStart"/>
      <w:r w:rsidR="00851A9C">
        <w:rPr>
          <w:rFonts w:ascii="Verdana" w:hAnsi="Verdana"/>
          <w:sz w:val="20"/>
          <w:szCs w:val="20"/>
          <w:lang w:val="tr-TR"/>
        </w:rPr>
        <w:t>kalifikasyon</w:t>
      </w:r>
      <w:proofErr w:type="gramEnd"/>
      <w:r w:rsidR="00851A9C">
        <w:rPr>
          <w:rFonts w:ascii="Verdana" w:hAnsi="Verdana"/>
          <w:sz w:val="20"/>
          <w:szCs w:val="20"/>
          <w:lang w:val="tr-TR"/>
        </w:rPr>
        <w:t xml:space="preserve"> ve yetenek erişimine önem veren Kanada, İrlanda, Yeni Zelanda ve Singapur gibi ülkeler bu konuda ipi göğüslüyor.</w:t>
      </w:r>
      <w:r w:rsidR="00016259">
        <w:rPr>
          <w:rFonts w:ascii="Verdana" w:hAnsi="Verdana"/>
          <w:sz w:val="20"/>
          <w:szCs w:val="20"/>
          <w:lang w:val="tr-TR"/>
        </w:rPr>
        <w:t xml:space="preserve"> Ülkemiz ise yüksek yetenek açığı ve istihdam sorunları nedeniyle listenin 42’inci sırasında yer alıyor.</w:t>
      </w:r>
      <w:r w:rsidR="00851A9C">
        <w:rPr>
          <w:rFonts w:ascii="Verdana" w:hAnsi="Verdana"/>
          <w:sz w:val="20"/>
          <w:szCs w:val="20"/>
          <w:lang w:val="tr-TR"/>
        </w:rPr>
        <w:t>”</w:t>
      </w:r>
    </w:p>
    <w:p w14:paraId="5E2998E5" w14:textId="77777777" w:rsidR="00851A9C" w:rsidRDefault="00851A9C" w:rsidP="00851A9C">
      <w:pPr>
        <w:spacing w:line="360" w:lineRule="auto"/>
        <w:contextualSpacing/>
        <w:jc w:val="both"/>
        <w:rPr>
          <w:rFonts w:ascii="Verdana" w:hAnsi="Verdana"/>
          <w:sz w:val="20"/>
          <w:szCs w:val="20"/>
          <w:lang w:val="tr-TR"/>
        </w:rPr>
      </w:pPr>
    </w:p>
    <w:p w14:paraId="7CDB73D0" w14:textId="2B0B3E04" w:rsidR="00B0276D" w:rsidRDefault="00874253" w:rsidP="00851A9C">
      <w:pPr>
        <w:spacing w:line="360" w:lineRule="auto"/>
        <w:contextualSpacing/>
        <w:jc w:val="both"/>
        <w:rPr>
          <w:rFonts w:ascii="Verdana" w:hAnsi="Verdana"/>
          <w:sz w:val="20"/>
          <w:szCs w:val="20"/>
          <w:lang w:val="tr-TR"/>
        </w:rPr>
      </w:pPr>
      <w:r>
        <w:rPr>
          <w:rFonts w:ascii="Verdana" w:hAnsi="Verdana"/>
          <w:sz w:val="20"/>
          <w:szCs w:val="20"/>
          <w:lang w:val="tr-TR"/>
        </w:rPr>
        <w:t xml:space="preserve">Reha Hatipoğlu, </w:t>
      </w:r>
      <w:r w:rsidR="00B0276D">
        <w:rPr>
          <w:rFonts w:ascii="Verdana" w:hAnsi="Verdana"/>
          <w:sz w:val="20"/>
          <w:szCs w:val="20"/>
          <w:lang w:val="tr-TR"/>
        </w:rPr>
        <w:t xml:space="preserve">Bütünsel İşgücü Endeksinde (TWI) </w:t>
      </w:r>
      <w:r>
        <w:rPr>
          <w:rFonts w:ascii="Verdana" w:hAnsi="Verdana"/>
          <w:sz w:val="20"/>
          <w:szCs w:val="20"/>
          <w:lang w:val="tr-TR"/>
        </w:rPr>
        <w:t xml:space="preserve">Türkiye’nin </w:t>
      </w:r>
      <w:r w:rsidR="00B0276D">
        <w:rPr>
          <w:rFonts w:ascii="Verdana" w:hAnsi="Verdana"/>
          <w:sz w:val="20"/>
          <w:szCs w:val="20"/>
          <w:lang w:val="tr-TR"/>
        </w:rPr>
        <w:t xml:space="preserve">bu alandaki konumu hakkında şu yorumlarda bulundu: </w:t>
      </w:r>
      <w:r w:rsidR="00FB3E21">
        <w:rPr>
          <w:rFonts w:ascii="Verdana" w:hAnsi="Verdana"/>
          <w:sz w:val="20"/>
          <w:szCs w:val="20"/>
          <w:lang w:val="tr-TR"/>
        </w:rPr>
        <w:t>“</w:t>
      </w:r>
      <w:bookmarkStart w:id="2" w:name="_Hlk496188028"/>
      <w:r w:rsidR="00FB3E21">
        <w:rPr>
          <w:rFonts w:ascii="Verdana" w:hAnsi="Verdana"/>
          <w:sz w:val="20"/>
          <w:szCs w:val="20"/>
          <w:lang w:val="tr-TR"/>
        </w:rPr>
        <w:t xml:space="preserve">Türkiye’de işgücü maliyeti, özellikle işverenin üzerindeki vergi yükleri nedeniyle hala diğer ülkelere göre </w:t>
      </w:r>
      <w:r w:rsidR="00953557">
        <w:rPr>
          <w:rFonts w:ascii="Verdana" w:hAnsi="Verdana"/>
          <w:sz w:val="20"/>
          <w:szCs w:val="20"/>
          <w:lang w:val="tr-TR"/>
        </w:rPr>
        <w:t xml:space="preserve">daha </w:t>
      </w:r>
      <w:r w:rsidR="00FB3E21">
        <w:rPr>
          <w:rFonts w:ascii="Verdana" w:hAnsi="Verdana"/>
          <w:sz w:val="20"/>
          <w:szCs w:val="20"/>
          <w:lang w:val="tr-TR"/>
        </w:rPr>
        <w:t>yüksek</w:t>
      </w:r>
      <w:bookmarkEnd w:id="2"/>
      <w:r w:rsidR="00FB3E21">
        <w:rPr>
          <w:rFonts w:ascii="Verdana" w:hAnsi="Verdana"/>
          <w:sz w:val="20"/>
          <w:szCs w:val="20"/>
          <w:lang w:val="tr-TR"/>
        </w:rPr>
        <w:t xml:space="preserve">. Yetenek açığı araştırmamıza göre de Türkiye’deki yetenek açığı dünya ortalamasının yaklaşık </w:t>
      </w:r>
      <w:r w:rsidR="00953557">
        <w:rPr>
          <w:rFonts w:ascii="Verdana" w:hAnsi="Verdana"/>
          <w:sz w:val="20"/>
          <w:szCs w:val="20"/>
          <w:lang w:val="tr-TR"/>
        </w:rPr>
        <w:t>iki</w:t>
      </w:r>
      <w:r w:rsidR="00FB3E21">
        <w:rPr>
          <w:rFonts w:ascii="Verdana" w:hAnsi="Verdana"/>
          <w:sz w:val="20"/>
          <w:szCs w:val="20"/>
          <w:lang w:val="tr-TR"/>
        </w:rPr>
        <w:t xml:space="preserve"> katı. Bu iki veri birleşince, işverenlerin Türkiye’de yatırım iştahının </w:t>
      </w:r>
      <w:r w:rsidR="00953557">
        <w:rPr>
          <w:rFonts w:ascii="Verdana" w:hAnsi="Verdana"/>
          <w:sz w:val="20"/>
          <w:szCs w:val="20"/>
          <w:lang w:val="tr-TR"/>
        </w:rPr>
        <w:t xml:space="preserve">pek </w:t>
      </w:r>
      <w:r w:rsidR="00FB3E21">
        <w:rPr>
          <w:rFonts w:ascii="Verdana" w:hAnsi="Verdana"/>
          <w:sz w:val="20"/>
          <w:szCs w:val="20"/>
          <w:lang w:val="tr-TR"/>
        </w:rPr>
        <w:t>yüksek ol</w:t>
      </w:r>
      <w:r w:rsidR="00953557">
        <w:rPr>
          <w:rFonts w:ascii="Verdana" w:hAnsi="Verdana"/>
          <w:sz w:val="20"/>
          <w:szCs w:val="20"/>
          <w:lang w:val="tr-TR"/>
        </w:rPr>
        <w:t>a</w:t>
      </w:r>
      <w:r w:rsidR="00FB3E21">
        <w:rPr>
          <w:rFonts w:ascii="Verdana" w:hAnsi="Verdana"/>
          <w:sz w:val="20"/>
          <w:szCs w:val="20"/>
          <w:lang w:val="tr-TR"/>
        </w:rPr>
        <w:t xml:space="preserve">mayacağı sonucu ortaya çıkıyor. </w:t>
      </w:r>
      <w:r w:rsidR="00953557">
        <w:rPr>
          <w:rFonts w:ascii="Verdana" w:hAnsi="Verdana"/>
          <w:sz w:val="20"/>
          <w:szCs w:val="20"/>
          <w:lang w:val="tr-TR"/>
        </w:rPr>
        <w:t>Bunun üzerinde bir de e</w:t>
      </w:r>
      <w:r w:rsidR="00D464E4">
        <w:rPr>
          <w:rFonts w:ascii="Verdana" w:hAnsi="Verdana"/>
          <w:sz w:val="20"/>
          <w:szCs w:val="20"/>
          <w:lang w:val="tr-TR"/>
        </w:rPr>
        <w:t>ğitim konusunda yıllardır yapılan hatalarda ısrar edersek, bir sonraki raporda Türkiye’nin pozisyonunun daha kötü olacağını tahmin etmek hiç</w:t>
      </w:r>
      <w:r w:rsidR="00953557">
        <w:rPr>
          <w:rFonts w:ascii="Verdana" w:hAnsi="Verdana"/>
          <w:sz w:val="20"/>
          <w:szCs w:val="20"/>
          <w:lang w:val="tr-TR"/>
        </w:rPr>
        <w:t xml:space="preserve"> d</w:t>
      </w:r>
      <w:r w:rsidR="00D464E4">
        <w:rPr>
          <w:rFonts w:ascii="Verdana" w:hAnsi="Verdana"/>
          <w:sz w:val="20"/>
          <w:szCs w:val="20"/>
          <w:lang w:val="tr-TR"/>
        </w:rPr>
        <w:t>e zor olmaz”</w:t>
      </w:r>
      <w:r w:rsidR="00953557">
        <w:rPr>
          <w:rFonts w:ascii="Verdana" w:hAnsi="Verdana"/>
          <w:sz w:val="20"/>
          <w:szCs w:val="20"/>
          <w:lang w:val="tr-TR"/>
        </w:rPr>
        <w:t>.</w:t>
      </w:r>
    </w:p>
    <w:p w14:paraId="09F6DE9D" w14:textId="77777777" w:rsidR="00B0276D" w:rsidRPr="00B61CE4" w:rsidRDefault="00B0276D" w:rsidP="00851A9C">
      <w:pPr>
        <w:spacing w:line="360" w:lineRule="auto"/>
        <w:contextualSpacing/>
        <w:jc w:val="both"/>
        <w:rPr>
          <w:rFonts w:ascii="Verdana" w:hAnsi="Verdana"/>
          <w:sz w:val="20"/>
          <w:szCs w:val="20"/>
          <w:lang w:val="tr-TR"/>
        </w:rPr>
      </w:pPr>
    </w:p>
    <w:p w14:paraId="5EC6DDD0" w14:textId="77777777" w:rsidR="00F7677A" w:rsidRPr="00267DD8" w:rsidRDefault="00267DD8" w:rsidP="00651EF7">
      <w:pPr>
        <w:spacing w:line="360" w:lineRule="auto"/>
        <w:contextualSpacing/>
        <w:jc w:val="both"/>
        <w:rPr>
          <w:rFonts w:ascii="Verdana" w:hAnsi="Verdana"/>
          <w:b/>
          <w:bCs/>
          <w:sz w:val="20"/>
          <w:szCs w:val="20"/>
          <w:lang w:val="tr-TR"/>
        </w:rPr>
      </w:pPr>
      <w:r w:rsidRPr="00267DD8">
        <w:rPr>
          <w:rFonts w:ascii="Verdana" w:hAnsi="Verdana"/>
          <w:b/>
          <w:bCs/>
          <w:sz w:val="20"/>
          <w:szCs w:val="20"/>
          <w:lang w:val="tr-TR"/>
        </w:rPr>
        <w:t>Bölgesel Sıralama:</w:t>
      </w:r>
    </w:p>
    <w:p w14:paraId="0E3857EC" w14:textId="77777777" w:rsidR="00267DD8" w:rsidRPr="00B61CE4" w:rsidRDefault="00267DD8" w:rsidP="00651EF7">
      <w:pPr>
        <w:spacing w:line="360" w:lineRule="auto"/>
        <w:contextualSpacing/>
        <w:jc w:val="both"/>
        <w:rPr>
          <w:rFonts w:ascii="Verdana" w:hAnsi="Verdana"/>
          <w:sz w:val="20"/>
          <w:szCs w:val="20"/>
          <w:lang w:val="tr-TR"/>
        </w:rPr>
      </w:pPr>
    </w:p>
    <w:p w14:paraId="2291A6AB" w14:textId="77777777" w:rsidR="00F7677A" w:rsidRPr="00B61CE4" w:rsidRDefault="00B0276D" w:rsidP="00651EF7">
      <w:pPr>
        <w:numPr>
          <w:ilvl w:val="0"/>
          <w:numId w:val="3"/>
        </w:numPr>
        <w:spacing w:line="360" w:lineRule="auto"/>
        <w:contextualSpacing/>
        <w:jc w:val="both"/>
        <w:rPr>
          <w:rFonts w:ascii="Verdana" w:hAnsi="Verdana"/>
          <w:sz w:val="20"/>
          <w:szCs w:val="20"/>
          <w:lang w:val="tr-TR"/>
        </w:rPr>
      </w:pPr>
      <w:r>
        <w:rPr>
          <w:rFonts w:ascii="Verdana" w:hAnsi="Verdana"/>
          <w:b/>
          <w:sz w:val="20"/>
          <w:szCs w:val="20"/>
          <w:lang w:val="tr-TR"/>
        </w:rPr>
        <w:t>Asya Pasifik</w:t>
      </w:r>
      <w:r w:rsidR="00F7677A" w:rsidRPr="00B61CE4">
        <w:rPr>
          <w:rFonts w:ascii="Verdana" w:hAnsi="Verdana"/>
          <w:b/>
          <w:sz w:val="20"/>
          <w:szCs w:val="20"/>
          <w:lang w:val="tr-TR"/>
        </w:rPr>
        <w:t>:</w:t>
      </w:r>
      <w:r w:rsidR="00F7677A" w:rsidRPr="00B61CE4">
        <w:rPr>
          <w:rFonts w:ascii="Verdana" w:hAnsi="Verdana"/>
          <w:sz w:val="20"/>
          <w:szCs w:val="20"/>
          <w:lang w:val="tr-TR"/>
        </w:rPr>
        <w:t xml:space="preserve"> </w:t>
      </w:r>
      <w:r>
        <w:rPr>
          <w:rFonts w:ascii="Verdana" w:hAnsi="Verdana"/>
          <w:sz w:val="20"/>
          <w:szCs w:val="20"/>
          <w:lang w:val="tr-TR"/>
        </w:rPr>
        <w:t xml:space="preserve">Bu bölgenin TWI sıralamasında en başta Yeni Zelanda, </w:t>
      </w:r>
      <w:r w:rsidR="00F7677A" w:rsidRPr="00B61CE4">
        <w:rPr>
          <w:rFonts w:ascii="Verdana" w:hAnsi="Verdana"/>
          <w:sz w:val="20"/>
          <w:szCs w:val="20"/>
          <w:lang w:val="tr-TR"/>
        </w:rPr>
        <w:t>Hong Kong, Singap</w:t>
      </w:r>
      <w:r>
        <w:rPr>
          <w:rFonts w:ascii="Verdana" w:hAnsi="Verdana"/>
          <w:sz w:val="20"/>
          <w:szCs w:val="20"/>
          <w:lang w:val="tr-TR"/>
        </w:rPr>
        <w:t>u</w:t>
      </w:r>
      <w:r w:rsidR="00F7677A" w:rsidRPr="00B61CE4">
        <w:rPr>
          <w:rFonts w:ascii="Verdana" w:hAnsi="Verdana"/>
          <w:sz w:val="20"/>
          <w:szCs w:val="20"/>
          <w:lang w:val="tr-TR"/>
        </w:rPr>
        <w:t>r, A</w:t>
      </w:r>
      <w:r>
        <w:rPr>
          <w:rFonts w:ascii="Verdana" w:hAnsi="Verdana"/>
          <w:sz w:val="20"/>
          <w:szCs w:val="20"/>
          <w:lang w:val="tr-TR"/>
        </w:rPr>
        <w:t>vustraly</w:t>
      </w:r>
      <w:r w:rsidR="00F7677A" w:rsidRPr="00B61CE4">
        <w:rPr>
          <w:rFonts w:ascii="Verdana" w:hAnsi="Verdana"/>
          <w:sz w:val="20"/>
          <w:szCs w:val="20"/>
          <w:lang w:val="tr-TR"/>
        </w:rPr>
        <w:t xml:space="preserve">a </w:t>
      </w:r>
      <w:r>
        <w:rPr>
          <w:rFonts w:ascii="Verdana" w:hAnsi="Verdana"/>
          <w:sz w:val="20"/>
          <w:szCs w:val="20"/>
          <w:lang w:val="tr-TR"/>
        </w:rPr>
        <w:t>ve Filipinler var. Dünya nüfusunun yaklaşık %60’ı Asya Pasifik bölgesinde yaşıyor</w:t>
      </w:r>
      <w:r w:rsidR="00F7677A" w:rsidRPr="00B61CE4">
        <w:rPr>
          <w:rFonts w:ascii="Verdana" w:hAnsi="Verdana"/>
          <w:sz w:val="20"/>
          <w:szCs w:val="20"/>
          <w:vertAlign w:val="superscript"/>
          <w:lang w:val="tr-TR"/>
        </w:rPr>
        <w:footnoteReference w:id="2"/>
      </w:r>
      <w:r w:rsidR="00F7677A" w:rsidRPr="00B61CE4">
        <w:rPr>
          <w:rFonts w:ascii="Verdana" w:hAnsi="Verdana"/>
          <w:sz w:val="20"/>
          <w:szCs w:val="20"/>
          <w:lang w:val="tr-TR"/>
        </w:rPr>
        <w:t xml:space="preserve">. </w:t>
      </w:r>
      <w:r>
        <w:rPr>
          <w:rFonts w:ascii="Verdana" w:hAnsi="Verdana"/>
          <w:sz w:val="20"/>
          <w:szCs w:val="20"/>
          <w:lang w:val="tr-TR"/>
        </w:rPr>
        <w:t xml:space="preserve">Yeni beceri ihtiyaçları, güncellenen vergi politikası ve işgücü kanunları bölgedeki maliyet senaryolarından bazılarını değiştirdi ve bugün </w:t>
      </w:r>
      <w:r w:rsidR="00145D0F">
        <w:rPr>
          <w:rFonts w:ascii="Verdana" w:hAnsi="Verdana"/>
          <w:sz w:val="20"/>
          <w:szCs w:val="20"/>
          <w:lang w:val="tr-TR"/>
        </w:rPr>
        <w:t>Hong</w:t>
      </w:r>
      <w:r>
        <w:rPr>
          <w:rFonts w:ascii="Verdana" w:hAnsi="Verdana"/>
          <w:sz w:val="20"/>
          <w:szCs w:val="20"/>
          <w:lang w:val="tr-TR"/>
        </w:rPr>
        <w:t xml:space="preserve"> Kong ve Singapur gibi bazı daha küçük pazarlar</w:t>
      </w:r>
      <w:r w:rsidR="00145D0F">
        <w:rPr>
          <w:rFonts w:ascii="Verdana" w:hAnsi="Verdana"/>
          <w:sz w:val="20"/>
          <w:szCs w:val="20"/>
          <w:lang w:val="tr-TR"/>
        </w:rPr>
        <w:t xml:space="preserve"> belirli beceriler sunma veya çalışma saatleri konusunda daha başarılı.</w:t>
      </w:r>
    </w:p>
    <w:p w14:paraId="48B3AEDC" w14:textId="77777777" w:rsidR="00F7677A" w:rsidRPr="00B61CE4" w:rsidRDefault="00F7677A" w:rsidP="00651EF7">
      <w:pPr>
        <w:spacing w:line="360" w:lineRule="auto"/>
        <w:contextualSpacing/>
        <w:jc w:val="both"/>
        <w:rPr>
          <w:rFonts w:ascii="Verdana" w:hAnsi="Verdana"/>
          <w:sz w:val="20"/>
          <w:szCs w:val="20"/>
          <w:lang w:val="tr-TR"/>
        </w:rPr>
      </w:pPr>
    </w:p>
    <w:p w14:paraId="3048055D" w14:textId="77777777" w:rsidR="00F7677A" w:rsidRPr="00B61CE4" w:rsidRDefault="00F7677A" w:rsidP="00651EF7">
      <w:pPr>
        <w:numPr>
          <w:ilvl w:val="0"/>
          <w:numId w:val="3"/>
        </w:numPr>
        <w:spacing w:line="360" w:lineRule="auto"/>
        <w:contextualSpacing/>
        <w:jc w:val="both"/>
        <w:rPr>
          <w:rFonts w:ascii="Verdana" w:hAnsi="Verdana"/>
          <w:sz w:val="20"/>
          <w:szCs w:val="20"/>
          <w:lang w:val="tr-TR"/>
        </w:rPr>
      </w:pPr>
      <w:r w:rsidRPr="00B61CE4">
        <w:rPr>
          <w:rFonts w:ascii="Verdana" w:hAnsi="Verdana"/>
          <w:b/>
          <w:sz w:val="20"/>
          <w:szCs w:val="20"/>
          <w:lang w:val="tr-TR"/>
        </w:rPr>
        <w:t>A</w:t>
      </w:r>
      <w:r w:rsidR="00145D0F">
        <w:rPr>
          <w:rFonts w:ascii="Verdana" w:hAnsi="Verdana"/>
          <w:b/>
          <w:sz w:val="20"/>
          <w:szCs w:val="20"/>
          <w:lang w:val="tr-TR"/>
        </w:rPr>
        <w:t>merika Kıtası</w:t>
      </w:r>
      <w:r w:rsidRPr="00B61CE4">
        <w:rPr>
          <w:rFonts w:ascii="Verdana" w:hAnsi="Verdana"/>
          <w:b/>
          <w:sz w:val="20"/>
          <w:szCs w:val="20"/>
          <w:lang w:val="tr-TR"/>
        </w:rPr>
        <w:t xml:space="preserve">: </w:t>
      </w:r>
      <w:r w:rsidR="00145D0F">
        <w:rPr>
          <w:rFonts w:ascii="Verdana" w:hAnsi="Verdana"/>
          <w:sz w:val="20"/>
          <w:szCs w:val="20"/>
          <w:lang w:val="tr-TR"/>
        </w:rPr>
        <w:t xml:space="preserve">Listenin en başında, işgücü potansiyelinin istikrarlı olgunluğu sayesinde Kanada ve ABD var. Onları Şili, </w:t>
      </w:r>
      <w:r w:rsidRPr="00B61CE4">
        <w:rPr>
          <w:rFonts w:ascii="Verdana" w:hAnsi="Verdana"/>
          <w:sz w:val="20"/>
          <w:szCs w:val="20"/>
          <w:lang w:val="tr-TR"/>
        </w:rPr>
        <w:t xml:space="preserve">Uruguay </w:t>
      </w:r>
      <w:r w:rsidR="00145D0F">
        <w:rPr>
          <w:rFonts w:ascii="Verdana" w:hAnsi="Verdana"/>
          <w:sz w:val="20"/>
          <w:szCs w:val="20"/>
          <w:lang w:val="tr-TR"/>
        </w:rPr>
        <w:t>ve Meksika takip ediyor.</w:t>
      </w:r>
      <w:r w:rsidRPr="00B61CE4">
        <w:rPr>
          <w:rFonts w:ascii="Verdana" w:hAnsi="Verdana"/>
          <w:sz w:val="20"/>
          <w:szCs w:val="20"/>
          <w:lang w:val="tr-TR"/>
        </w:rPr>
        <w:t xml:space="preserve"> </w:t>
      </w:r>
      <w:r w:rsidR="00145D0F">
        <w:rPr>
          <w:rFonts w:ascii="Verdana" w:hAnsi="Verdana"/>
          <w:sz w:val="20"/>
          <w:szCs w:val="20"/>
          <w:lang w:val="tr-TR"/>
        </w:rPr>
        <w:t xml:space="preserve">Güney ve Orta Amerika’daki mikro pazarlardaki değişimlerin ve büyük mevzuat değişikliklerin işe alım uygulamaları üzerinde karmaşıklığı artıran büyük etkileri olabiliyor. Küresel TWI </w:t>
      </w:r>
      <w:r w:rsidR="00145D0F">
        <w:rPr>
          <w:rFonts w:ascii="Verdana" w:hAnsi="Verdana"/>
          <w:sz w:val="20"/>
          <w:szCs w:val="20"/>
          <w:lang w:val="tr-TR"/>
        </w:rPr>
        <w:lastRenderedPageBreak/>
        <w:t>listesinin en sonundaki ülkeler de bu kıtada yer alıyor:</w:t>
      </w:r>
      <w:r w:rsidRPr="00B61CE4">
        <w:rPr>
          <w:rFonts w:ascii="Verdana" w:hAnsi="Verdana"/>
          <w:sz w:val="20"/>
          <w:szCs w:val="20"/>
          <w:lang w:val="tr-TR"/>
        </w:rPr>
        <w:t xml:space="preserve"> Paraguay, </w:t>
      </w:r>
      <w:r w:rsidR="00145D0F">
        <w:rPr>
          <w:rFonts w:ascii="Verdana" w:hAnsi="Verdana"/>
          <w:sz w:val="20"/>
          <w:szCs w:val="20"/>
          <w:lang w:val="tr-TR"/>
        </w:rPr>
        <w:t>Brezilya</w:t>
      </w:r>
      <w:r w:rsidRPr="00B61CE4">
        <w:rPr>
          <w:rFonts w:ascii="Verdana" w:hAnsi="Verdana"/>
          <w:sz w:val="20"/>
          <w:szCs w:val="20"/>
          <w:lang w:val="tr-TR"/>
        </w:rPr>
        <w:t>, Honduras, Boliv</w:t>
      </w:r>
      <w:r w:rsidR="00145D0F">
        <w:rPr>
          <w:rFonts w:ascii="Verdana" w:hAnsi="Verdana"/>
          <w:sz w:val="20"/>
          <w:szCs w:val="20"/>
          <w:lang w:val="tr-TR"/>
        </w:rPr>
        <w:t>y</w:t>
      </w:r>
      <w:r w:rsidRPr="00B61CE4">
        <w:rPr>
          <w:rFonts w:ascii="Verdana" w:hAnsi="Verdana"/>
          <w:sz w:val="20"/>
          <w:szCs w:val="20"/>
          <w:lang w:val="tr-TR"/>
        </w:rPr>
        <w:t xml:space="preserve">a </w:t>
      </w:r>
      <w:r w:rsidR="00145D0F">
        <w:rPr>
          <w:rFonts w:ascii="Verdana" w:hAnsi="Verdana"/>
          <w:sz w:val="20"/>
          <w:szCs w:val="20"/>
          <w:lang w:val="tr-TR"/>
        </w:rPr>
        <w:t>ve</w:t>
      </w:r>
      <w:r w:rsidRPr="00B61CE4">
        <w:rPr>
          <w:rFonts w:ascii="Verdana" w:hAnsi="Verdana"/>
          <w:sz w:val="20"/>
          <w:szCs w:val="20"/>
          <w:lang w:val="tr-TR"/>
        </w:rPr>
        <w:t xml:space="preserve"> Venezuela. </w:t>
      </w:r>
    </w:p>
    <w:p w14:paraId="560299A6" w14:textId="77777777" w:rsidR="00F7677A" w:rsidRPr="00B61CE4" w:rsidRDefault="00F7677A" w:rsidP="00651EF7">
      <w:pPr>
        <w:spacing w:line="360" w:lineRule="auto"/>
        <w:contextualSpacing/>
        <w:jc w:val="both"/>
        <w:rPr>
          <w:rFonts w:ascii="Verdana" w:hAnsi="Verdana"/>
          <w:sz w:val="20"/>
          <w:szCs w:val="20"/>
          <w:lang w:val="tr-TR"/>
        </w:rPr>
      </w:pPr>
    </w:p>
    <w:p w14:paraId="3CCD5F7B" w14:textId="400FF795" w:rsidR="00F7677A" w:rsidRDefault="00267DD8" w:rsidP="00112761">
      <w:pPr>
        <w:numPr>
          <w:ilvl w:val="0"/>
          <w:numId w:val="3"/>
        </w:numPr>
        <w:spacing w:line="360" w:lineRule="auto"/>
        <w:contextualSpacing/>
        <w:jc w:val="both"/>
        <w:rPr>
          <w:rFonts w:ascii="Verdana" w:hAnsi="Verdana"/>
          <w:sz w:val="20"/>
          <w:szCs w:val="20"/>
          <w:lang w:val="tr-TR"/>
        </w:rPr>
      </w:pPr>
      <w:r w:rsidRPr="00267DD8">
        <w:rPr>
          <w:rFonts w:ascii="Verdana" w:hAnsi="Verdana"/>
          <w:b/>
          <w:sz w:val="20"/>
          <w:szCs w:val="20"/>
          <w:lang w:val="tr-TR"/>
        </w:rPr>
        <w:t>Avrupa, Orta Doğu, Afrika</w:t>
      </w:r>
      <w:r w:rsidR="00F7677A" w:rsidRPr="00267DD8">
        <w:rPr>
          <w:rFonts w:ascii="Verdana" w:hAnsi="Verdana"/>
          <w:b/>
          <w:sz w:val="20"/>
          <w:szCs w:val="20"/>
          <w:lang w:val="tr-TR"/>
        </w:rPr>
        <w:t>:</w:t>
      </w:r>
      <w:r w:rsidR="00F7677A" w:rsidRPr="00267DD8">
        <w:rPr>
          <w:rFonts w:ascii="Verdana" w:hAnsi="Verdana"/>
          <w:sz w:val="20"/>
          <w:szCs w:val="20"/>
          <w:lang w:val="tr-TR"/>
        </w:rPr>
        <w:t xml:space="preserve"> </w:t>
      </w:r>
      <w:r w:rsidRPr="00267DD8">
        <w:rPr>
          <w:rFonts w:ascii="Verdana" w:hAnsi="Verdana"/>
          <w:sz w:val="20"/>
          <w:szCs w:val="20"/>
          <w:lang w:val="tr-TR"/>
        </w:rPr>
        <w:t xml:space="preserve">Bölgenin liste başı ülkeleri İrlanda, Birleşik Krallık, Birleşik Arap Emirlikleri, İsrail ve Danimarka. Bu ülkeler global sıralamada da 6’ncı ve 10’uncu sıralar arasında yer alıyor. </w:t>
      </w:r>
      <w:r w:rsidR="00F7677A" w:rsidRPr="00267DD8">
        <w:rPr>
          <w:rFonts w:ascii="Verdana" w:hAnsi="Verdana"/>
          <w:sz w:val="20"/>
          <w:szCs w:val="20"/>
          <w:lang w:val="tr-TR"/>
        </w:rPr>
        <w:t xml:space="preserve"> </w:t>
      </w:r>
      <w:r w:rsidRPr="00267DD8">
        <w:rPr>
          <w:rFonts w:ascii="Verdana" w:hAnsi="Verdana"/>
          <w:sz w:val="20"/>
          <w:szCs w:val="20"/>
          <w:lang w:val="tr-TR"/>
        </w:rPr>
        <w:t>Avrupa’daki artan göç trafiği ve ücret ve mevzuat değişiklikleri yeteneklerin kıta genelindeki dağılımını ve maliyetini</w:t>
      </w:r>
      <w:r>
        <w:rPr>
          <w:rFonts w:ascii="Verdana" w:hAnsi="Verdana"/>
          <w:sz w:val="20"/>
          <w:szCs w:val="20"/>
          <w:lang w:val="tr-TR"/>
        </w:rPr>
        <w:t xml:space="preserve"> etkiledi.</w:t>
      </w:r>
      <w:r w:rsidR="00016259">
        <w:rPr>
          <w:rFonts w:ascii="Verdana" w:hAnsi="Verdana"/>
          <w:sz w:val="20"/>
          <w:szCs w:val="20"/>
          <w:lang w:val="tr-TR"/>
        </w:rPr>
        <w:t xml:space="preserve"> Bu gruptaki Türkiye ise 2,27 puanla 75 ülke arasında 42’inci oldu.</w:t>
      </w:r>
    </w:p>
    <w:p w14:paraId="2DD4B3EC" w14:textId="77777777" w:rsidR="00267DD8" w:rsidRDefault="00267DD8" w:rsidP="00267DD8">
      <w:pPr>
        <w:pStyle w:val="ListeParagraf"/>
        <w:rPr>
          <w:rFonts w:ascii="Verdana" w:hAnsi="Verdana"/>
          <w:sz w:val="20"/>
          <w:szCs w:val="20"/>
          <w:lang w:val="tr-TR"/>
        </w:rPr>
      </w:pPr>
    </w:p>
    <w:p w14:paraId="54072E17" w14:textId="77777777" w:rsidR="00267DD8" w:rsidRPr="00267DD8" w:rsidRDefault="00267DD8" w:rsidP="00267DD8">
      <w:pPr>
        <w:spacing w:line="360" w:lineRule="auto"/>
        <w:ind w:left="720"/>
        <w:contextualSpacing/>
        <w:jc w:val="both"/>
        <w:rPr>
          <w:rFonts w:ascii="Verdana" w:hAnsi="Verdana"/>
          <w:sz w:val="20"/>
          <w:szCs w:val="20"/>
          <w:lang w:val="tr-TR"/>
        </w:rPr>
      </w:pPr>
    </w:p>
    <w:p w14:paraId="327FFB87" w14:textId="77777777" w:rsidR="0034191A" w:rsidRPr="0034191A" w:rsidRDefault="0034191A" w:rsidP="0034191A">
      <w:pPr>
        <w:spacing w:line="360" w:lineRule="auto"/>
        <w:contextualSpacing/>
        <w:jc w:val="both"/>
        <w:rPr>
          <w:rFonts w:ascii="Verdana" w:hAnsi="Verdana"/>
          <w:bCs/>
          <w:sz w:val="20"/>
          <w:szCs w:val="20"/>
          <w:lang w:val="tr-TR"/>
        </w:rPr>
      </w:pPr>
      <w:r w:rsidRPr="0034191A">
        <w:rPr>
          <w:rFonts w:ascii="Verdana" w:hAnsi="Verdana"/>
          <w:bCs/>
          <w:sz w:val="20"/>
          <w:szCs w:val="20"/>
          <w:lang w:val="tr-TR"/>
        </w:rPr>
        <w:t xml:space="preserve">Bütünsel İşgücü Endeksi hakkında ayrıntılı bilgi için: </w:t>
      </w:r>
      <w:hyperlink r:id="rId10" w:history="1">
        <w:r w:rsidRPr="0034191A">
          <w:rPr>
            <w:rStyle w:val="Kpr"/>
            <w:rFonts w:ascii="Verdana" w:hAnsi="Verdana"/>
            <w:bCs/>
            <w:color w:val="1155CC"/>
            <w:sz w:val="20"/>
            <w:szCs w:val="20"/>
            <w:lang w:val="tr-TR"/>
          </w:rPr>
          <w:t>www.totalworkforceindex.com</w:t>
        </w:r>
      </w:hyperlink>
      <w:r w:rsidRPr="0034191A">
        <w:rPr>
          <w:rFonts w:ascii="Verdana" w:hAnsi="Verdana"/>
          <w:bCs/>
          <w:sz w:val="20"/>
          <w:szCs w:val="20"/>
          <w:lang w:val="tr-TR"/>
        </w:rPr>
        <w:t xml:space="preserve"> </w:t>
      </w:r>
    </w:p>
    <w:p w14:paraId="72E13558" w14:textId="77777777" w:rsidR="007D65BD" w:rsidRDefault="007D65BD" w:rsidP="00651EF7">
      <w:pPr>
        <w:spacing w:after="100" w:line="360" w:lineRule="auto"/>
        <w:contextualSpacing/>
        <w:jc w:val="both"/>
        <w:rPr>
          <w:rFonts w:ascii="Verdana" w:hAnsi="Verdana"/>
          <w:sz w:val="20"/>
          <w:szCs w:val="20"/>
          <w:vertAlign w:val="superscript"/>
          <w:lang w:val="tr-TR"/>
        </w:rPr>
      </w:pPr>
    </w:p>
    <w:p w14:paraId="44C85FDD" w14:textId="77777777" w:rsidR="00267DD8" w:rsidRPr="00504276" w:rsidRDefault="00267DD8" w:rsidP="00267DD8">
      <w:pPr>
        <w:spacing w:line="360" w:lineRule="auto"/>
        <w:ind w:right="-238"/>
        <w:contextualSpacing/>
        <w:jc w:val="both"/>
        <w:rPr>
          <w:rFonts w:ascii="Verdana" w:hAnsi="Verdana"/>
          <w:b/>
          <w:bCs/>
          <w:color w:val="000000" w:themeColor="text1"/>
          <w:sz w:val="18"/>
          <w:szCs w:val="18"/>
          <w:lang w:val="tr-TR"/>
        </w:rPr>
      </w:pPr>
      <w:r w:rsidRPr="00504276">
        <w:rPr>
          <w:rFonts w:ascii="Verdana" w:hAnsi="Verdana"/>
          <w:b/>
          <w:bCs/>
          <w:sz w:val="18"/>
          <w:szCs w:val="18"/>
          <w:lang w:val="tr-TR"/>
        </w:rPr>
        <w:t xml:space="preserve">İlgili Kişi: </w:t>
      </w:r>
      <w:r w:rsidRPr="00504276">
        <w:rPr>
          <w:rFonts w:ascii="Verdana" w:hAnsi="Verdana"/>
          <w:b/>
          <w:bCs/>
          <w:sz w:val="18"/>
          <w:lang w:val="tr-TR"/>
        </w:rPr>
        <w:tab/>
      </w:r>
    </w:p>
    <w:p w14:paraId="56127488" w14:textId="77777777" w:rsidR="00267DD8" w:rsidRPr="00504276" w:rsidRDefault="00267DD8" w:rsidP="00267DD8">
      <w:pPr>
        <w:spacing w:line="360" w:lineRule="auto"/>
        <w:ind w:right="-238"/>
        <w:contextualSpacing/>
        <w:jc w:val="both"/>
        <w:rPr>
          <w:rFonts w:ascii="Verdana" w:hAnsi="Verdana"/>
          <w:color w:val="000000" w:themeColor="text1"/>
          <w:sz w:val="18"/>
          <w:szCs w:val="18"/>
          <w:lang w:val="tr-TR"/>
        </w:rPr>
      </w:pPr>
      <w:r w:rsidRPr="00504276">
        <w:rPr>
          <w:rFonts w:ascii="Verdana" w:hAnsi="Verdana"/>
          <w:color w:val="000000" w:themeColor="text1"/>
          <w:sz w:val="18"/>
          <w:szCs w:val="18"/>
          <w:lang w:val="tr-TR"/>
        </w:rPr>
        <w:t xml:space="preserve">Ceylan Naza </w:t>
      </w:r>
    </w:p>
    <w:p w14:paraId="1D0D57AE" w14:textId="77777777" w:rsidR="00267DD8" w:rsidRPr="00504276" w:rsidRDefault="00267DD8" w:rsidP="00267DD8">
      <w:pPr>
        <w:spacing w:line="360" w:lineRule="auto"/>
        <w:ind w:right="-238"/>
        <w:contextualSpacing/>
        <w:jc w:val="both"/>
        <w:rPr>
          <w:rFonts w:ascii="Verdana" w:hAnsi="Verdana"/>
          <w:color w:val="000000" w:themeColor="text1"/>
          <w:sz w:val="18"/>
          <w:szCs w:val="18"/>
          <w:lang w:val="tr-TR"/>
        </w:rPr>
      </w:pPr>
      <w:r w:rsidRPr="00504276">
        <w:rPr>
          <w:rFonts w:ascii="Verdana" w:hAnsi="Verdana"/>
          <w:sz w:val="18"/>
          <w:szCs w:val="18"/>
          <w:lang w:val="tr-TR"/>
        </w:rPr>
        <w:t xml:space="preserve">Marjinal </w:t>
      </w:r>
      <w:r w:rsidRPr="00504276">
        <w:rPr>
          <w:rFonts w:ascii="Verdana" w:hAnsi="Verdana"/>
          <w:color w:val="000000" w:themeColor="text1"/>
          <w:sz w:val="18"/>
          <w:szCs w:val="18"/>
          <w:lang w:val="tr-TR"/>
        </w:rPr>
        <w:t>Porter Novelli</w:t>
      </w:r>
      <w:r w:rsidRPr="00504276">
        <w:rPr>
          <w:rFonts w:ascii="Verdana" w:hAnsi="Verdana"/>
          <w:bCs/>
          <w:sz w:val="18"/>
          <w:lang w:val="tr-TR"/>
        </w:rPr>
        <w:tab/>
      </w:r>
    </w:p>
    <w:p w14:paraId="23E9729F" w14:textId="77777777" w:rsidR="00267DD8" w:rsidRPr="00504276" w:rsidRDefault="00267DD8" w:rsidP="00267DD8">
      <w:pPr>
        <w:spacing w:line="360" w:lineRule="auto"/>
        <w:ind w:right="-238"/>
        <w:contextualSpacing/>
        <w:jc w:val="both"/>
        <w:rPr>
          <w:rFonts w:ascii="Verdana" w:hAnsi="Verdana"/>
          <w:color w:val="000000" w:themeColor="text1"/>
          <w:sz w:val="18"/>
          <w:szCs w:val="18"/>
          <w:lang w:val="tr-TR"/>
        </w:rPr>
      </w:pPr>
      <w:r w:rsidRPr="00504276">
        <w:rPr>
          <w:rFonts w:ascii="Verdana" w:hAnsi="Verdana"/>
          <w:color w:val="000000" w:themeColor="text1"/>
          <w:sz w:val="18"/>
          <w:szCs w:val="18"/>
          <w:lang w:val="tr-TR"/>
        </w:rPr>
        <w:t>0212 219 29 71</w:t>
      </w:r>
    </w:p>
    <w:p w14:paraId="4DDF1162" w14:textId="77777777" w:rsidR="00267DD8" w:rsidRPr="00504276" w:rsidRDefault="00126BB3" w:rsidP="00267DD8">
      <w:pPr>
        <w:spacing w:line="360" w:lineRule="auto"/>
        <w:ind w:right="-238"/>
        <w:contextualSpacing/>
        <w:jc w:val="both"/>
        <w:rPr>
          <w:rFonts w:ascii="Verdana" w:hAnsi="Verdana"/>
          <w:b/>
          <w:bCs/>
          <w:sz w:val="18"/>
          <w:szCs w:val="18"/>
          <w:lang w:val="tr-TR"/>
        </w:rPr>
      </w:pPr>
      <w:hyperlink r:id="rId11" w:history="1">
        <w:r w:rsidR="00267DD8" w:rsidRPr="00504276">
          <w:rPr>
            <w:rStyle w:val="Kpr"/>
            <w:rFonts w:ascii="Verdana" w:hAnsi="Verdana"/>
            <w:sz w:val="18"/>
            <w:szCs w:val="18"/>
            <w:lang w:val="tr-TR"/>
          </w:rPr>
          <w:t>ceylann@marjinal.com.tr</w:t>
        </w:r>
      </w:hyperlink>
    </w:p>
    <w:p w14:paraId="01AAAB5B" w14:textId="77777777" w:rsidR="00267DD8" w:rsidRPr="00504276" w:rsidRDefault="00267DD8" w:rsidP="00267DD8">
      <w:pPr>
        <w:tabs>
          <w:tab w:val="left" w:pos="284"/>
        </w:tabs>
        <w:spacing w:line="360" w:lineRule="auto"/>
        <w:ind w:right="-1"/>
        <w:contextualSpacing/>
        <w:jc w:val="both"/>
        <w:rPr>
          <w:rFonts w:ascii="Verdana" w:hAnsi="Verdana"/>
          <w:bCs/>
          <w:color w:val="444444"/>
          <w:sz w:val="16"/>
          <w:szCs w:val="16"/>
          <w:lang w:val="tr-TR"/>
        </w:rPr>
      </w:pPr>
    </w:p>
    <w:p w14:paraId="0B7C71DE" w14:textId="77777777" w:rsidR="00267DD8" w:rsidRPr="00504276" w:rsidRDefault="00267DD8" w:rsidP="00267DD8">
      <w:pPr>
        <w:tabs>
          <w:tab w:val="left" w:pos="284"/>
        </w:tabs>
        <w:spacing w:line="360" w:lineRule="auto"/>
        <w:ind w:right="-1"/>
        <w:contextualSpacing/>
        <w:jc w:val="both"/>
        <w:rPr>
          <w:rFonts w:ascii="Verdana" w:hAnsi="Verdana"/>
          <w:sz w:val="16"/>
          <w:szCs w:val="16"/>
          <w:lang w:val="tr-TR"/>
        </w:rPr>
      </w:pPr>
    </w:p>
    <w:p w14:paraId="402900C8" w14:textId="77777777" w:rsidR="00267DD8" w:rsidRPr="00504276" w:rsidRDefault="00267DD8" w:rsidP="00267DD8">
      <w:pPr>
        <w:spacing w:line="360" w:lineRule="auto"/>
        <w:ind w:right="-241"/>
        <w:contextualSpacing/>
        <w:jc w:val="both"/>
        <w:rPr>
          <w:rFonts w:ascii="Verdana" w:hAnsi="Verdana"/>
          <w:b/>
          <w:bCs/>
          <w:color w:val="000000" w:themeColor="text1"/>
          <w:sz w:val="16"/>
          <w:szCs w:val="16"/>
          <w:lang w:val="tr-TR"/>
        </w:rPr>
      </w:pPr>
      <w:r w:rsidRPr="00504276">
        <w:rPr>
          <w:rFonts w:ascii="Verdana" w:hAnsi="Verdana"/>
          <w:b/>
          <w:bCs/>
          <w:color w:val="000000" w:themeColor="text1"/>
          <w:sz w:val="16"/>
          <w:szCs w:val="16"/>
          <w:lang w:val="tr-TR"/>
        </w:rPr>
        <w:t>ManpowerGroup™ Hakkında</w:t>
      </w:r>
    </w:p>
    <w:p w14:paraId="000FCCCC" w14:textId="77777777" w:rsidR="00267DD8" w:rsidRPr="00504276" w:rsidRDefault="00267DD8" w:rsidP="00267DD8">
      <w:pPr>
        <w:spacing w:line="360" w:lineRule="auto"/>
        <w:ind w:right="-241"/>
        <w:contextualSpacing/>
        <w:jc w:val="both"/>
        <w:rPr>
          <w:rFonts w:ascii="Verdana" w:hAnsi="Verdana"/>
          <w:color w:val="000000" w:themeColor="text1"/>
          <w:sz w:val="16"/>
          <w:szCs w:val="16"/>
          <w:lang w:val="tr-TR"/>
        </w:rPr>
      </w:pPr>
      <w:r w:rsidRPr="00504276">
        <w:rPr>
          <w:rFonts w:ascii="Verdana" w:hAnsi="Verdana"/>
          <w:color w:val="000000" w:themeColor="text1"/>
          <w:sz w:val="16"/>
          <w:szCs w:val="16"/>
          <w:lang w:val="tr-TR"/>
        </w:rPr>
        <w:t>ManpowerGroup™ (NYSE: MAN) 70 yılı aşkın süredir yenilikçi işgüc</w:t>
      </w:r>
      <w:r w:rsidRPr="00504276">
        <w:rPr>
          <w:rFonts w:ascii="Verdana" w:eastAsia="Calibri" w:hAnsi="Verdana" w:cs="Calibri"/>
          <w:color w:val="000000" w:themeColor="text1"/>
          <w:sz w:val="16"/>
          <w:szCs w:val="16"/>
          <w:lang w:val="tr-TR"/>
        </w:rPr>
        <w:t>ü̈</w:t>
      </w:r>
      <w:r w:rsidRPr="00504276">
        <w:rPr>
          <w:rFonts w:ascii="Verdana" w:hAnsi="Verdana"/>
          <w:color w:val="000000" w:themeColor="text1"/>
          <w:sz w:val="16"/>
          <w:szCs w:val="16"/>
          <w:lang w:val="tr-TR"/>
        </w:rPr>
        <w:t xml:space="preserve"> çözümleri yaratan, dünyanın işgücü uzmanıdır. İşgüc</w:t>
      </w:r>
      <w:r w:rsidRPr="00504276">
        <w:rPr>
          <w:rFonts w:ascii="Verdana" w:eastAsia="Calibri" w:hAnsi="Verdana" w:cs="Calibri"/>
          <w:color w:val="000000" w:themeColor="text1"/>
          <w:sz w:val="16"/>
          <w:szCs w:val="16"/>
          <w:lang w:val="tr-TR"/>
        </w:rPr>
        <w:t>ü̈</w:t>
      </w:r>
      <w:r w:rsidRPr="00504276">
        <w:rPr>
          <w:rFonts w:ascii="Verdana" w:hAnsi="Verdana"/>
          <w:color w:val="000000" w:themeColor="text1"/>
          <w:sz w:val="16"/>
          <w:szCs w:val="16"/>
          <w:lang w:val="tr-TR"/>
        </w:rPr>
        <w:t xml:space="preserve"> uzmanları olarak, her gün çok farklı iş ve sektörde 600.000’den fazla bireyi, kendilerine uygun iş pozisyonları ile buluşturuyoruz. ManpowerGroup çözümler yelpazesi, ManpowerGroup™ Solutions, Manpower®, Experis™ ve Right Management® – ile yetenek bulma, yönetme ve geliştirme için kapsamlı çözümler sunuyoruz. 80 ülke ve bölgede, 400.000’den fazla müşterinin ihtiyaçlarını karşılıyoruz. 2016 yılında ManpowerGroup, art arda altı yıl Dünyanın En Etik Şirketlerinden biri seçilerek ve Fortune Dergisi tarafından En Çok Beğenilen Şirketler arasında gösterilerek, sektörün en çok güvenilen ve beğenilen markası olduğunu teyit etti. </w:t>
      </w:r>
      <w:hyperlink r:id="rId12">
        <w:r w:rsidRPr="00504276">
          <w:rPr>
            <w:rStyle w:val="Kpr"/>
            <w:rFonts w:ascii="Verdana" w:hAnsi="Verdana"/>
            <w:sz w:val="16"/>
            <w:szCs w:val="16"/>
            <w:lang w:val="tr-TR"/>
          </w:rPr>
          <w:t>www.manpowergroup.com</w:t>
        </w:r>
      </w:hyperlink>
    </w:p>
    <w:p w14:paraId="7930519F" w14:textId="77777777" w:rsidR="00267DD8" w:rsidRPr="00504276" w:rsidRDefault="00267DD8" w:rsidP="00267DD8">
      <w:pPr>
        <w:spacing w:line="360" w:lineRule="auto"/>
        <w:contextualSpacing/>
        <w:jc w:val="both"/>
        <w:rPr>
          <w:rFonts w:ascii="Verdana" w:hAnsi="Verdana"/>
          <w:sz w:val="20"/>
          <w:szCs w:val="20"/>
          <w:highlight w:val="white"/>
          <w:lang w:val="tr-TR"/>
        </w:rPr>
      </w:pPr>
    </w:p>
    <w:p w14:paraId="4DB844B6" w14:textId="77777777" w:rsidR="00267DD8" w:rsidRPr="00B61CE4" w:rsidRDefault="00267DD8" w:rsidP="00651EF7">
      <w:pPr>
        <w:spacing w:after="100" w:line="360" w:lineRule="auto"/>
        <w:contextualSpacing/>
        <w:jc w:val="both"/>
        <w:rPr>
          <w:rFonts w:ascii="Verdana" w:hAnsi="Verdana"/>
          <w:sz w:val="20"/>
          <w:szCs w:val="20"/>
          <w:vertAlign w:val="superscript"/>
          <w:lang w:val="tr-TR"/>
        </w:rPr>
      </w:pPr>
    </w:p>
    <w:sectPr w:rsidR="00267DD8" w:rsidRPr="00B61CE4" w:rsidSect="00701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0B34" w14:textId="77777777" w:rsidR="001F0D98" w:rsidRDefault="001F0D98" w:rsidP="00F7677A">
      <w:pPr>
        <w:spacing w:line="240" w:lineRule="auto"/>
      </w:pPr>
      <w:r>
        <w:separator/>
      </w:r>
    </w:p>
  </w:endnote>
  <w:endnote w:type="continuationSeparator" w:id="0">
    <w:p w14:paraId="69990645" w14:textId="77777777" w:rsidR="001F0D98" w:rsidRDefault="001F0D98" w:rsidP="00F7677A">
      <w:pPr>
        <w:spacing w:line="240" w:lineRule="auto"/>
      </w:pPr>
      <w:r>
        <w:continuationSeparator/>
      </w:r>
    </w:p>
  </w:endnote>
  <w:endnote w:type="continuationNotice" w:id="1">
    <w:p w14:paraId="44073125" w14:textId="77777777" w:rsidR="001F0D98" w:rsidRDefault="001F0D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87694" w14:textId="77777777" w:rsidR="001F0D98" w:rsidRDefault="001F0D98" w:rsidP="00F7677A">
      <w:pPr>
        <w:spacing w:line="240" w:lineRule="auto"/>
      </w:pPr>
      <w:r>
        <w:separator/>
      </w:r>
    </w:p>
  </w:footnote>
  <w:footnote w:type="continuationSeparator" w:id="0">
    <w:p w14:paraId="4A5EE902" w14:textId="77777777" w:rsidR="001F0D98" w:rsidRDefault="001F0D98" w:rsidP="00F7677A">
      <w:pPr>
        <w:spacing w:line="240" w:lineRule="auto"/>
      </w:pPr>
      <w:r>
        <w:continuationSeparator/>
      </w:r>
    </w:p>
  </w:footnote>
  <w:footnote w:type="continuationNotice" w:id="1">
    <w:p w14:paraId="2FF7ACC6" w14:textId="77777777" w:rsidR="001F0D98" w:rsidRDefault="001F0D98">
      <w:pPr>
        <w:spacing w:line="240" w:lineRule="auto"/>
      </w:pPr>
    </w:p>
  </w:footnote>
  <w:footnote w:id="2">
    <w:p w14:paraId="3130DCA6" w14:textId="77777777" w:rsidR="00B61CE4" w:rsidRDefault="00B61CE4" w:rsidP="00F7677A">
      <w:pPr>
        <w:spacing w:line="240" w:lineRule="auto"/>
        <w:rPr>
          <w:sz w:val="20"/>
          <w:szCs w:val="20"/>
        </w:rPr>
      </w:pPr>
      <w:r>
        <w:rPr>
          <w:vertAlign w:val="superscript"/>
        </w:rPr>
        <w:footnoteRef/>
      </w:r>
      <w:r>
        <w:rPr>
          <w:sz w:val="20"/>
          <w:szCs w:val="20"/>
        </w:rPr>
        <w:t xml:space="preserve"> </w:t>
      </w:r>
      <w:hyperlink r:id="rId1" w:history="1">
        <w:r>
          <w:rPr>
            <w:rStyle w:val="Kpr"/>
            <w:color w:val="1155CC"/>
            <w:sz w:val="20"/>
            <w:szCs w:val="20"/>
          </w:rPr>
          <w:t>http://www.unescap.org/our-work/social-development/population-dynamics</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07F3A"/>
    <w:multiLevelType w:val="multilevel"/>
    <w:tmpl w:val="7332A3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662D0FC0"/>
    <w:multiLevelType w:val="multilevel"/>
    <w:tmpl w:val="F9688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79CA1A52"/>
    <w:multiLevelType w:val="multilevel"/>
    <w:tmpl w:val="D1A8C3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77A"/>
    <w:rsid w:val="00002B76"/>
    <w:rsid w:val="0000787D"/>
    <w:rsid w:val="00016259"/>
    <w:rsid w:val="00126BB3"/>
    <w:rsid w:val="0013457E"/>
    <w:rsid w:val="00145D0F"/>
    <w:rsid w:val="001F0D98"/>
    <w:rsid w:val="0020214C"/>
    <w:rsid w:val="00267DD8"/>
    <w:rsid w:val="00305B4F"/>
    <w:rsid w:val="003327AE"/>
    <w:rsid w:val="0034191A"/>
    <w:rsid w:val="00360F55"/>
    <w:rsid w:val="00401683"/>
    <w:rsid w:val="00537BBB"/>
    <w:rsid w:val="006172F4"/>
    <w:rsid w:val="00651EF7"/>
    <w:rsid w:val="006B2F1D"/>
    <w:rsid w:val="00701D10"/>
    <w:rsid w:val="00711BE8"/>
    <w:rsid w:val="007D08BB"/>
    <w:rsid w:val="007D65BD"/>
    <w:rsid w:val="00851A9C"/>
    <w:rsid w:val="00874253"/>
    <w:rsid w:val="00953557"/>
    <w:rsid w:val="009B5895"/>
    <w:rsid w:val="00A93CEB"/>
    <w:rsid w:val="00B0276D"/>
    <w:rsid w:val="00B151EA"/>
    <w:rsid w:val="00B61CE4"/>
    <w:rsid w:val="00C534D0"/>
    <w:rsid w:val="00D464E4"/>
    <w:rsid w:val="00D92131"/>
    <w:rsid w:val="00E730A7"/>
    <w:rsid w:val="00F636D1"/>
    <w:rsid w:val="00F7677A"/>
    <w:rsid w:val="00FB3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C62E"/>
  <w15:docId w15:val="{F84BD714-9E34-4617-936A-61E32279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77A"/>
    <w:pPr>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7677A"/>
    <w:rPr>
      <w:color w:val="0000FF"/>
      <w:u w:val="single"/>
    </w:rPr>
  </w:style>
  <w:style w:type="paragraph" w:styleId="ListeParagraf">
    <w:name w:val="List Paragraph"/>
    <w:basedOn w:val="Normal"/>
    <w:uiPriority w:val="34"/>
    <w:qFormat/>
    <w:rsid w:val="00267DD8"/>
    <w:pPr>
      <w:ind w:left="720"/>
      <w:contextualSpacing/>
    </w:pPr>
  </w:style>
  <w:style w:type="paragraph" w:styleId="stbilgi">
    <w:name w:val="header"/>
    <w:basedOn w:val="Normal"/>
    <w:link w:val="stbilgiChar"/>
    <w:uiPriority w:val="99"/>
    <w:unhideWhenUsed/>
    <w:rsid w:val="00953557"/>
    <w:pPr>
      <w:tabs>
        <w:tab w:val="center" w:pos="4680"/>
        <w:tab w:val="right" w:pos="9360"/>
      </w:tabs>
      <w:spacing w:line="240" w:lineRule="auto"/>
    </w:pPr>
  </w:style>
  <w:style w:type="character" w:customStyle="1" w:styleId="stbilgiChar">
    <w:name w:val="Üstbilgi Char"/>
    <w:basedOn w:val="VarsaylanParagrafYazTipi"/>
    <w:link w:val="stbilgi"/>
    <w:uiPriority w:val="99"/>
    <w:rsid w:val="00953557"/>
    <w:rPr>
      <w:rFonts w:ascii="Arial" w:eastAsia="Arial" w:hAnsi="Arial" w:cs="Arial"/>
      <w:color w:val="000000"/>
      <w:lang w:eastAsia="tr-TR"/>
    </w:rPr>
  </w:style>
  <w:style w:type="paragraph" w:styleId="Altbilgi">
    <w:name w:val="footer"/>
    <w:basedOn w:val="Normal"/>
    <w:link w:val="AltbilgiChar"/>
    <w:uiPriority w:val="99"/>
    <w:unhideWhenUsed/>
    <w:rsid w:val="00953557"/>
    <w:pPr>
      <w:tabs>
        <w:tab w:val="center" w:pos="4680"/>
        <w:tab w:val="right" w:pos="9360"/>
      </w:tabs>
      <w:spacing w:line="240" w:lineRule="auto"/>
    </w:pPr>
  </w:style>
  <w:style w:type="character" w:customStyle="1" w:styleId="AltbilgiChar">
    <w:name w:val="Altbilgi Char"/>
    <w:basedOn w:val="VarsaylanParagrafYazTipi"/>
    <w:link w:val="Altbilgi"/>
    <w:uiPriority w:val="99"/>
    <w:rsid w:val="00953557"/>
    <w:rPr>
      <w:rFonts w:ascii="Arial" w:eastAsia="Arial" w:hAnsi="Arial" w:cs="Arial"/>
      <w:color w:val="000000"/>
      <w:lang w:eastAsia="tr-TR"/>
    </w:rPr>
  </w:style>
  <w:style w:type="paragraph" w:styleId="BalonMetni">
    <w:name w:val="Balloon Text"/>
    <w:basedOn w:val="Normal"/>
    <w:link w:val="BalonMetniChar"/>
    <w:uiPriority w:val="99"/>
    <w:semiHidden/>
    <w:unhideWhenUsed/>
    <w:rsid w:val="00953557"/>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3557"/>
    <w:rPr>
      <w:rFonts w:ascii="Segoe UI" w:eastAsia="Arial"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4803">
      <w:bodyDiv w:val="1"/>
      <w:marLeft w:val="0"/>
      <w:marRight w:val="0"/>
      <w:marTop w:val="0"/>
      <w:marBottom w:val="0"/>
      <w:divBdr>
        <w:top w:val="none" w:sz="0" w:space="0" w:color="auto"/>
        <w:left w:val="none" w:sz="0" w:space="0" w:color="auto"/>
        <w:bottom w:val="none" w:sz="0" w:space="0" w:color="auto"/>
        <w:right w:val="none" w:sz="0" w:space="0" w:color="auto"/>
      </w:divBdr>
    </w:div>
    <w:div w:id="1295018080">
      <w:bodyDiv w:val="1"/>
      <w:marLeft w:val="0"/>
      <w:marRight w:val="0"/>
      <w:marTop w:val="0"/>
      <w:marBottom w:val="0"/>
      <w:divBdr>
        <w:top w:val="none" w:sz="0" w:space="0" w:color="auto"/>
        <w:left w:val="none" w:sz="0" w:space="0" w:color="auto"/>
        <w:bottom w:val="none" w:sz="0" w:space="0" w:color="auto"/>
        <w:right w:val="none" w:sz="0" w:space="0" w:color="auto"/>
      </w:divBdr>
    </w:div>
    <w:div w:id="1393623133">
      <w:bodyDiv w:val="1"/>
      <w:marLeft w:val="0"/>
      <w:marRight w:val="0"/>
      <w:marTop w:val="0"/>
      <w:marBottom w:val="0"/>
      <w:divBdr>
        <w:top w:val="none" w:sz="0" w:space="0" w:color="auto"/>
        <w:left w:val="none" w:sz="0" w:space="0" w:color="auto"/>
        <w:bottom w:val="none" w:sz="0" w:space="0" w:color="auto"/>
        <w:right w:val="none" w:sz="0" w:space="0" w:color="auto"/>
      </w:divBdr>
    </w:div>
    <w:div w:id="14423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npowe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ylann@marjinal.com.tr" TargetMode="External"/><Relationship Id="rId5" Type="http://schemas.openxmlformats.org/officeDocument/2006/relationships/styles" Target="styles.xml"/><Relationship Id="rId10" Type="http://schemas.openxmlformats.org/officeDocument/2006/relationships/hyperlink" Target="http://www.totalworkforceind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escap.org/our-work/social-development/population-dyna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6" ma:contentTypeDescription="Yeni belge oluşturun." ma:contentTypeScope="" ma:versionID="c5f1805add1bf53f522857de6c4be63a">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c9c89169386a22fc66db42a3ccef2f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72BBC-4C6E-40D8-AEF0-E7C1B33D798A}">
  <ds:schemaRefs>
    <ds:schemaRef ds:uri="http://schemas.microsoft.com/sharepoint/v3/contenttype/forms"/>
  </ds:schemaRefs>
</ds:datastoreItem>
</file>

<file path=customXml/itemProps2.xml><?xml version="1.0" encoding="utf-8"?>
<ds:datastoreItem xmlns:ds="http://schemas.openxmlformats.org/officeDocument/2006/customXml" ds:itemID="{87BD608D-2154-40EC-9B59-4AE581F17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4502DC-B4F4-4F38-B29B-AC72E5215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5235</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Demirtas</dc:creator>
  <cp:lastModifiedBy>Yasemin Tirun</cp:lastModifiedBy>
  <cp:revision>2</cp:revision>
  <dcterms:created xsi:type="dcterms:W3CDTF">2017-10-20T11:56:00Z</dcterms:created>
  <dcterms:modified xsi:type="dcterms:W3CDTF">2017-10-20T11:56:00Z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