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9CDCE" w14:textId="77777777" w:rsidR="008A74AC" w:rsidRPr="00F57C18" w:rsidRDefault="008A74AC" w:rsidP="00D55B39">
      <w:pPr>
        <w:spacing w:before="6" w:after="0" w:line="100" w:lineRule="exact"/>
        <w:jc w:val="both"/>
        <w:rPr>
          <w:noProof/>
          <w:sz w:val="10"/>
          <w:szCs w:val="10"/>
          <w:lang w:val="tr-TR"/>
        </w:rPr>
      </w:pPr>
    </w:p>
    <w:p w14:paraId="29892DB5" w14:textId="77777777" w:rsidR="008A74AC" w:rsidRPr="00F57C18" w:rsidRDefault="007346F1" w:rsidP="00D55B39">
      <w:pPr>
        <w:spacing w:after="0" w:line="240" w:lineRule="auto"/>
        <w:ind w:left="7456" w:right="-20"/>
        <w:jc w:val="both"/>
        <w:rPr>
          <w:rFonts w:ascii="Times New Roman" w:eastAsia="Times New Roman" w:hAnsi="Times New Roman" w:cs="Times New Roman"/>
          <w:noProof/>
          <w:sz w:val="20"/>
          <w:szCs w:val="20"/>
          <w:lang w:val="tr-TR"/>
        </w:rPr>
      </w:pPr>
      <w:r w:rsidRPr="00F57C18">
        <w:rPr>
          <w:noProof/>
          <w:lang w:val="tr-TR" w:eastAsia="tr-TR"/>
        </w:rPr>
        <w:drawing>
          <wp:inline distT="0" distB="0" distL="0" distR="0" wp14:anchorId="34C9194E" wp14:editId="21DC99EF">
            <wp:extent cx="11334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619125"/>
                    </a:xfrm>
                    <a:prstGeom prst="rect">
                      <a:avLst/>
                    </a:prstGeom>
                    <a:noFill/>
                    <a:ln>
                      <a:noFill/>
                    </a:ln>
                  </pic:spPr>
                </pic:pic>
              </a:graphicData>
            </a:graphic>
          </wp:inline>
        </w:drawing>
      </w:r>
    </w:p>
    <w:p w14:paraId="0EAB3261" w14:textId="77777777" w:rsidR="008A74AC" w:rsidRPr="00F57C18" w:rsidRDefault="008A74AC" w:rsidP="00D55B39">
      <w:pPr>
        <w:spacing w:before="6" w:after="0" w:line="150" w:lineRule="exact"/>
        <w:jc w:val="both"/>
        <w:rPr>
          <w:noProof/>
          <w:sz w:val="15"/>
          <w:szCs w:val="15"/>
          <w:lang w:val="tr-TR"/>
        </w:rPr>
      </w:pPr>
    </w:p>
    <w:p w14:paraId="58B85A80" w14:textId="77777777" w:rsidR="008A74AC" w:rsidRPr="00F57C18" w:rsidRDefault="008A74AC" w:rsidP="00D55B39">
      <w:pPr>
        <w:spacing w:after="0" w:line="200" w:lineRule="exact"/>
        <w:jc w:val="both"/>
        <w:rPr>
          <w:noProof/>
          <w:sz w:val="20"/>
          <w:szCs w:val="20"/>
          <w:lang w:val="tr-TR"/>
        </w:rPr>
      </w:pPr>
    </w:p>
    <w:p w14:paraId="3374C13C" w14:textId="6EB84930" w:rsidR="008A74AC" w:rsidRPr="00F57C18" w:rsidRDefault="0004118F" w:rsidP="007346F1">
      <w:pPr>
        <w:spacing w:before="41" w:after="0" w:line="267" w:lineRule="auto"/>
        <w:ind w:left="7470" w:right="-10"/>
        <w:rPr>
          <w:rFonts w:ascii="Arial" w:eastAsia="Arial" w:hAnsi="Arial" w:cs="Arial"/>
          <w:noProof/>
          <w:color w:val="36312D"/>
          <w:sz w:val="15"/>
          <w:szCs w:val="15"/>
          <w:lang w:val="tr-TR"/>
        </w:rPr>
      </w:pPr>
      <w:r w:rsidRPr="00F57C18">
        <w:rPr>
          <w:rFonts w:ascii="Arial" w:eastAsia="Arial" w:hAnsi="Arial" w:cs="Arial"/>
          <w:noProof/>
          <w:color w:val="36312D"/>
          <w:sz w:val="15"/>
          <w:szCs w:val="15"/>
          <w:lang w:val="tr-TR"/>
        </w:rPr>
        <w:t>Lilly  İlaç</w:t>
      </w:r>
      <w:r w:rsidR="00DB1352" w:rsidRPr="00F57C18">
        <w:rPr>
          <w:rFonts w:ascii="Arial" w:eastAsia="Arial" w:hAnsi="Arial" w:cs="Arial"/>
          <w:noProof/>
          <w:color w:val="36312D"/>
          <w:sz w:val="15"/>
          <w:szCs w:val="15"/>
          <w:lang w:val="tr-TR"/>
        </w:rPr>
        <w:t xml:space="preserve"> Ticaret Ltd. Şti. </w:t>
      </w:r>
      <w:r w:rsidR="007346F1" w:rsidRPr="00F57C18">
        <w:rPr>
          <w:rFonts w:ascii="Arial" w:eastAsia="Arial" w:hAnsi="Arial" w:cs="Arial"/>
          <w:noProof/>
          <w:color w:val="36312D"/>
          <w:sz w:val="15"/>
          <w:szCs w:val="15"/>
          <w:lang w:val="tr-TR"/>
        </w:rPr>
        <w:t xml:space="preserve">  Acıbadem Mah. Çeçen Sok. Akasya Acıbadem Kent Etabı       A Blok Kat:3 34660 Üsküdar / İST.</w:t>
      </w:r>
      <w:r w:rsidR="00DB1352" w:rsidRPr="00F57C18">
        <w:rPr>
          <w:rFonts w:ascii="Arial" w:eastAsia="Arial" w:hAnsi="Arial" w:cs="Arial"/>
          <w:noProof/>
          <w:color w:val="36312D"/>
          <w:sz w:val="15"/>
          <w:szCs w:val="15"/>
          <w:lang w:val="tr-TR"/>
        </w:rPr>
        <w:t xml:space="preserve">                                                                                                                                               </w:t>
      </w:r>
      <w:r w:rsidR="007346F1" w:rsidRPr="00F57C18">
        <w:rPr>
          <w:rFonts w:ascii="Arial" w:eastAsia="Arial" w:hAnsi="Arial" w:cs="Arial"/>
          <w:noProof/>
          <w:color w:val="36312D"/>
          <w:sz w:val="15"/>
          <w:szCs w:val="15"/>
          <w:lang w:val="tr-TR"/>
        </w:rPr>
        <w:t xml:space="preserve">                              </w:t>
      </w:r>
    </w:p>
    <w:p w14:paraId="0F42FA9A" w14:textId="1B647F9C" w:rsidR="008550C7" w:rsidRPr="00F57C18" w:rsidRDefault="00DB1352" w:rsidP="000B2C07">
      <w:pPr>
        <w:spacing w:before="8" w:after="0" w:line="247" w:lineRule="auto"/>
        <w:ind w:left="7466" w:right="974" w:firstLine="5"/>
        <w:rPr>
          <w:rFonts w:ascii="Times New Roman" w:eastAsia="Times New Roman" w:hAnsi="Times New Roman" w:cs="Times New Roman"/>
          <w:b/>
          <w:bCs/>
          <w:noProof/>
          <w:color w:val="36312D"/>
          <w:w w:val="104"/>
          <w:sz w:val="16"/>
          <w:szCs w:val="16"/>
          <w:lang w:val="tr-TR"/>
        </w:rPr>
      </w:pPr>
      <w:r w:rsidRPr="00F57C18">
        <w:rPr>
          <w:rFonts w:ascii="Arial" w:eastAsia="Arial" w:hAnsi="Arial" w:cs="Arial"/>
          <w:noProof/>
          <w:color w:val="36312D"/>
          <w:sz w:val="15"/>
          <w:szCs w:val="15"/>
          <w:lang w:val="tr-TR"/>
        </w:rPr>
        <w:t xml:space="preserve">T: 0 216 554 00 00    F: 0 216 474 71 99 </w:t>
      </w:r>
      <w:hyperlink r:id="rId10">
        <w:r w:rsidRPr="00F57C18">
          <w:rPr>
            <w:rFonts w:ascii="Times New Roman" w:eastAsia="Times New Roman" w:hAnsi="Times New Roman" w:cs="Times New Roman"/>
            <w:b/>
            <w:bCs/>
            <w:noProof/>
            <w:color w:val="36312D"/>
            <w:w w:val="104"/>
            <w:sz w:val="16"/>
            <w:szCs w:val="16"/>
            <w:lang w:val="tr-TR"/>
          </w:rPr>
          <w:t>www.lilly.com.tr</w:t>
        </w:r>
      </w:hyperlink>
    </w:p>
    <w:p w14:paraId="39058A78" w14:textId="48EFC609" w:rsidR="008550C7" w:rsidRPr="00F57C18" w:rsidRDefault="00841C95" w:rsidP="000B2C07">
      <w:pPr>
        <w:autoSpaceDE w:val="0"/>
        <w:autoSpaceDN w:val="0"/>
        <w:adjustRightInd w:val="0"/>
        <w:spacing w:line="360" w:lineRule="auto"/>
        <w:rPr>
          <w:rFonts w:ascii="Verdana" w:hAnsi="Verdana" w:cs="Arial"/>
          <w:b/>
          <w:noProof/>
          <w:color w:val="000000"/>
          <w:sz w:val="32"/>
          <w:szCs w:val="24"/>
          <w:u w:val="single"/>
          <w:lang w:val="tr-TR"/>
        </w:rPr>
      </w:pPr>
      <w:r w:rsidRPr="00F57C18">
        <w:rPr>
          <w:rFonts w:ascii="Verdana" w:hAnsi="Verdana" w:cs="Arial"/>
          <w:b/>
          <w:noProof/>
          <w:color w:val="000000"/>
          <w:sz w:val="32"/>
          <w:szCs w:val="24"/>
          <w:u w:val="single"/>
          <w:lang w:val="tr-TR"/>
        </w:rPr>
        <w:t>BASIN BÜLTENİ</w:t>
      </w:r>
    </w:p>
    <w:p w14:paraId="4DE84139" w14:textId="77777777" w:rsidR="00F57C18" w:rsidRPr="00F57C18" w:rsidRDefault="00F57C18" w:rsidP="00F57C18">
      <w:pPr>
        <w:rPr>
          <w:rFonts w:ascii="Verdana" w:hAnsi="Verdana"/>
          <w:b/>
          <w:noProof/>
          <w:sz w:val="32"/>
          <w:szCs w:val="32"/>
          <w:u w:val="single"/>
          <w:lang w:val="tr-TR"/>
        </w:rPr>
      </w:pPr>
    </w:p>
    <w:p w14:paraId="621B0A3C" w14:textId="77777777" w:rsidR="00F57C18" w:rsidRPr="00F57C18" w:rsidRDefault="00F57C18" w:rsidP="00F57C18">
      <w:pPr>
        <w:jc w:val="center"/>
        <w:rPr>
          <w:rFonts w:ascii="Verdana" w:hAnsi="Verdana"/>
          <w:b/>
          <w:noProof/>
          <w:sz w:val="28"/>
          <w:szCs w:val="28"/>
          <w:lang w:val="tr-TR"/>
        </w:rPr>
      </w:pPr>
      <w:r w:rsidRPr="00F57C18">
        <w:rPr>
          <w:rFonts w:ascii="Verdana" w:hAnsi="Verdana"/>
          <w:b/>
          <w:noProof/>
          <w:sz w:val="28"/>
          <w:szCs w:val="28"/>
          <w:lang w:val="tr-TR"/>
        </w:rPr>
        <w:t>Türkiye’de diyabet görülme sıklığı 12 yılda yüzde 90 arttı</w:t>
      </w:r>
    </w:p>
    <w:p w14:paraId="42649A88" w14:textId="77777777" w:rsidR="00F57C18" w:rsidRPr="00F57C18" w:rsidRDefault="00F57C18" w:rsidP="00F57C18">
      <w:pPr>
        <w:jc w:val="center"/>
        <w:rPr>
          <w:rFonts w:ascii="Verdana" w:hAnsi="Verdana"/>
          <w:b/>
          <w:noProof/>
          <w:sz w:val="28"/>
          <w:szCs w:val="28"/>
          <w:lang w:val="tr-TR"/>
        </w:rPr>
      </w:pPr>
    </w:p>
    <w:p w14:paraId="28891B1D" w14:textId="77777777" w:rsidR="00F57C18" w:rsidRPr="00F57C18" w:rsidRDefault="00F57C18" w:rsidP="00F57C18">
      <w:pPr>
        <w:jc w:val="center"/>
        <w:rPr>
          <w:rFonts w:ascii="Verdana" w:hAnsi="Verdana"/>
          <w:b/>
          <w:noProof/>
          <w:sz w:val="24"/>
          <w:szCs w:val="24"/>
          <w:lang w:val="tr-TR"/>
        </w:rPr>
      </w:pPr>
      <w:r w:rsidRPr="00F57C18">
        <w:rPr>
          <w:rFonts w:ascii="Verdana" w:hAnsi="Verdana"/>
          <w:b/>
          <w:noProof/>
          <w:sz w:val="24"/>
          <w:szCs w:val="24"/>
          <w:lang w:val="tr-TR"/>
        </w:rPr>
        <w:t xml:space="preserve">Ciddi komplikasyonlar gelişinceye dek sessiz bir hastalık olarak ilerleyen diyabet, hastaların yaşam kalitesini olumsuz etkiliyor. </w:t>
      </w:r>
    </w:p>
    <w:p w14:paraId="2EE1FADB" w14:textId="77777777" w:rsidR="00F57C18" w:rsidRPr="00F57C18" w:rsidRDefault="00F57C18" w:rsidP="00F57C18">
      <w:pPr>
        <w:rPr>
          <w:rFonts w:ascii="Verdana" w:hAnsi="Verdana"/>
          <w:b/>
          <w:noProof/>
          <w:sz w:val="24"/>
          <w:szCs w:val="24"/>
          <w:lang w:val="tr-TR"/>
        </w:rPr>
      </w:pPr>
    </w:p>
    <w:p w14:paraId="2E617CCD" w14:textId="66BFC036" w:rsidR="00F57C18" w:rsidRPr="00F57C18" w:rsidRDefault="00F57C18" w:rsidP="00F57C18">
      <w:pPr>
        <w:spacing w:line="360" w:lineRule="auto"/>
        <w:jc w:val="both"/>
        <w:rPr>
          <w:rFonts w:ascii="Verdana" w:hAnsi="Verdana"/>
          <w:noProof/>
          <w:sz w:val="20"/>
          <w:szCs w:val="20"/>
          <w:lang w:val="tr-TR"/>
        </w:rPr>
      </w:pPr>
      <w:r w:rsidRPr="00F57C18">
        <w:rPr>
          <w:rFonts w:ascii="Verdana" w:hAnsi="Verdana"/>
          <w:noProof/>
          <w:sz w:val="20"/>
          <w:szCs w:val="20"/>
          <w:lang w:val="tr-TR"/>
        </w:rPr>
        <w:t>Sosyal ve ekonomik yüküyle hem toplum sağlığını hem de sağlık sistemlerini pek çok güçlükle karşı karşıya bırakan diyabetin, tüm dünyada görülme sıklığı artıyor</w:t>
      </w:r>
      <w:r>
        <w:rPr>
          <w:rFonts w:ascii="Verdana" w:hAnsi="Verdana"/>
          <w:noProof/>
          <w:sz w:val="20"/>
          <w:szCs w:val="20"/>
          <w:lang w:val="tr-TR"/>
        </w:rPr>
        <w:t xml:space="preserve">. </w:t>
      </w:r>
      <w:r w:rsidRPr="00F57C18">
        <w:rPr>
          <w:rFonts w:ascii="Verdana" w:hAnsi="Verdana"/>
          <w:noProof/>
          <w:sz w:val="20"/>
          <w:szCs w:val="20"/>
          <w:lang w:val="tr-TR"/>
        </w:rPr>
        <w:t>Uluslararası Diyabet Federasyonu (IDF) verilerine göre 2017 yılında dünya üzerinde 425 milyon diyabetli olduğu ve bu sayının 2045 yılında 629 milyona ulaşacağı tahmin ediliyor. Türkiye’de de diyabet sıklığı, 2010 yılında yapılan TURDEP II çalışmasına göre %13,7’ye çıkmış ve 12 yılda %90 oranında bir artış göstermiştir.</w:t>
      </w:r>
    </w:p>
    <w:p w14:paraId="6CFD84C2" w14:textId="77777777" w:rsidR="00F57C18" w:rsidRPr="00F57C18" w:rsidRDefault="00F57C18" w:rsidP="00F57C18">
      <w:pPr>
        <w:spacing w:line="360" w:lineRule="auto"/>
        <w:jc w:val="both"/>
        <w:rPr>
          <w:rFonts w:ascii="Verdana" w:hAnsi="Verdana"/>
          <w:noProof/>
          <w:sz w:val="20"/>
          <w:szCs w:val="20"/>
          <w:lang w:val="tr-TR"/>
        </w:rPr>
      </w:pPr>
      <w:r w:rsidRPr="00F57C18">
        <w:rPr>
          <w:rFonts w:ascii="Verdana" w:hAnsi="Verdana"/>
          <w:noProof/>
          <w:sz w:val="20"/>
          <w:szCs w:val="20"/>
          <w:lang w:val="tr-TR"/>
        </w:rPr>
        <w:t xml:space="preserve">Morbiditeyi artıran önemli hastalıklardan biri olarak kabul edilen diyabet, son dönemde görülen böbrek yetmezliklerinin yarısının, 65 yaş altı körlük ve travma dışı nedenlere bağlı ampütasyonun ise en yaygın nedeni olarak da nitelendiriliyor. </w:t>
      </w:r>
    </w:p>
    <w:p w14:paraId="54DB00D5" w14:textId="77777777" w:rsidR="00F57C18" w:rsidRPr="00F57C18" w:rsidRDefault="00F57C18" w:rsidP="00F57C18">
      <w:pPr>
        <w:spacing w:line="360" w:lineRule="auto"/>
        <w:jc w:val="both"/>
        <w:rPr>
          <w:rFonts w:ascii="Verdana" w:hAnsi="Verdana"/>
          <w:b/>
          <w:noProof/>
          <w:sz w:val="20"/>
          <w:szCs w:val="20"/>
          <w:lang w:val="tr-TR"/>
        </w:rPr>
      </w:pPr>
      <w:r w:rsidRPr="00F57C18">
        <w:rPr>
          <w:rFonts w:ascii="Verdana" w:hAnsi="Verdana"/>
          <w:b/>
          <w:noProof/>
          <w:sz w:val="20"/>
          <w:szCs w:val="20"/>
          <w:lang w:val="tr-TR"/>
        </w:rPr>
        <w:t>Türkiye’deki diyabetli bireylerin yaklaşık yarısı hastalığından habersiz</w:t>
      </w:r>
    </w:p>
    <w:p w14:paraId="70BBDD0B" w14:textId="31C5C7EC" w:rsidR="00F57C18" w:rsidRPr="00F57C18" w:rsidRDefault="00F57C18" w:rsidP="00F57C18">
      <w:pPr>
        <w:spacing w:line="360" w:lineRule="auto"/>
        <w:jc w:val="both"/>
        <w:rPr>
          <w:rFonts w:ascii="Verdana" w:hAnsi="Verdana"/>
          <w:b/>
          <w:noProof/>
          <w:sz w:val="20"/>
          <w:szCs w:val="20"/>
          <w:lang w:val="tr-TR"/>
        </w:rPr>
      </w:pPr>
      <w:r w:rsidRPr="00F57C18">
        <w:rPr>
          <w:rFonts w:ascii="Verdana" w:hAnsi="Verdana"/>
          <w:noProof/>
          <w:sz w:val="20"/>
          <w:szCs w:val="20"/>
          <w:lang w:val="tr-TR"/>
        </w:rPr>
        <w:t xml:space="preserve">Türkiye Diyabet Vakfı Yönetim Kurulu Üyesi ve </w:t>
      </w:r>
      <w:r w:rsidR="000A58BF" w:rsidRPr="000A58BF">
        <w:rPr>
          <w:rFonts w:ascii="Verdana" w:hAnsi="Verdana"/>
          <w:noProof/>
          <w:sz w:val="20"/>
          <w:szCs w:val="20"/>
          <w:lang w:val="tr-TR"/>
        </w:rPr>
        <w:t xml:space="preserve">İstanbul Medeniyet Üniversitesi Tıp Fakültesi Aile Hekimliği Anabilim Dalı </w:t>
      </w:r>
      <w:r w:rsidRPr="00F57C18">
        <w:rPr>
          <w:rFonts w:ascii="Verdana" w:hAnsi="Verdana"/>
          <w:noProof/>
          <w:sz w:val="20"/>
          <w:szCs w:val="20"/>
          <w:lang w:val="tr-TR"/>
        </w:rPr>
        <w:t>Başkanı</w:t>
      </w:r>
      <w:r w:rsidR="000A58BF">
        <w:rPr>
          <w:rFonts w:ascii="Verdana" w:hAnsi="Verdana"/>
          <w:noProof/>
          <w:sz w:val="20"/>
          <w:szCs w:val="20"/>
          <w:lang w:val="tr-TR"/>
        </w:rPr>
        <w:t xml:space="preserve"> </w:t>
      </w:r>
      <w:r w:rsidRPr="00F57C18">
        <w:rPr>
          <w:rFonts w:ascii="Verdana" w:hAnsi="Verdana"/>
          <w:noProof/>
          <w:sz w:val="20"/>
          <w:szCs w:val="20"/>
          <w:lang w:val="tr-TR"/>
        </w:rPr>
        <w:t>Prof. Dr. Mehmet Sargın, hastaların önemli bir kısmına tanı konulduğunda, hastanın yaşam kalitesini büyük oranda düşüren komplikasyonların gelişmiş olduğunu belirtiyor. Prof. Dr. Sargın, erken tanı için diyabet açısından yüksek riskli bireylerin yılda bir kez kan şekeri ve/veya HbA1c testi yaptırmasının gerekli olduğunun altını çizerken, tanının ardından diyabetli hastalarda etkin glisemik kontrol sağlanması ve üç ayda bir HBA1c testi ile bunun kontrolünün yapılması gerektiğini vurguluyor.</w:t>
      </w:r>
    </w:p>
    <w:p w14:paraId="0CEFCE9B" w14:textId="77777777" w:rsidR="00F57C18" w:rsidRDefault="00F57C18" w:rsidP="00F57C18">
      <w:pPr>
        <w:spacing w:line="360" w:lineRule="auto"/>
        <w:jc w:val="both"/>
        <w:rPr>
          <w:rFonts w:ascii="Verdana" w:hAnsi="Verdana"/>
          <w:b/>
          <w:noProof/>
          <w:sz w:val="20"/>
          <w:szCs w:val="20"/>
          <w:lang w:val="tr-TR"/>
        </w:rPr>
      </w:pPr>
    </w:p>
    <w:p w14:paraId="721BDDE3" w14:textId="653DBFB1" w:rsidR="00F57C18" w:rsidRPr="00F57C18" w:rsidRDefault="00F57C18" w:rsidP="00F57C18">
      <w:pPr>
        <w:spacing w:line="360" w:lineRule="auto"/>
        <w:jc w:val="both"/>
        <w:rPr>
          <w:rFonts w:ascii="Verdana" w:hAnsi="Verdana"/>
          <w:b/>
          <w:noProof/>
          <w:sz w:val="20"/>
          <w:szCs w:val="20"/>
          <w:lang w:val="tr-TR"/>
        </w:rPr>
      </w:pPr>
      <w:r w:rsidRPr="00F57C18">
        <w:rPr>
          <w:rFonts w:ascii="Verdana" w:hAnsi="Verdana"/>
          <w:b/>
          <w:noProof/>
          <w:sz w:val="20"/>
          <w:szCs w:val="20"/>
          <w:lang w:val="tr-TR"/>
        </w:rPr>
        <w:lastRenderedPageBreak/>
        <w:t xml:space="preserve">Diyabet hastaların yaşam kalitesini olumsuz etkiliyor </w:t>
      </w:r>
    </w:p>
    <w:p w14:paraId="01DF7641" w14:textId="66981A53" w:rsidR="00F57C18" w:rsidRPr="00F57C18" w:rsidRDefault="00F57C18" w:rsidP="00F57C18">
      <w:pPr>
        <w:spacing w:line="360" w:lineRule="auto"/>
        <w:jc w:val="both"/>
        <w:rPr>
          <w:rFonts w:ascii="Verdana" w:hAnsi="Verdana"/>
          <w:noProof/>
          <w:sz w:val="20"/>
          <w:szCs w:val="20"/>
          <w:lang w:val="tr-TR"/>
        </w:rPr>
      </w:pPr>
      <w:r w:rsidRPr="00F57C18">
        <w:rPr>
          <w:rFonts w:ascii="Verdana" w:hAnsi="Verdana"/>
          <w:noProof/>
          <w:sz w:val="20"/>
          <w:szCs w:val="20"/>
          <w:lang w:val="tr-TR"/>
        </w:rPr>
        <w:t>Prof. Dr. Sargın, hastanın çalışma hayatını ve günlük rutinini devam ettirmesini zorlaştıran diyabet kaynaklı kronik komplikasyonları şöyle açıklıyor: “Kronik komplikasyonların gelişmesi, yaşam kalitesinde ciddi düşüş nedenidir. Görme kaybı – körlük, kronik böbrek yetmezliği, koroner arter hastalığı – kalp yetmezliği, diyabetik ayak – amputasyonlar, kronik ağrıya sebep olan periferal nöropati, gastroparezi, mesane disfonksiyonları gibi komplikasyonlar geliştiğinde hastanın fiziki aktivitesi ciddi anlamda sınırlanabilmektedir.</w:t>
      </w:r>
      <w:r>
        <w:rPr>
          <w:rFonts w:ascii="Verdana" w:hAnsi="Verdana"/>
          <w:noProof/>
          <w:sz w:val="20"/>
          <w:szCs w:val="20"/>
          <w:lang w:val="tr-TR"/>
        </w:rPr>
        <w:t xml:space="preserve"> </w:t>
      </w:r>
      <w:r w:rsidRPr="00F57C18">
        <w:rPr>
          <w:rFonts w:ascii="Verdana" w:hAnsi="Verdana"/>
          <w:noProof/>
          <w:sz w:val="20"/>
          <w:szCs w:val="20"/>
          <w:lang w:val="tr-TR"/>
        </w:rPr>
        <w:t xml:space="preserve">Diyabet tedavisinin başarılı olabilmesi için hastanın yaşam tarzı değişikliği yapması ve ilaçlarını düzenli kullanılması gerekiyor. Diyabette yaşam tarzı yönetimi, diyabetli bireylerin kendilerini yönetim eğitimi ve desteği, tıbbi beslenme tedavisi, fiziksel aktivite, sigarayı bırakma danışmanlığı ve psikososyal bakım başlıklarından oluşmaktadır. Bugün diyabet takibinde yaşanılan birçok sorun bu yönetimin yapılmaması veya göz ardı edilmesinden kaynaklanmaktadır.” </w:t>
      </w:r>
    </w:p>
    <w:p w14:paraId="74C840A0" w14:textId="77777777" w:rsidR="00F57C18" w:rsidRPr="00F57C18" w:rsidRDefault="00F57C18" w:rsidP="00F57C18">
      <w:pPr>
        <w:spacing w:line="360" w:lineRule="auto"/>
        <w:jc w:val="both"/>
        <w:rPr>
          <w:rFonts w:ascii="Verdana" w:hAnsi="Verdana"/>
          <w:b/>
          <w:noProof/>
          <w:sz w:val="20"/>
          <w:szCs w:val="20"/>
          <w:lang w:val="tr-TR"/>
        </w:rPr>
      </w:pPr>
      <w:r w:rsidRPr="00F57C18">
        <w:rPr>
          <w:rFonts w:ascii="Verdana" w:hAnsi="Verdana"/>
          <w:b/>
          <w:noProof/>
          <w:sz w:val="20"/>
          <w:szCs w:val="20"/>
          <w:lang w:val="tr-TR"/>
        </w:rPr>
        <w:t xml:space="preserve">Diyabet tedavisi uyum ve sürekliliğinin geliştirilmesi en etkili çözüm </w:t>
      </w:r>
    </w:p>
    <w:p w14:paraId="2A08AFA1" w14:textId="76380A04" w:rsidR="00144C64" w:rsidRPr="00F57C18" w:rsidRDefault="00F57C18" w:rsidP="00F57C18">
      <w:pPr>
        <w:spacing w:line="360" w:lineRule="auto"/>
        <w:jc w:val="both"/>
        <w:rPr>
          <w:rFonts w:ascii="Verdana" w:hAnsi="Verdana"/>
          <w:noProof/>
          <w:sz w:val="20"/>
          <w:szCs w:val="20"/>
          <w:lang w:val="tr-TR"/>
        </w:rPr>
      </w:pPr>
      <w:r w:rsidRPr="00F57C18">
        <w:rPr>
          <w:rFonts w:ascii="Verdana" w:hAnsi="Verdana"/>
          <w:noProof/>
          <w:sz w:val="20"/>
          <w:szCs w:val="20"/>
          <w:lang w:val="tr-TR"/>
        </w:rPr>
        <w:t>Lilly İlaç Medikal Direktörü Levent Alev ise 14 Kasım Dünya Diyabet Günü’nde şunları söyledi: “Diyabet yönetiminde, hastanın kendi sağlığı ve bakımını yönetmek için adımlar atma konusundaki istekliliği ve yeterliğinin teşvik edilmesi esastır.  Türkiye’deki diyabetli birey sayısı hızla artarken, diyabet eğitimine erişimin sağlanması ve eğitimin bireye göre uyarlanması da dahil olmak üzere,  diyabet tedavisinde uyum ve sürekliliğin iyileştirilmesi için pek çok fırsat mevcut. Diyabet tedavisi uyum ve sürekliliğinin geliştirilmesi, diyabetin sağlık sistemleri üzerindeki yükünü belirgin şekilde düşürerek, diyabetle yaşayan bireyler için yaşam kalitesini artırabilir. Biz Lilly İlaç olarak, bu doğrultuda tüm paydaşlarla iş birliği içinde çalışmaya devam edeceğiz.”</w:t>
      </w:r>
    </w:p>
    <w:p w14:paraId="13FF2CC0" w14:textId="2D3EE263" w:rsidR="00836DB4" w:rsidRPr="00F57C18" w:rsidRDefault="00836DB4" w:rsidP="00836DB4">
      <w:pPr>
        <w:autoSpaceDE w:val="0"/>
        <w:autoSpaceDN w:val="0"/>
        <w:adjustRightInd w:val="0"/>
        <w:spacing w:line="240" w:lineRule="auto"/>
        <w:contextualSpacing/>
        <w:jc w:val="both"/>
        <w:rPr>
          <w:rFonts w:ascii="Verdana" w:hAnsi="Verdana" w:cs="Verdana"/>
          <w:noProof/>
          <w:color w:val="000000"/>
          <w:sz w:val="16"/>
          <w:szCs w:val="16"/>
          <w:lang w:val="tr-TR"/>
        </w:rPr>
      </w:pPr>
      <w:r w:rsidRPr="00F57C18">
        <w:rPr>
          <w:rFonts w:ascii="Verdana" w:hAnsi="Verdana" w:cs="Verdana"/>
          <w:b/>
          <w:bCs/>
          <w:noProof/>
          <w:color w:val="000000"/>
          <w:sz w:val="16"/>
          <w:szCs w:val="16"/>
          <w:lang w:val="tr-TR"/>
        </w:rPr>
        <w:t xml:space="preserve">İlgili Kişi: </w:t>
      </w:r>
    </w:p>
    <w:p w14:paraId="3F647933" w14:textId="77777777" w:rsidR="00836DB4" w:rsidRPr="00F57C18" w:rsidRDefault="00836DB4" w:rsidP="00836DB4">
      <w:pPr>
        <w:autoSpaceDE w:val="0"/>
        <w:autoSpaceDN w:val="0"/>
        <w:adjustRightInd w:val="0"/>
        <w:spacing w:line="240" w:lineRule="auto"/>
        <w:contextualSpacing/>
        <w:jc w:val="both"/>
        <w:rPr>
          <w:rFonts w:ascii="Verdana" w:hAnsi="Verdana" w:cs="Verdana"/>
          <w:noProof/>
          <w:color w:val="000000"/>
          <w:sz w:val="16"/>
          <w:szCs w:val="16"/>
          <w:lang w:val="tr-TR"/>
        </w:rPr>
      </w:pPr>
      <w:r w:rsidRPr="00F57C18">
        <w:rPr>
          <w:rFonts w:ascii="Verdana" w:hAnsi="Verdana" w:cs="Verdana"/>
          <w:noProof/>
          <w:color w:val="000000"/>
          <w:sz w:val="16"/>
          <w:szCs w:val="16"/>
          <w:lang w:val="tr-TR"/>
        </w:rPr>
        <w:t xml:space="preserve">Eray Çoşan </w:t>
      </w:r>
    </w:p>
    <w:p w14:paraId="0C8A5CE4" w14:textId="77777777" w:rsidR="00836DB4" w:rsidRPr="00F57C18" w:rsidRDefault="00836DB4" w:rsidP="00836DB4">
      <w:pPr>
        <w:autoSpaceDE w:val="0"/>
        <w:autoSpaceDN w:val="0"/>
        <w:adjustRightInd w:val="0"/>
        <w:spacing w:line="240" w:lineRule="auto"/>
        <w:contextualSpacing/>
        <w:jc w:val="both"/>
        <w:rPr>
          <w:rFonts w:ascii="Verdana" w:hAnsi="Verdana" w:cs="Verdana"/>
          <w:noProof/>
          <w:color w:val="000000"/>
          <w:sz w:val="16"/>
          <w:szCs w:val="16"/>
          <w:lang w:val="tr-TR"/>
        </w:rPr>
      </w:pPr>
      <w:r w:rsidRPr="00F57C18">
        <w:rPr>
          <w:rFonts w:ascii="Verdana" w:hAnsi="Verdana" w:cs="Verdana"/>
          <w:noProof/>
          <w:color w:val="000000"/>
          <w:sz w:val="16"/>
          <w:szCs w:val="16"/>
          <w:lang w:val="tr-TR"/>
        </w:rPr>
        <w:t xml:space="preserve">Bordo PR </w:t>
      </w:r>
    </w:p>
    <w:p w14:paraId="331A559F" w14:textId="77777777" w:rsidR="00836DB4" w:rsidRPr="00F57C18" w:rsidRDefault="00836DB4" w:rsidP="00836DB4">
      <w:pPr>
        <w:autoSpaceDE w:val="0"/>
        <w:autoSpaceDN w:val="0"/>
        <w:adjustRightInd w:val="0"/>
        <w:spacing w:line="240" w:lineRule="auto"/>
        <w:contextualSpacing/>
        <w:jc w:val="both"/>
        <w:rPr>
          <w:rFonts w:ascii="Verdana" w:hAnsi="Verdana" w:cs="Verdana"/>
          <w:noProof/>
          <w:color w:val="000000"/>
          <w:sz w:val="16"/>
          <w:szCs w:val="16"/>
          <w:lang w:val="tr-TR"/>
        </w:rPr>
      </w:pPr>
      <w:r w:rsidRPr="00F57C18">
        <w:rPr>
          <w:rFonts w:ascii="Verdana" w:hAnsi="Verdana" w:cs="Verdana"/>
          <w:noProof/>
          <w:color w:val="000000"/>
          <w:sz w:val="16"/>
          <w:szCs w:val="16"/>
          <w:lang w:val="tr-TR"/>
        </w:rPr>
        <w:t xml:space="preserve">0 533 927 23 97 </w:t>
      </w:r>
    </w:p>
    <w:p w14:paraId="1453707C" w14:textId="77777777" w:rsidR="00836DB4" w:rsidRPr="00F57C18" w:rsidRDefault="00832D7D" w:rsidP="00836DB4">
      <w:pPr>
        <w:autoSpaceDE w:val="0"/>
        <w:autoSpaceDN w:val="0"/>
        <w:adjustRightInd w:val="0"/>
        <w:spacing w:line="240" w:lineRule="auto"/>
        <w:contextualSpacing/>
        <w:jc w:val="both"/>
        <w:rPr>
          <w:rFonts w:ascii="Verdana" w:hAnsi="Verdana" w:cs="Verdana"/>
          <w:noProof/>
          <w:color w:val="000000"/>
          <w:sz w:val="16"/>
          <w:szCs w:val="16"/>
          <w:lang w:val="tr-TR"/>
        </w:rPr>
      </w:pPr>
      <w:hyperlink r:id="rId11" w:history="1">
        <w:r w:rsidR="00836DB4" w:rsidRPr="00F57C18">
          <w:rPr>
            <w:rStyle w:val="Kpr"/>
            <w:rFonts w:ascii="Verdana" w:hAnsi="Verdana" w:cs="Verdana"/>
            <w:noProof/>
            <w:sz w:val="16"/>
            <w:szCs w:val="16"/>
            <w:lang w:val="tr-TR"/>
          </w:rPr>
          <w:t>erayc@bordopr.com</w:t>
        </w:r>
      </w:hyperlink>
      <w:r w:rsidR="00836DB4" w:rsidRPr="00F57C18">
        <w:rPr>
          <w:rFonts w:ascii="Verdana" w:hAnsi="Verdana" w:cs="Verdana"/>
          <w:noProof/>
          <w:color w:val="000000"/>
          <w:sz w:val="16"/>
          <w:szCs w:val="16"/>
          <w:lang w:val="tr-TR"/>
        </w:rPr>
        <w:t xml:space="preserve"> </w:t>
      </w:r>
    </w:p>
    <w:p w14:paraId="600EEF9B" w14:textId="77777777" w:rsidR="00836DB4" w:rsidRPr="00F57C18" w:rsidRDefault="00836DB4" w:rsidP="00836DB4">
      <w:pPr>
        <w:autoSpaceDE w:val="0"/>
        <w:autoSpaceDN w:val="0"/>
        <w:adjustRightInd w:val="0"/>
        <w:spacing w:line="240" w:lineRule="auto"/>
        <w:jc w:val="both"/>
        <w:rPr>
          <w:rFonts w:ascii="Verdana" w:hAnsi="Verdana" w:cs="Verdana"/>
          <w:noProof/>
          <w:color w:val="000000"/>
          <w:sz w:val="16"/>
          <w:szCs w:val="16"/>
          <w:lang w:val="tr-TR"/>
        </w:rPr>
      </w:pPr>
    </w:p>
    <w:p w14:paraId="380AEDBE" w14:textId="77777777" w:rsidR="00836DB4" w:rsidRPr="00F57C18" w:rsidRDefault="00836DB4" w:rsidP="00836DB4">
      <w:pPr>
        <w:autoSpaceDE w:val="0"/>
        <w:autoSpaceDN w:val="0"/>
        <w:adjustRightInd w:val="0"/>
        <w:spacing w:line="240" w:lineRule="auto"/>
        <w:jc w:val="both"/>
        <w:rPr>
          <w:rFonts w:ascii="Verdana" w:hAnsi="Verdana" w:cs="Verdana"/>
          <w:noProof/>
          <w:color w:val="000000"/>
          <w:sz w:val="16"/>
          <w:szCs w:val="16"/>
          <w:lang w:val="tr-TR"/>
        </w:rPr>
      </w:pPr>
      <w:r w:rsidRPr="00F57C18">
        <w:rPr>
          <w:rFonts w:ascii="Verdana" w:hAnsi="Verdana" w:cs="Verdana"/>
          <w:b/>
          <w:bCs/>
          <w:noProof/>
          <w:color w:val="000000"/>
          <w:sz w:val="16"/>
          <w:szCs w:val="16"/>
          <w:lang w:val="tr-TR"/>
        </w:rPr>
        <w:t xml:space="preserve">Lilly İlaç hakkında </w:t>
      </w:r>
    </w:p>
    <w:p w14:paraId="48652568" w14:textId="49ED3887" w:rsidR="00BD2F4C" w:rsidRPr="00F57C18" w:rsidRDefault="00836DB4" w:rsidP="00144C64">
      <w:pPr>
        <w:spacing w:line="240" w:lineRule="auto"/>
        <w:jc w:val="both"/>
        <w:rPr>
          <w:rStyle w:val="Kpr"/>
          <w:rFonts w:ascii="Verdana" w:hAnsi="Verdana" w:cs="Verdana"/>
          <w:noProof/>
          <w:sz w:val="16"/>
          <w:szCs w:val="16"/>
          <w:lang w:val="tr-TR"/>
        </w:rPr>
      </w:pPr>
      <w:r w:rsidRPr="00F57C18">
        <w:rPr>
          <w:rFonts w:ascii="Verdana" w:hAnsi="Verdana" w:cs="Verdana"/>
          <w:noProof/>
          <w:color w:val="000000"/>
          <w:sz w:val="16"/>
          <w:szCs w:val="16"/>
          <w:lang w:val="tr-TR"/>
        </w:rPr>
        <w:t>İnsanların daha uzun, daha sağlıklı, daha aktif yaşam sürmelerini sağlayan ilaçlar üretmek misyonu ile 1876 yılında ABD’de kurulmuş olan Lilly, bugün dünyanın en büyük ilaç şirketleri arasın</w:t>
      </w:r>
      <w:r w:rsidR="00F97347" w:rsidRPr="00F57C18">
        <w:rPr>
          <w:rFonts w:ascii="Verdana" w:hAnsi="Verdana" w:cs="Verdana"/>
          <w:noProof/>
          <w:color w:val="000000"/>
          <w:sz w:val="16"/>
          <w:szCs w:val="16"/>
          <w:lang w:val="tr-TR"/>
        </w:rPr>
        <w:t>dadır. Dünya çapında yaklaşık 38</w:t>
      </w:r>
      <w:r w:rsidRPr="00F57C18">
        <w:rPr>
          <w:rFonts w:ascii="Verdana" w:hAnsi="Verdana" w:cs="Verdana"/>
          <w:noProof/>
          <w:color w:val="000000"/>
          <w:sz w:val="16"/>
          <w:szCs w:val="16"/>
          <w:lang w:val="tr-TR"/>
        </w:rPr>
        <w:t xml:space="preserve">.000 çalışanı olan Lilly, 55’ten fazla ülkede klinik araştırmalar yürütmekte, </w:t>
      </w:r>
      <w:r w:rsidR="00AF06D8" w:rsidRPr="00F57C18">
        <w:rPr>
          <w:rFonts w:ascii="Verdana" w:hAnsi="Verdana" w:cs="Verdana"/>
          <w:noProof/>
          <w:color w:val="000000"/>
          <w:sz w:val="16"/>
          <w:szCs w:val="16"/>
          <w:lang w:val="tr-TR"/>
        </w:rPr>
        <w:t xml:space="preserve">8 </w:t>
      </w:r>
      <w:r w:rsidRPr="00F57C18">
        <w:rPr>
          <w:rFonts w:ascii="Verdana" w:hAnsi="Verdana" w:cs="Verdana"/>
          <w:noProof/>
          <w:color w:val="000000"/>
          <w:sz w:val="16"/>
          <w:szCs w:val="16"/>
          <w:lang w:val="tr-TR"/>
        </w:rPr>
        <w:t xml:space="preserve">ülkede Ar-Ge merkezi bulunmakta ve ürünleri 120 ülkede pazarlanmaktadır. Lilly, Türkiye'deki faaliyetlerine 1950'lerde, ürünlerinin bir Türk şirketi ortaklığında üretilip dağıtılmasıyla başlamış, 1993 yılında bu çalışmalarını Lilly İlaç Ticaret Ltd. Şti. çatısı altında toplamıştır. O tarihten bu yana Lilly, Türkiye'de, diyabet, endokrinoloji, merkezi sinir sistemi hastalıkları, onkoloji ve erkek sağlığı alanlarında çeşitli ürünleri Türk tıbbının kullanımına sunmaktadır. </w:t>
      </w:r>
      <w:hyperlink r:id="rId12" w:history="1">
        <w:r w:rsidRPr="00F57C18">
          <w:rPr>
            <w:rStyle w:val="Kpr"/>
            <w:rFonts w:ascii="Verdana" w:hAnsi="Verdana" w:cs="Verdana"/>
            <w:noProof/>
            <w:sz w:val="16"/>
            <w:szCs w:val="16"/>
            <w:lang w:val="tr-TR"/>
          </w:rPr>
          <w:t>www.lilly.com.tr</w:t>
        </w:r>
      </w:hyperlink>
      <w:r w:rsidRPr="00F57C18">
        <w:rPr>
          <w:rFonts w:ascii="Verdana" w:hAnsi="Verdana" w:cs="Verdana"/>
          <w:noProof/>
          <w:color w:val="000000"/>
          <w:sz w:val="16"/>
          <w:szCs w:val="16"/>
          <w:lang w:val="tr-TR"/>
        </w:rPr>
        <w:t xml:space="preserve"> </w:t>
      </w:r>
      <w:hyperlink r:id="rId13" w:history="1">
        <w:r w:rsidRPr="00F57C18">
          <w:rPr>
            <w:rStyle w:val="Kpr"/>
            <w:rFonts w:ascii="Verdana" w:hAnsi="Verdana" w:cs="Verdana"/>
            <w:noProof/>
            <w:sz w:val="16"/>
            <w:szCs w:val="16"/>
            <w:lang w:val="tr-TR"/>
          </w:rPr>
          <w:t>www.facebook.com/LillyTurkiye</w:t>
        </w:r>
      </w:hyperlink>
    </w:p>
    <w:p w14:paraId="4BEA4C2F" w14:textId="04437687" w:rsidR="00357717" w:rsidRPr="00F57C18" w:rsidRDefault="00357717" w:rsidP="00144C64">
      <w:pPr>
        <w:spacing w:line="240" w:lineRule="auto"/>
        <w:jc w:val="both"/>
        <w:rPr>
          <w:rFonts w:ascii="Verdana" w:hAnsi="Verdana" w:cs="Times New Roman"/>
          <w:b/>
          <w:noProof/>
          <w:color w:val="212121"/>
          <w:lang w:val="tr-TR"/>
        </w:rPr>
      </w:pPr>
    </w:p>
    <w:p w14:paraId="1934848B" w14:textId="77777777" w:rsidR="00F57C18" w:rsidRDefault="00F57C18" w:rsidP="00144C64">
      <w:pPr>
        <w:spacing w:line="240" w:lineRule="auto"/>
        <w:jc w:val="both"/>
        <w:rPr>
          <w:rFonts w:cs="Times New Roman"/>
          <w:b/>
          <w:noProof/>
          <w:color w:val="212121"/>
          <w:lang w:val="tr-TR"/>
        </w:rPr>
      </w:pPr>
    </w:p>
    <w:p w14:paraId="7C89EC15" w14:textId="77777777" w:rsidR="00F57C18" w:rsidRDefault="00F57C18" w:rsidP="00144C64">
      <w:pPr>
        <w:spacing w:line="240" w:lineRule="auto"/>
        <w:jc w:val="both"/>
        <w:rPr>
          <w:rFonts w:cs="Times New Roman"/>
          <w:b/>
          <w:noProof/>
          <w:color w:val="212121"/>
          <w:lang w:val="tr-TR"/>
        </w:rPr>
      </w:pPr>
    </w:p>
    <w:p w14:paraId="0BAE2797" w14:textId="09E6EF37" w:rsidR="004A4CFA" w:rsidRPr="00F57C18" w:rsidRDefault="004A4CFA" w:rsidP="00F57C18">
      <w:pPr>
        <w:spacing w:line="240" w:lineRule="auto"/>
        <w:jc w:val="both"/>
        <w:rPr>
          <w:rFonts w:cs="Times New Roman"/>
          <w:b/>
          <w:noProof/>
          <w:color w:val="212121"/>
          <w:lang w:val="tr-TR"/>
        </w:rPr>
      </w:pPr>
      <w:bookmarkStart w:id="0" w:name="_GoBack"/>
      <w:bookmarkEnd w:id="0"/>
    </w:p>
    <w:sectPr w:rsidR="004A4CFA" w:rsidRPr="00F57C18" w:rsidSect="00850726">
      <w:type w:val="continuous"/>
      <w:pgSz w:w="12480" w:h="17400"/>
      <w:pgMar w:top="1418" w:right="920" w:bottom="1702" w:left="1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E292B"/>
    <w:multiLevelType w:val="hybridMultilevel"/>
    <w:tmpl w:val="34EE0ABA"/>
    <w:lvl w:ilvl="0" w:tplc="CC86C51E">
      <w:start w:val="1"/>
      <w:numFmt w:val="decimal"/>
      <w:lvlText w:val="%1."/>
      <w:lvlJc w:val="left"/>
      <w:pPr>
        <w:ind w:left="720" w:hanging="360"/>
      </w:pPr>
      <w:rPr>
        <w:rFonts w:asciiTheme="minorHAnsi" w:hAnsiTheme="minorHAnsi"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2C5871E1"/>
    <w:multiLevelType w:val="hybridMultilevel"/>
    <w:tmpl w:val="39EEEB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2EBA426C"/>
    <w:multiLevelType w:val="hybridMultilevel"/>
    <w:tmpl w:val="874A94E4"/>
    <w:lvl w:ilvl="0" w:tplc="91CCEC7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FC2FAD"/>
    <w:multiLevelType w:val="hybridMultilevel"/>
    <w:tmpl w:val="7A6AB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4AC"/>
    <w:rsid w:val="00027BA3"/>
    <w:rsid w:val="0004118F"/>
    <w:rsid w:val="0009368A"/>
    <w:rsid w:val="000A58BF"/>
    <w:rsid w:val="000B2C07"/>
    <w:rsid w:val="000E7328"/>
    <w:rsid w:val="000F1D4B"/>
    <w:rsid w:val="00144C64"/>
    <w:rsid w:val="001E5546"/>
    <w:rsid w:val="001E7828"/>
    <w:rsid w:val="00254292"/>
    <w:rsid w:val="00294CFD"/>
    <w:rsid w:val="002A26F1"/>
    <w:rsid w:val="002A7476"/>
    <w:rsid w:val="002D6DE6"/>
    <w:rsid w:val="002F0A2C"/>
    <w:rsid w:val="0031246C"/>
    <w:rsid w:val="0033564E"/>
    <w:rsid w:val="00340966"/>
    <w:rsid w:val="00357717"/>
    <w:rsid w:val="00375916"/>
    <w:rsid w:val="00390E31"/>
    <w:rsid w:val="003B4445"/>
    <w:rsid w:val="004079B4"/>
    <w:rsid w:val="004A4CFA"/>
    <w:rsid w:val="004B7C97"/>
    <w:rsid w:val="004C4E5D"/>
    <w:rsid w:val="004D7B49"/>
    <w:rsid w:val="004F4D95"/>
    <w:rsid w:val="00541495"/>
    <w:rsid w:val="005E05EF"/>
    <w:rsid w:val="005E3DBF"/>
    <w:rsid w:val="006549DA"/>
    <w:rsid w:val="00656B9A"/>
    <w:rsid w:val="00663C4E"/>
    <w:rsid w:val="00693536"/>
    <w:rsid w:val="006F01DB"/>
    <w:rsid w:val="00717D57"/>
    <w:rsid w:val="007346F1"/>
    <w:rsid w:val="0076538F"/>
    <w:rsid w:val="007962F3"/>
    <w:rsid w:val="007B1EC2"/>
    <w:rsid w:val="007C0953"/>
    <w:rsid w:val="00832D7D"/>
    <w:rsid w:val="00836DB4"/>
    <w:rsid w:val="00841C95"/>
    <w:rsid w:val="00850726"/>
    <w:rsid w:val="008550C7"/>
    <w:rsid w:val="00856A28"/>
    <w:rsid w:val="0086057A"/>
    <w:rsid w:val="008A0708"/>
    <w:rsid w:val="008A74AC"/>
    <w:rsid w:val="008D20E5"/>
    <w:rsid w:val="009629DE"/>
    <w:rsid w:val="00975098"/>
    <w:rsid w:val="009C56DA"/>
    <w:rsid w:val="009F2D58"/>
    <w:rsid w:val="00A50646"/>
    <w:rsid w:val="00A93A29"/>
    <w:rsid w:val="00AB55FD"/>
    <w:rsid w:val="00AD2377"/>
    <w:rsid w:val="00AE7D4E"/>
    <w:rsid w:val="00AF06D8"/>
    <w:rsid w:val="00B074EC"/>
    <w:rsid w:val="00B10C50"/>
    <w:rsid w:val="00B47ABB"/>
    <w:rsid w:val="00BD2F4C"/>
    <w:rsid w:val="00BF6D95"/>
    <w:rsid w:val="00C75655"/>
    <w:rsid w:val="00CC5DF2"/>
    <w:rsid w:val="00CF359F"/>
    <w:rsid w:val="00D2242C"/>
    <w:rsid w:val="00D359A2"/>
    <w:rsid w:val="00D55B39"/>
    <w:rsid w:val="00D9079A"/>
    <w:rsid w:val="00DB1352"/>
    <w:rsid w:val="00DF791E"/>
    <w:rsid w:val="00E843A8"/>
    <w:rsid w:val="00EA3B48"/>
    <w:rsid w:val="00F57C18"/>
    <w:rsid w:val="00F97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1238"/>
  <w15:docId w15:val="{00F0FA90-DABE-4EDD-A137-A0E68EA5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B55FD"/>
    <w:pPr>
      <w:widowControl/>
      <w:spacing w:after="0" w:line="240" w:lineRule="auto"/>
    </w:pPr>
    <w:rPr>
      <w:rFonts w:ascii="Times New Roman" w:eastAsia="Times New Roman" w:hAnsi="Times New Roman" w:cs="Times New Roman"/>
      <w:sz w:val="24"/>
      <w:szCs w:val="24"/>
      <w:lang w:val="tr-TR" w:eastAsia="tr-TR"/>
    </w:rPr>
  </w:style>
  <w:style w:type="paragraph" w:styleId="ListeParagraf">
    <w:name w:val="List Paragraph"/>
    <w:basedOn w:val="Normal"/>
    <w:uiPriority w:val="34"/>
    <w:qFormat/>
    <w:rsid w:val="00AB55FD"/>
    <w:pPr>
      <w:widowControl/>
      <w:spacing w:after="0" w:line="240" w:lineRule="auto"/>
      <w:ind w:left="720"/>
      <w:contextualSpacing/>
    </w:pPr>
    <w:rPr>
      <w:rFonts w:ascii="Times New Roman" w:eastAsia="Times New Roman" w:hAnsi="Times New Roman" w:cs="Times New Roman"/>
      <w:sz w:val="24"/>
      <w:szCs w:val="24"/>
      <w:lang w:val="tr-TR" w:eastAsia="tr-TR"/>
    </w:rPr>
  </w:style>
  <w:style w:type="paragraph" w:styleId="BalonMetni">
    <w:name w:val="Balloon Text"/>
    <w:basedOn w:val="Normal"/>
    <w:link w:val="BalonMetniChar"/>
    <w:uiPriority w:val="99"/>
    <w:semiHidden/>
    <w:unhideWhenUsed/>
    <w:rsid w:val="009629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29DE"/>
    <w:rPr>
      <w:rFonts w:ascii="Tahoma" w:hAnsi="Tahoma" w:cs="Tahoma"/>
      <w:sz w:val="16"/>
      <w:szCs w:val="16"/>
    </w:rPr>
  </w:style>
  <w:style w:type="paragraph" w:customStyle="1" w:styleId="Default">
    <w:name w:val="Default"/>
    <w:rsid w:val="003B4445"/>
    <w:pPr>
      <w:widowControl/>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841C95"/>
    <w:rPr>
      <w:color w:val="0000FF" w:themeColor="hyperlink"/>
      <w:u w:val="single"/>
    </w:rPr>
  </w:style>
  <w:style w:type="character" w:styleId="AklamaBavurusu">
    <w:name w:val="annotation reference"/>
    <w:basedOn w:val="VarsaylanParagrafYazTipi"/>
    <w:uiPriority w:val="99"/>
    <w:semiHidden/>
    <w:unhideWhenUsed/>
    <w:rsid w:val="00717D57"/>
    <w:rPr>
      <w:sz w:val="16"/>
      <w:szCs w:val="16"/>
    </w:rPr>
  </w:style>
  <w:style w:type="paragraph" w:styleId="AklamaMetni">
    <w:name w:val="annotation text"/>
    <w:basedOn w:val="Normal"/>
    <w:link w:val="AklamaMetniChar"/>
    <w:uiPriority w:val="99"/>
    <w:semiHidden/>
    <w:unhideWhenUsed/>
    <w:rsid w:val="00717D5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17D57"/>
    <w:rPr>
      <w:sz w:val="20"/>
      <w:szCs w:val="20"/>
    </w:rPr>
  </w:style>
  <w:style w:type="paragraph" w:styleId="AklamaKonusu">
    <w:name w:val="annotation subject"/>
    <w:basedOn w:val="AklamaMetni"/>
    <w:next w:val="AklamaMetni"/>
    <w:link w:val="AklamaKonusuChar"/>
    <w:uiPriority w:val="99"/>
    <w:semiHidden/>
    <w:unhideWhenUsed/>
    <w:rsid w:val="00717D57"/>
    <w:rPr>
      <w:b/>
      <w:bCs/>
    </w:rPr>
  </w:style>
  <w:style w:type="character" w:customStyle="1" w:styleId="AklamaKonusuChar">
    <w:name w:val="Açıklama Konusu Char"/>
    <w:basedOn w:val="AklamaMetniChar"/>
    <w:link w:val="AklamaKonusu"/>
    <w:uiPriority w:val="99"/>
    <w:semiHidden/>
    <w:rsid w:val="00717D57"/>
    <w:rPr>
      <w:b/>
      <w:bCs/>
      <w:sz w:val="20"/>
      <w:szCs w:val="20"/>
    </w:rPr>
  </w:style>
  <w:style w:type="paragraph" w:customStyle="1" w:styleId="xmsonormal">
    <w:name w:val="x_msonormal"/>
    <w:basedOn w:val="Normal"/>
    <w:rsid w:val="00656B9A"/>
    <w:pPr>
      <w:widowControl/>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066874">
      <w:bodyDiv w:val="1"/>
      <w:marLeft w:val="0"/>
      <w:marRight w:val="0"/>
      <w:marTop w:val="0"/>
      <w:marBottom w:val="0"/>
      <w:divBdr>
        <w:top w:val="none" w:sz="0" w:space="0" w:color="auto"/>
        <w:left w:val="none" w:sz="0" w:space="0" w:color="auto"/>
        <w:bottom w:val="none" w:sz="0" w:space="0" w:color="auto"/>
        <w:right w:val="none" w:sz="0" w:space="0" w:color="auto"/>
      </w:divBdr>
    </w:div>
    <w:div w:id="1367170888">
      <w:bodyDiv w:val="1"/>
      <w:marLeft w:val="0"/>
      <w:marRight w:val="0"/>
      <w:marTop w:val="0"/>
      <w:marBottom w:val="0"/>
      <w:divBdr>
        <w:top w:val="none" w:sz="0" w:space="0" w:color="auto"/>
        <w:left w:val="none" w:sz="0" w:space="0" w:color="auto"/>
        <w:bottom w:val="none" w:sz="0" w:space="0" w:color="auto"/>
        <w:right w:val="none" w:sz="0" w:space="0" w:color="auto"/>
      </w:divBdr>
    </w:div>
    <w:div w:id="1406681731">
      <w:bodyDiv w:val="1"/>
      <w:marLeft w:val="0"/>
      <w:marRight w:val="0"/>
      <w:marTop w:val="0"/>
      <w:marBottom w:val="0"/>
      <w:divBdr>
        <w:top w:val="none" w:sz="0" w:space="0" w:color="auto"/>
        <w:left w:val="none" w:sz="0" w:space="0" w:color="auto"/>
        <w:bottom w:val="none" w:sz="0" w:space="0" w:color="auto"/>
        <w:right w:val="none" w:sz="0" w:space="0" w:color="auto"/>
      </w:divBdr>
    </w:div>
    <w:div w:id="1421760030">
      <w:bodyDiv w:val="1"/>
      <w:marLeft w:val="0"/>
      <w:marRight w:val="0"/>
      <w:marTop w:val="0"/>
      <w:marBottom w:val="0"/>
      <w:divBdr>
        <w:top w:val="none" w:sz="0" w:space="0" w:color="auto"/>
        <w:left w:val="none" w:sz="0" w:space="0" w:color="auto"/>
        <w:bottom w:val="none" w:sz="0" w:space="0" w:color="auto"/>
        <w:right w:val="none" w:sz="0" w:space="0" w:color="auto"/>
      </w:divBdr>
    </w:div>
    <w:div w:id="1551263619">
      <w:bodyDiv w:val="1"/>
      <w:marLeft w:val="0"/>
      <w:marRight w:val="0"/>
      <w:marTop w:val="0"/>
      <w:marBottom w:val="0"/>
      <w:divBdr>
        <w:top w:val="none" w:sz="0" w:space="0" w:color="auto"/>
        <w:left w:val="none" w:sz="0" w:space="0" w:color="auto"/>
        <w:bottom w:val="none" w:sz="0" w:space="0" w:color="auto"/>
        <w:right w:val="none" w:sz="0" w:space="0" w:color="auto"/>
      </w:divBdr>
    </w:div>
    <w:div w:id="1602639755">
      <w:bodyDiv w:val="1"/>
      <w:marLeft w:val="0"/>
      <w:marRight w:val="0"/>
      <w:marTop w:val="0"/>
      <w:marBottom w:val="0"/>
      <w:divBdr>
        <w:top w:val="none" w:sz="0" w:space="0" w:color="auto"/>
        <w:left w:val="none" w:sz="0" w:space="0" w:color="auto"/>
        <w:bottom w:val="none" w:sz="0" w:space="0" w:color="auto"/>
        <w:right w:val="none" w:sz="0" w:space="0" w:color="auto"/>
      </w:divBdr>
    </w:div>
    <w:div w:id="1872299456">
      <w:bodyDiv w:val="1"/>
      <w:marLeft w:val="0"/>
      <w:marRight w:val="0"/>
      <w:marTop w:val="0"/>
      <w:marBottom w:val="0"/>
      <w:divBdr>
        <w:top w:val="none" w:sz="0" w:space="0" w:color="auto"/>
        <w:left w:val="none" w:sz="0" w:space="0" w:color="auto"/>
        <w:bottom w:val="none" w:sz="0" w:space="0" w:color="auto"/>
        <w:right w:val="none" w:sz="0" w:space="0" w:color="auto"/>
      </w:divBdr>
    </w:div>
    <w:div w:id="1878930229">
      <w:bodyDiv w:val="1"/>
      <w:marLeft w:val="0"/>
      <w:marRight w:val="0"/>
      <w:marTop w:val="0"/>
      <w:marBottom w:val="0"/>
      <w:divBdr>
        <w:top w:val="none" w:sz="0" w:space="0" w:color="auto"/>
        <w:left w:val="none" w:sz="0" w:space="0" w:color="auto"/>
        <w:bottom w:val="none" w:sz="0" w:space="0" w:color="auto"/>
        <w:right w:val="none" w:sz="0" w:space="0" w:color="auto"/>
      </w:divBdr>
    </w:div>
    <w:div w:id="1928222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LillyTurkiy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lly.com.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yc@bordopr.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lilly.com.tr/"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8" ma:contentTypeDescription="Yeni belge oluşturun." ma:contentTypeScope="" ma:versionID="c6f567018dcd091f550ba8db16cf5cbd">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3af8016aabce494504b8331b53aac253"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300EE-F68C-4C34-96D5-3066C1C37A81}">
  <ds:schemaRefs>
    <ds:schemaRef ds:uri="http://schemas.microsoft.com/sharepoint/v3/contenttype/forms"/>
  </ds:schemaRefs>
</ds:datastoreItem>
</file>

<file path=customXml/itemProps2.xml><?xml version="1.0" encoding="utf-8"?>
<ds:datastoreItem xmlns:ds="http://schemas.openxmlformats.org/officeDocument/2006/customXml" ds:itemID="{8B04869F-0454-493C-94E5-773966E91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534D5C-5ADA-4FC0-958E-ACC1F9EA3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9A3403-F29C-47D5-9DEC-213725630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744</Words>
  <Characters>4245</Characters>
  <Application>Microsoft Office Word</Application>
  <DocSecurity>0</DocSecurity>
  <Lines>35</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Lilly-Kurumsal-01-Antetli-A4</vt:lpstr>
      <vt:lpstr>Lilly-Kurumsal-01-Antetli-A4</vt:lpstr>
    </vt:vector>
  </TitlesOfParts>
  <Company>Eli Lilly and Company</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Lilly-Kurumsal-01-Antetli-A4</dc:title>
  <dc:creator>NIHAN YUKSEL</dc:creator>
  <cp:lastModifiedBy>Beril Pelesen</cp:lastModifiedBy>
  <cp:revision>6</cp:revision>
  <cp:lastPrinted>2018-03-04T17:08:00Z</cp:lastPrinted>
  <dcterms:created xsi:type="dcterms:W3CDTF">2018-11-13T05:27:00Z</dcterms:created>
  <dcterms:modified xsi:type="dcterms:W3CDTF">2018-11-14T11:09:00Z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2015-06-30T00:00:00Z</vt:filetime>
  </property>
  <property fmtid="{D5CDD505-2E9C-101B-9397-08002B2CF9AE}" pid="3" name="LastSaved">
    <vt:filetime>2015-06-30T00:00:00Z</vt:filetime>
  </property>
  <property fmtid="{D5CDD505-2E9C-101B-9397-08002B2CF9AE}" pid="4" name="ContentTypeId">
    <vt:lpwstr>0x010100C279752B3500C649AE9E20A16EF98AF8</vt:lpwstr>
  </property>
</Properties>
</file>