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D1F" w14:textId="235A3556" w:rsidR="00D80EA4" w:rsidRPr="00322E74" w:rsidRDefault="00AC07FC" w:rsidP="00C867F8">
      <w:pPr>
        <w:jc w:val="both"/>
        <w:rPr>
          <w:rFonts w:ascii="Lato" w:eastAsia="Lato" w:hAnsi="Lato" w:cs="Lato"/>
          <w:b/>
          <w:color w:val="auto"/>
          <w:sz w:val="40"/>
          <w:szCs w:val="40"/>
          <w:lang w:val="tr-TR"/>
        </w:rPr>
      </w:pPr>
      <w:r w:rsidRPr="00322E74">
        <w:rPr>
          <w:rFonts w:ascii="Lato" w:eastAsia="Lato" w:hAnsi="Lato" w:cs="Lato"/>
          <w:b/>
          <w:color w:val="auto"/>
          <w:sz w:val="40"/>
          <w:szCs w:val="40"/>
          <w:lang w:val="tr-TR"/>
        </w:rPr>
        <w:tab/>
      </w:r>
    </w:p>
    <w:p w14:paraId="0D7FEC14" w14:textId="111C62DE" w:rsidR="00C867F8" w:rsidRPr="00322E74" w:rsidRDefault="00322E74" w:rsidP="006812AE">
      <w:pPr>
        <w:jc w:val="center"/>
        <w:rPr>
          <w:rFonts w:ascii="Arial" w:eastAsia="Lato" w:hAnsi="Arial" w:cs="Arial"/>
          <w:b/>
          <w:color w:val="auto"/>
          <w:sz w:val="36"/>
          <w:szCs w:val="36"/>
          <w:lang w:val="tr-TR"/>
        </w:rPr>
      </w:pPr>
      <w:r w:rsidRPr="00322E74">
        <w:rPr>
          <w:rFonts w:ascii="Arial" w:eastAsia="Lato" w:hAnsi="Arial" w:cs="Arial"/>
          <w:b/>
          <w:color w:val="auto"/>
          <w:sz w:val="36"/>
          <w:szCs w:val="36"/>
          <w:lang w:val="tr-TR"/>
        </w:rPr>
        <w:t xml:space="preserve">TCL, </w:t>
      </w:r>
      <w:proofErr w:type="spellStart"/>
      <w:r w:rsidRPr="00322E74">
        <w:rPr>
          <w:rFonts w:ascii="Arial" w:eastAsia="Lato" w:hAnsi="Arial" w:cs="Arial"/>
          <w:b/>
          <w:color w:val="auto"/>
          <w:sz w:val="36"/>
          <w:szCs w:val="36"/>
          <w:lang w:val="tr-TR"/>
        </w:rPr>
        <w:t>TCLGreen</w:t>
      </w:r>
      <w:proofErr w:type="spellEnd"/>
      <w:r w:rsidRPr="00322E74">
        <w:rPr>
          <w:rFonts w:ascii="Arial" w:eastAsia="Lato" w:hAnsi="Arial" w:cs="Arial"/>
          <w:b/>
          <w:color w:val="auto"/>
          <w:sz w:val="36"/>
          <w:szCs w:val="36"/>
          <w:lang w:val="tr-TR"/>
        </w:rPr>
        <w:t xml:space="preserve"> </w:t>
      </w:r>
      <w:r>
        <w:rPr>
          <w:rFonts w:ascii="Arial" w:eastAsia="Lato" w:hAnsi="Arial" w:cs="Arial"/>
          <w:b/>
          <w:color w:val="auto"/>
          <w:sz w:val="36"/>
          <w:szCs w:val="36"/>
          <w:lang w:val="tr-TR"/>
        </w:rPr>
        <w:t xml:space="preserve">konsepti </w:t>
      </w:r>
      <w:r w:rsidRPr="00322E74">
        <w:rPr>
          <w:rFonts w:ascii="Arial" w:eastAsia="Lato" w:hAnsi="Arial" w:cs="Arial"/>
          <w:b/>
          <w:color w:val="auto"/>
          <w:sz w:val="36"/>
          <w:szCs w:val="36"/>
          <w:lang w:val="tr-TR"/>
        </w:rPr>
        <w:t>ile çevreci taahhütlerini güçlendiriyor</w:t>
      </w:r>
    </w:p>
    <w:p w14:paraId="7F906EBD" w14:textId="77777777" w:rsidR="00C867F8" w:rsidRPr="00322E74" w:rsidRDefault="00C867F8" w:rsidP="00C867F8">
      <w:pPr>
        <w:jc w:val="both"/>
        <w:rPr>
          <w:rFonts w:ascii="Arial" w:eastAsia="DengXian" w:hAnsi="Arial" w:cs="Arial"/>
          <w:sz w:val="22"/>
          <w:lang w:val="tr-TR"/>
        </w:rPr>
      </w:pPr>
    </w:p>
    <w:p w14:paraId="71AD1B86" w14:textId="340216EF" w:rsidR="00322E74" w:rsidRPr="00322E74" w:rsidRDefault="00322E74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  <w:r w:rsidRPr="00322E74">
        <w:rPr>
          <w:rFonts w:ascii="Arial" w:eastAsia="DengXian" w:hAnsi="Arial" w:cs="Arial"/>
          <w:sz w:val="20"/>
          <w:szCs w:val="20"/>
          <w:lang w:val="tr-TR"/>
        </w:rPr>
        <w:t xml:space="preserve">Dünyanın önde gelen akıllı teknoloji şirketlerinden TCL, Çevresel, Sosyal ve Yönetişim (ESG) yolculuğunu sergilemek üzere #TCLGreen </w:t>
      </w:r>
      <w:r>
        <w:rPr>
          <w:rFonts w:ascii="Arial" w:eastAsia="DengXian" w:hAnsi="Arial" w:cs="Arial"/>
          <w:sz w:val="20"/>
          <w:szCs w:val="20"/>
          <w:lang w:val="tr-TR"/>
        </w:rPr>
        <w:t xml:space="preserve">konseptini hayata geçirdi. </w:t>
      </w:r>
      <w:proofErr w:type="spellStart"/>
      <w:r w:rsidRPr="00322E74">
        <w:rPr>
          <w:rFonts w:ascii="Arial" w:eastAsia="DengXian" w:hAnsi="Arial" w:cs="Arial"/>
          <w:sz w:val="20"/>
          <w:szCs w:val="20"/>
          <w:lang w:val="tr-TR"/>
        </w:rPr>
        <w:t>TCLGreen</w:t>
      </w:r>
      <w:proofErr w:type="spellEnd"/>
      <w:r w:rsidRPr="00322E74">
        <w:rPr>
          <w:rFonts w:ascii="Arial" w:eastAsia="DengXian" w:hAnsi="Arial" w:cs="Arial"/>
          <w:sz w:val="20"/>
          <w:szCs w:val="20"/>
          <w:lang w:val="tr-TR"/>
        </w:rPr>
        <w:t xml:space="preserve">, </w:t>
      </w:r>
      <w:proofErr w:type="spellStart"/>
      <w:r w:rsidRPr="00322E74">
        <w:rPr>
          <w:rFonts w:ascii="Arial" w:eastAsia="DengXian" w:hAnsi="Arial" w:cs="Arial"/>
          <w:sz w:val="20"/>
          <w:szCs w:val="20"/>
          <w:lang w:val="tr-TR"/>
        </w:rPr>
        <w:t>TCL'in</w:t>
      </w:r>
      <w:proofErr w:type="spellEnd"/>
      <w:r w:rsidRPr="00322E74">
        <w:rPr>
          <w:rFonts w:ascii="Arial" w:eastAsia="DengXian" w:hAnsi="Arial" w:cs="Arial"/>
          <w:sz w:val="20"/>
          <w:szCs w:val="20"/>
          <w:lang w:val="tr-TR"/>
        </w:rPr>
        <w:t xml:space="preserve"> mükemmelliğe ilham vermek ve herkes için daha yeşil bir gezegen yaratmak amacıyla başlattığı küresel bir </w:t>
      </w:r>
      <w:r>
        <w:rPr>
          <w:rFonts w:ascii="Arial" w:eastAsia="DengXian" w:hAnsi="Arial" w:cs="Arial"/>
          <w:sz w:val="20"/>
          <w:szCs w:val="20"/>
          <w:lang w:val="tr-TR"/>
        </w:rPr>
        <w:t>hareket</w:t>
      </w:r>
      <w:r w:rsidRPr="00322E74">
        <w:rPr>
          <w:rFonts w:ascii="Arial" w:eastAsia="DengXian" w:hAnsi="Arial" w:cs="Arial"/>
          <w:sz w:val="20"/>
          <w:szCs w:val="20"/>
          <w:lang w:val="tr-TR"/>
        </w:rPr>
        <w:t xml:space="preserve">. </w:t>
      </w:r>
    </w:p>
    <w:p w14:paraId="4519FDBF" w14:textId="77777777" w:rsidR="00C867F8" w:rsidRPr="00322E74" w:rsidRDefault="00C867F8" w:rsidP="00322E74">
      <w:pPr>
        <w:contextualSpacing/>
        <w:jc w:val="both"/>
        <w:rPr>
          <w:rFonts w:ascii="Arial" w:hAnsi="Arial" w:cs="Arial"/>
          <w:sz w:val="20"/>
          <w:szCs w:val="20"/>
          <w:lang w:val="tr-TR"/>
        </w:rPr>
      </w:pPr>
    </w:p>
    <w:p w14:paraId="099B2129" w14:textId="439FABB9" w:rsidR="004E3282" w:rsidRDefault="004E3282" w:rsidP="00322E74">
      <w:pPr>
        <w:contextualSpacing/>
        <w:jc w:val="both"/>
        <w:rPr>
          <w:rFonts w:ascii="Arial" w:hAnsi="Arial" w:cs="Arial"/>
          <w:sz w:val="20"/>
          <w:szCs w:val="20"/>
          <w:lang w:val="tr-TR"/>
        </w:rPr>
      </w:pPr>
      <w:r w:rsidRPr="004E3282">
        <w:rPr>
          <w:rFonts w:ascii="Arial" w:hAnsi="Arial" w:cs="Arial"/>
          <w:sz w:val="20"/>
          <w:szCs w:val="20"/>
          <w:lang w:val="tr-TR"/>
        </w:rPr>
        <w:t xml:space="preserve">TCL, tüm üretim ve operasyon süreci döngüleri boyunca </w:t>
      </w:r>
      <w:r w:rsidRPr="004E3282">
        <w:rPr>
          <w:rFonts w:ascii="Arial" w:hAnsi="Arial" w:cs="Arial"/>
          <w:b/>
          <w:bCs/>
          <w:sz w:val="20"/>
          <w:szCs w:val="20"/>
          <w:lang w:val="tr-TR"/>
        </w:rPr>
        <w:t>yeşil üretim</w:t>
      </w:r>
      <w:r w:rsidRPr="004E3282">
        <w:rPr>
          <w:rFonts w:ascii="Arial" w:hAnsi="Arial" w:cs="Arial"/>
          <w:sz w:val="20"/>
          <w:szCs w:val="20"/>
          <w:lang w:val="tr-TR"/>
        </w:rPr>
        <w:t xml:space="preserve"> süreçlerine bağlı </w:t>
      </w:r>
      <w:r>
        <w:rPr>
          <w:rFonts w:ascii="Arial" w:hAnsi="Arial" w:cs="Arial"/>
          <w:sz w:val="20"/>
          <w:szCs w:val="20"/>
          <w:lang w:val="tr-TR"/>
        </w:rPr>
        <w:t>kalmaya büyük önem veriyor</w:t>
      </w:r>
      <w:r w:rsidRPr="004E3282">
        <w:rPr>
          <w:rFonts w:ascii="Arial" w:hAnsi="Arial" w:cs="Arial"/>
          <w:sz w:val="20"/>
          <w:szCs w:val="20"/>
          <w:lang w:val="tr-TR"/>
        </w:rPr>
        <w:t xml:space="preserve">. ISO50001 enerji yönetimi ve ISO14064 sera gazı yönetim sistemlerine bağlı kalarak Hava Kirliliği Kontrol Yönetimi, Gürültü Kirliliği Kontrol Yönetimi, Katı Atık Yönetimi ve Enerji Kaynak Tüketimi Yönetimi için </w:t>
      </w:r>
      <w:r>
        <w:rPr>
          <w:rFonts w:ascii="Arial" w:hAnsi="Arial" w:cs="Arial"/>
          <w:sz w:val="20"/>
          <w:szCs w:val="20"/>
          <w:lang w:val="tr-TR"/>
        </w:rPr>
        <w:t>p</w:t>
      </w:r>
      <w:r w:rsidRPr="004E3282">
        <w:rPr>
          <w:rFonts w:ascii="Arial" w:hAnsi="Arial" w:cs="Arial"/>
          <w:sz w:val="20"/>
          <w:szCs w:val="20"/>
          <w:lang w:val="tr-TR"/>
        </w:rPr>
        <w:t xml:space="preserve">rosedürler </w:t>
      </w:r>
      <w:r>
        <w:rPr>
          <w:rFonts w:ascii="Arial" w:hAnsi="Arial" w:cs="Arial"/>
          <w:sz w:val="20"/>
          <w:szCs w:val="20"/>
          <w:lang w:val="tr-TR"/>
        </w:rPr>
        <w:t>oluşturuyor</w:t>
      </w:r>
      <w:r w:rsidRPr="004E3282">
        <w:rPr>
          <w:rFonts w:ascii="Arial" w:hAnsi="Arial" w:cs="Arial"/>
          <w:sz w:val="20"/>
          <w:szCs w:val="20"/>
          <w:lang w:val="tr-TR"/>
        </w:rPr>
        <w:t>.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</w:p>
    <w:p w14:paraId="6D391A2C" w14:textId="77777777" w:rsidR="004E3282" w:rsidRDefault="004E3282" w:rsidP="00322E74">
      <w:pPr>
        <w:contextualSpacing/>
        <w:jc w:val="both"/>
        <w:rPr>
          <w:rFonts w:ascii="Arial" w:hAnsi="Arial" w:cs="Arial"/>
          <w:sz w:val="20"/>
          <w:szCs w:val="20"/>
          <w:lang w:val="tr-TR"/>
        </w:rPr>
      </w:pPr>
    </w:p>
    <w:p w14:paraId="3EB269B9" w14:textId="685011D1" w:rsidR="004E3282" w:rsidRDefault="004E3282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  <w:bookmarkStart w:id="0" w:name="_Hlk113571379"/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TCL, teknolojik inovasyon yoluyla müşterilerine </w:t>
      </w:r>
      <w:r w:rsidRPr="004E3282">
        <w:rPr>
          <w:rFonts w:ascii="Arial" w:eastAsia="DengXian" w:hAnsi="Arial" w:cs="Arial"/>
          <w:b/>
          <w:bCs/>
          <w:sz w:val="20"/>
          <w:szCs w:val="20"/>
          <w:lang w:val="tr-TR"/>
        </w:rPr>
        <w:t>yeşil ürünler</w:t>
      </w:r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 sunmaya </w:t>
      </w:r>
      <w:r>
        <w:rPr>
          <w:rFonts w:ascii="Arial" w:eastAsia="DengXian" w:hAnsi="Arial" w:cs="Arial"/>
          <w:sz w:val="20"/>
          <w:szCs w:val="20"/>
          <w:lang w:val="tr-TR"/>
        </w:rPr>
        <w:t xml:space="preserve">da </w:t>
      </w:r>
      <w:r w:rsidRPr="004E3282">
        <w:rPr>
          <w:rFonts w:ascii="Arial" w:eastAsia="DengXian" w:hAnsi="Arial" w:cs="Arial"/>
          <w:sz w:val="20"/>
          <w:szCs w:val="20"/>
          <w:lang w:val="tr-TR"/>
        </w:rPr>
        <w:t>kendini adamış</w:t>
      </w:r>
      <w:r>
        <w:rPr>
          <w:rFonts w:ascii="Arial" w:eastAsia="DengXian" w:hAnsi="Arial" w:cs="Arial"/>
          <w:sz w:val="20"/>
          <w:szCs w:val="20"/>
          <w:lang w:val="tr-TR"/>
        </w:rPr>
        <w:t xml:space="preserve"> durumda</w:t>
      </w:r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. </w:t>
      </w:r>
      <w:proofErr w:type="spellStart"/>
      <w:r w:rsidRPr="004E3282">
        <w:rPr>
          <w:rFonts w:ascii="Arial" w:eastAsia="DengXian" w:hAnsi="Arial" w:cs="Arial"/>
          <w:sz w:val="20"/>
          <w:szCs w:val="20"/>
          <w:lang w:val="tr-TR"/>
        </w:rPr>
        <w:t>TCL'in</w:t>
      </w:r>
      <w:proofErr w:type="spellEnd"/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 23,8 inç FHD ekranı, geleneksel ürünlere kıyasla enerji tüketimini </w:t>
      </w:r>
      <w:r>
        <w:rPr>
          <w:rFonts w:ascii="Arial" w:eastAsia="DengXian" w:hAnsi="Arial" w:cs="Arial"/>
          <w:sz w:val="20"/>
          <w:szCs w:val="20"/>
          <w:lang w:val="tr-TR"/>
        </w:rPr>
        <w:t xml:space="preserve">yüzde </w:t>
      </w:r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45 oranında azaltmayı başardı. </w:t>
      </w:r>
    </w:p>
    <w:p w14:paraId="4679BE91" w14:textId="77777777" w:rsidR="004E3282" w:rsidRDefault="004E3282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</w:p>
    <w:bookmarkEnd w:id="0"/>
    <w:p w14:paraId="63C46FA4" w14:textId="308518D1" w:rsidR="004E3282" w:rsidRDefault="004E3282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  <w:r w:rsidRPr="00DC51C2">
        <w:rPr>
          <w:rFonts w:ascii="Arial" w:eastAsia="DengXian" w:hAnsi="Arial" w:cs="Arial"/>
          <w:b/>
          <w:bCs/>
          <w:sz w:val="20"/>
          <w:szCs w:val="20"/>
          <w:lang w:val="tr-TR"/>
        </w:rPr>
        <w:t>Yeşil endüstrileri</w:t>
      </w:r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 </w:t>
      </w:r>
      <w:r>
        <w:rPr>
          <w:rFonts w:ascii="Arial" w:eastAsia="DengXian" w:hAnsi="Arial" w:cs="Arial"/>
          <w:sz w:val="20"/>
          <w:szCs w:val="20"/>
          <w:lang w:val="tr-TR"/>
        </w:rPr>
        <w:t>benimseme</w:t>
      </w:r>
      <w:r w:rsidR="00467BF9">
        <w:rPr>
          <w:rFonts w:ascii="Arial" w:eastAsia="DengXian" w:hAnsi="Arial" w:cs="Arial"/>
          <w:sz w:val="20"/>
          <w:szCs w:val="20"/>
          <w:lang w:val="tr-TR"/>
        </w:rPr>
        <w:t>sin</w:t>
      </w:r>
      <w:r>
        <w:rPr>
          <w:rFonts w:ascii="Arial" w:eastAsia="DengXian" w:hAnsi="Arial" w:cs="Arial"/>
          <w:sz w:val="20"/>
          <w:szCs w:val="20"/>
          <w:lang w:val="tr-TR"/>
        </w:rPr>
        <w:t xml:space="preserve">in </w:t>
      </w:r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bir örneği olarak TCL, çatı üstü fotovoltaik panellerin kurulumu ve saf </w:t>
      </w:r>
      <w:r w:rsidR="00DC51C2">
        <w:rPr>
          <w:rFonts w:ascii="Arial" w:eastAsia="DengXian" w:hAnsi="Arial" w:cs="Arial"/>
          <w:sz w:val="20"/>
          <w:szCs w:val="20"/>
          <w:lang w:val="tr-TR"/>
        </w:rPr>
        <w:t xml:space="preserve">su </w:t>
      </w:r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geri dönüşüm sistemleri gibi yenilikçi çözümlerden yararlanarak 2021 yılında enerji tüketimini 2,7 milyar </w:t>
      </w:r>
      <w:proofErr w:type="spellStart"/>
      <w:r w:rsidRPr="004E3282">
        <w:rPr>
          <w:rFonts w:ascii="Arial" w:eastAsia="DengXian" w:hAnsi="Arial" w:cs="Arial"/>
          <w:sz w:val="20"/>
          <w:szCs w:val="20"/>
          <w:lang w:val="tr-TR"/>
        </w:rPr>
        <w:t>kWh'den</w:t>
      </w:r>
      <w:proofErr w:type="spellEnd"/>
      <w:r w:rsidRPr="004E3282">
        <w:rPr>
          <w:rFonts w:ascii="Arial" w:eastAsia="DengXian" w:hAnsi="Arial" w:cs="Arial"/>
          <w:sz w:val="20"/>
          <w:szCs w:val="20"/>
          <w:lang w:val="tr-TR"/>
        </w:rPr>
        <w:t xml:space="preserve"> fazla azalttı ve toplam 45,33 milyon metreküp su tasarrufu sağladı.</w:t>
      </w:r>
    </w:p>
    <w:p w14:paraId="376CBCDB" w14:textId="77777777" w:rsidR="004E3282" w:rsidRDefault="004E3282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</w:p>
    <w:p w14:paraId="103AD93D" w14:textId="6FC3F450" w:rsidR="00DC51C2" w:rsidRDefault="00DC51C2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  <w:r w:rsidRPr="00DC51C2">
        <w:rPr>
          <w:rFonts w:ascii="Arial" w:eastAsia="DengXian" w:hAnsi="Arial" w:cs="Arial"/>
          <w:sz w:val="20"/>
          <w:szCs w:val="20"/>
          <w:lang w:val="tr-TR"/>
        </w:rPr>
        <w:t xml:space="preserve">TCL, </w:t>
      </w:r>
      <w:r>
        <w:rPr>
          <w:rFonts w:ascii="Arial" w:eastAsia="DengXian" w:hAnsi="Arial" w:cs="Arial"/>
          <w:sz w:val="20"/>
          <w:szCs w:val="20"/>
          <w:lang w:val="tr-TR"/>
        </w:rPr>
        <w:t xml:space="preserve">iş </w:t>
      </w:r>
      <w:r w:rsidRPr="00DC51C2">
        <w:rPr>
          <w:rFonts w:ascii="Arial" w:eastAsia="DengXian" w:hAnsi="Arial" w:cs="Arial"/>
          <w:sz w:val="20"/>
          <w:szCs w:val="20"/>
          <w:lang w:val="tr-TR"/>
        </w:rPr>
        <w:t xml:space="preserve">ortakları ve tedarikçileriyle birlikte çalışarak satın alma, lojistik, depolama ve finansmanı kapsayan </w:t>
      </w:r>
      <w:r w:rsidRPr="00DC51C2">
        <w:rPr>
          <w:rFonts w:ascii="Arial" w:eastAsia="DengXian" w:hAnsi="Arial" w:cs="Arial"/>
          <w:b/>
          <w:bCs/>
          <w:sz w:val="20"/>
          <w:szCs w:val="20"/>
          <w:lang w:val="tr-TR"/>
        </w:rPr>
        <w:t>yeşil endüstri zincirini</w:t>
      </w:r>
      <w:r w:rsidRPr="00DC51C2">
        <w:rPr>
          <w:rFonts w:ascii="Arial" w:eastAsia="DengXian" w:hAnsi="Arial" w:cs="Arial"/>
          <w:sz w:val="20"/>
          <w:szCs w:val="20"/>
          <w:lang w:val="tr-TR"/>
        </w:rPr>
        <w:t xml:space="preserve"> optimize etmeye </w:t>
      </w:r>
      <w:r>
        <w:rPr>
          <w:rFonts w:ascii="Arial" w:eastAsia="DengXian" w:hAnsi="Arial" w:cs="Arial"/>
          <w:sz w:val="20"/>
          <w:szCs w:val="20"/>
          <w:lang w:val="tr-TR"/>
        </w:rPr>
        <w:t xml:space="preserve">de </w:t>
      </w:r>
      <w:r w:rsidRPr="00DC51C2">
        <w:rPr>
          <w:rFonts w:ascii="Arial" w:eastAsia="DengXian" w:hAnsi="Arial" w:cs="Arial"/>
          <w:sz w:val="20"/>
          <w:szCs w:val="20"/>
          <w:lang w:val="tr-TR"/>
        </w:rPr>
        <w:t>devam ediyor. TCL, 2021 yılında tedarik zincirini dönüştürmek ve düşük karbon taahhütlerini yerine getirmek için karbon muhasebesini entegre eden yeni bir yeşil tedarik zinciri finansman modeli kurdu.</w:t>
      </w:r>
    </w:p>
    <w:p w14:paraId="4A3EFA2B" w14:textId="77777777" w:rsidR="00DC51C2" w:rsidRDefault="00DC51C2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</w:p>
    <w:p w14:paraId="4F0F9419" w14:textId="1B1E4B8B" w:rsidR="00DC51C2" w:rsidRDefault="00DC51C2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  <w:bookmarkStart w:id="1" w:name="_Hlk113570208"/>
      <w:r w:rsidRPr="13E197FA">
        <w:rPr>
          <w:rFonts w:ascii="Arial" w:eastAsia="DengXian" w:hAnsi="Arial" w:cs="Arial"/>
          <w:sz w:val="20"/>
          <w:szCs w:val="20"/>
          <w:lang w:val="tr-TR"/>
        </w:rPr>
        <w:t>Avrupa'da ise TCL, döngüsel ekonomiyi teşvik etmek için ham</w:t>
      </w:r>
      <w:r w:rsidR="00467BF9" w:rsidRPr="13E197FA">
        <w:rPr>
          <w:rFonts w:ascii="Arial" w:eastAsia="DengXian" w:hAnsi="Arial" w:cs="Arial"/>
          <w:sz w:val="20"/>
          <w:szCs w:val="20"/>
          <w:lang w:val="tr-TR"/>
        </w:rPr>
        <w:t xml:space="preserve"> </w:t>
      </w:r>
      <w:r w:rsidRPr="13E197FA">
        <w:rPr>
          <w:rFonts w:ascii="Arial" w:eastAsia="DengXian" w:hAnsi="Arial" w:cs="Arial"/>
          <w:sz w:val="20"/>
          <w:szCs w:val="20"/>
          <w:lang w:val="tr-TR"/>
        </w:rPr>
        <w:t xml:space="preserve">madde ve ambalaj malzemelerinin tedarikinden üretime ve bu unsurların geri </w:t>
      </w:r>
      <w:proofErr w:type="spellStart"/>
      <w:r w:rsidRPr="13E197FA">
        <w:rPr>
          <w:rFonts w:ascii="Arial" w:eastAsia="DengXian" w:hAnsi="Arial" w:cs="Arial"/>
          <w:sz w:val="20"/>
          <w:szCs w:val="20"/>
          <w:lang w:val="tr-TR"/>
        </w:rPr>
        <w:t>dönüştürülebilirliğine</w:t>
      </w:r>
      <w:proofErr w:type="spellEnd"/>
      <w:r w:rsidRPr="13E197FA">
        <w:rPr>
          <w:rFonts w:ascii="Arial" w:eastAsia="DengXian" w:hAnsi="Arial" w:cs="Arial"/>
          <w:sz w:val="20"/>
          <w:szCs w:val="20"/>
          <w:lang w:val="tr-TR"/>
        </w:rPr>
        <w:t xml:space="preserve"> kadar kullanıcı gereksinimlerini, beklentilerini ve düzenlemelerini kapsayan katı bir eko-derecelendirme değerlendirme sistemi olan </w:t>
      </w:r>
      <w:proofErr w:type="spellStart"/>
      <w:r w:rsidRPr="13E197FA">
        <w:rPr>
          <w:rFonts w:ascii="Arial" w:eastAsia="DengXian" w:hAnsi="Arial" w:cs="Arial"/>
          <w:sz w:val="20"/>
          <w:szCs w:val="20"/>
          <w:lang w:val="tr-TR"/>
        </w:rPr>
        <w:t>Eco</w:t>
      </w:r>
      <w:proofErr w:type="spellEnd"/>
      <w:r w:rsidRPr="13E197FA">
        <w:rPr>
          <w:rFonts w:ascii="Arial" w:eastAsia="DengXian" w:hAnsi="Arial" w:cs="Arial"/>
          <w:sz w:val="20"/>
          <w:szCs w:val="20"/>
          <w:lang w:val="tr-TR"/>
        </w:rPr>
        <w:t xml:space="preserve"> Rating etiketleme programının destekleyici</w:t>
      </w:r>
      <w:r w:rsidR="2B23DCF5" w:rsidRPr="13E197FA">
        <w:rPr>
          <w:rFonts w:ascii="Arial" w:eastAsia="DengXian" w:hAnsi="Arial" w:cs="Arial"/>
          <w:sz w:val="20"/>
          <w:szCs w:val="20"/>
          <w:lang w:val="tr-TR"/>
        </w:rPr>
        <w:t>si</w:t>
      </w:r>
      <w:r w:rsidRPr="13E197FA">
        <w:rPr>
          <w:rFonts w:ascii="Arial" w:eastAsia="DengXian" w:hAnsi="Arial" w:cs="Arial"/>
          <w:sz w:val="20"/>
          <w:szCs w:val="20"/>
          <w:lang w:val="tr-TR"/>
        </w:rPr>
        <w:t xml:space="preserve">dir. </w:t>
      </w:r>
    </w:p>
    <w:p w14:paraId="65C2615A" w14:textId="77777777" w:rsidR="00DC51C2" w:rsidRDefault="00DC51C2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</w:p>
    <w:bookmarkEnd w:id="1"/>
    <w:p w14:paraId="4A790ED8" w14:textId="04D2C44B" w:rsidR="00BD3BEA" w:rsidRDefault="00BD3BEA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  <w:r w:rsidRPr="00BD3BEA">
        <w:rPr>
          <w:rFonts w:ascii="Arial" w:eastAsia="DengXian" w:hAnsi="Arial" w:cs="Arial"/>
          <w:sz w:val="20"/>
          <w:szCs w:val="20"/>
          <w:lang w:val="tr-TR"/>
        </w:rPr>
        <w:t xml:space="preserve">Yenilikçi teknoloji ve temiz enerji çözümleriyle TCL, sürdürülebilir kalkınma yolunu benimsemeyi ve herkes için daha yeşil bir gelecek yaratma taahhüdünü daha da güçlendirmeyi </w:t>
      </w:r>
      <w:r>
        <w:rPr>
          <w:rFonts w:ascii="Arial" w:eastAsia="DengXian" w:hAnsi="Arial" w:cs="Arial"/>
          <w:sz w:val="20"/>
          <w:szCs w:val="20"/>
          <w:lang w:val="tr-TR"/>
        </w:rPr>
        <w:t>amaçlıyor</w:t>
      </w:r>
      <w:r w:rsidRPr="00BD3BEA">
        <w:rPr>
          <w:rFonts w:ascii="Arial" w:eastAsia="DengXian" w:hAnsi="Arial" w:cs="Arial"/>
          <w:sz w:val="20"/>
          <w:szCs w:val="20"/>
          <w:lang w:val="tr-TR"/>
        </w:rPr>
        <w:t>.</w:t>
      </w:r>
    </w:p>
    <w:p w14:paraId="7D8263FC" w14:textId="77777777" w:rsidR="00BD3BEA" w:rsidRDefault="00BD3BEA" w:rsidP="00322E74">
      <w:pPr>
        <w:contextualSpacing/>
        <w:jc w:val="both"/>
        <w:rPr>
          <w:rFonts w:ascii="Arial" w:eastAsia="DengXian" w:hAnsi="Arial" w:cs="Arial"/>
          <w:sz w:val="20"/>
          <w:szCs w:val="20"/>
          <w:lang w:val="tr-TR"/>
        </w:rPr>
      </w:pPr>
    </w:p>
    <w:p w14:paraId="2D28AB6B" w14:textId="77777777" w:rsidR="00C867F8" w:rsidRPr="00322E74" w:rsidRDefault="00C867F8" w:rsidP="00C867F8">
      <w:pPr>
        <w:pStyle w:val="Default"/>
        <w:jc w:val="both"/>
        <w:rPr>
          <w:rFonts w:ascii="Lato Light" w:hAnsi="Lato Light"/>
          <w:b/>
          <w:color w:val="00A0E3"/>
          <w:sz w:val="18"/>
          <w:szCs w:val="18"/>
          <w:lang w:val="tr-TR"/>
        </w:rPr>
      </w:pPr>
      <w:r w:rsidRPr="00322E74">
        <w:rPr>
          <w:rFonts w:ascii="Lato Light" w:hAnsi="Lato Light"/>
          <w:b/>
          <w:color w:val="00A0E3"/>
          <w:sz w:val="18"/>
          <w:szCs w:val="18"/>
          <w:lang w:val="tr-TR"/>
        </w:rPr>
        <w:t>İletişim</w:t>
      </w:r>
    </w:p>
    <w:p w14:paraId="0C450250" w14:textId="77777777" w:rsidR="00C867F8" w:rsidRPr="00322E74" w:rsidRDefault="00C867F8" w:rsidP="00C867F8">
      <w:pPr>
        <w:jc w:val="both"/>
        <w:rPr>
          <w:rFonts w:ascii="Lato Regular" w:eastAsia="SimSun" w:hAnsi="Lato Regular"/>
          <w:color w:val="auto"/>
          <w:sz w:val="18"/>
          <w:szCs w:val="18"/>
          <w:lang w:val="tr-TR" w:eastAsia="zh-CN"/>
        </w:rPr>
      </w:pPr>
      <w:r w:rsidRPr="00322E74">
        <w:rPr>
          <w:rFonts w:ascii="Lato Regular" w:hAnsi="Lato Regular"/>
          <w:b/>
          <w:sz w:val="18"/>
          <w:szCs w:val="18"/>
          <w:lang w:val="tr-TR" w:eastAsia="fr-FR"/>
        </w:rPr>
        <w:t>Önder Kalkancı – Bordo PR</w:t>
      </w:r>
    </w:p>
    <w:p w14:paraId="4E7673C1" w14:textId="77777777" w:rsidR="00C867F8" w:rsidRPr="00322E74" w:rsidRDefault="00C867F8" w:rsidP="00C867F8">
      <w:pPr>
        <w:jc w:val="both"/>
        <w:rPr>
          <w:rStyle w:val="Kpr"/>
          <w:rFonts w:ascii="Lato Bold" w:hAnsi="Lato Bold"/>
          <w:lang w:val="tr-TR" w:eastAsia="fr-FR"/>
        </w:rPr>
      </w:pPr>
      <w:r w:rsidRPr="00322E74">
        <w:rPr>
          <w:rFonts w:ascii="Lato Light" w:hAnsi="Lato Light"/>
          <w:b/>
          <w:color w:val="00A0E3"/>
          <w:sz w:val="18"/>
          <w:szCs w:val="18"/>
          <w:lang w:val="tr-TR"/>
        </w:rPr>
        <w:t>Tel</w:t>
      </w:r>
      <w:r w:rsidRPr="00322E74">
        <w:rPr>
          <w:rFonts w:ascii="Lato Regular" w:hAnsi="Lato Regular"/>
          <w:sz w:val="18"/>
          <w:szCs w:val="18"/>
          <w:lang w:val="tr-TR" w:eastAsia="fr-FR"/>
        </w:rPr>
        <w:t xml:space="preserve">: 0533 927 23 95 </w:t>
      </w:r>
      <w:r w:rsidRPr="00322E74">
        <w:rPr>
          <w:rFonts w:ascii="Lato Bold" w:hAnsi="Lato Bold"/>
          <w:color w:val="7F7F7F"/>
          <w:sz w:val="18"/>
          <w:szCs w:val="18"/>
          <w:lang w:val="tr-TR" w:eastAsia="fr-FR"/>
        </w:rPr>
        <w:t xml:space="preserve">– </w:t>
      </w:r>
      <w:hyperlink r:id="rId12" w:history="1">
        <w:r w:rsidRPr="00322E74">
          <w:rPr>
            <w:rStyle w:val="Kpr"/>
            <w:rFonts w:ascii="Lato Bold" w:hAnsi="Lato Bold"/>
            <w:sz w:val="18"/>
            <w:szCs w:val="18"/>
            <w:lang w:val="tr-TR" w:eastAsia="fr-FR"/>
          </w:rPr>
          <w:t>onderk@bordopr.com</w:t>
        </w:r>
      </w:hyperlink>
    </w:p>
    <w:p w14:paraId="314391E6" w14:textId="77777777" w:rsidR="00C867F8" w:rsidRPr="00322E74" w:rsidRDefault="00C867F8" w:rsidP="00C867F8">
      <w:pPr>
        <w:jc w:val="both"/>
        <w:rPr>
          <w:rStyle w:val="Kpr"/>
          <w:rFonts w:ascii="Arial" w:eastAsia="Lato" w:hAnsi="Arial" w:cs="Arial"/>
          <w:color w:val="auto"/>
          <w:sz w:val="20"/>
          <w:szCs w:val="20"/>
          <w:lang w:val="tr-TR"/>
        </w:rPr>
      </w:pPr>
    </w:p>
    <w:p w14:paraId="0840F5C8" w14:textId="77777777" w:rsidR="00C867F8" w:rsidRPr="00322E74" w:rsidRDefault="00C867F8" w:rsidP="00C867F8">
      <w:pPr>
        <w:jc w:val="both"/>
        <w:rPr>
          <w:rFonts w:ascii="Arial" w:eastAsia="Lato Light" w:hAnsi="Arial" w:cs="Arial"/>
          <w:b/>
          <w:color w:val="auto"/>
          <w:sz w:val="16"/>
          <w:szCs w:val="16"/>
          <w:lang w:val="tr-TR"/>
        </w:rPr>
      </w:pPr>
      <w:r w:rsidRPr="00322E74">
        <w:rPr>
          <w:rFonts w:ascii="Arial" w:eastAsia="Lato Light" w:hAnsi="Arial" w:cs="Arial"/>
          <w:b/>
          <w:color w:val="auto"/>
          <w:sz w:val="16"/>
          <w:szCs w:val="16"/>
          <w:lang w:val="tr-TR"/>
        </w:rPr>
        <w:t xml:space="preserve">TCL </w:t>
      </w:r>
      <w:proofErr w:type="spellStart"/>
      <w:r w:rsidRPr="00322E74">
        <w:rPr>
          <w:rFonts w:ascii="Arial" w:eastAsia="Lato Light" w:hAnsi="Arial" w:cs="Arial"/>
          <w:b/>
          <w:color w:val="auto"/>
          <w:sz w:val="16"/>
          <w:szCs w:val="16"/>
          <w:lang w:val="tr-TR"/>
        </w:rPr>
        <w:t>Electronics</w:t>
      </w:r>
      <w:proofErr w:type="spellEnd"/>
      <w:r w:rsidRPr="00322E74">
        <w:rPr>
          <w:rFonts w:ascii="Arial" w:eastAsia="Lato Light" w:hAnsi="Arial" w:cs="Arial"/>
          <w:b/>
          <w:color w:val="auto"/>
          <w:sz w:val="16"/>
          <w:szCs w:val="16"/>
          <w:lang w:val="tr-TR"/>
        </w:rPr>
        <w:t xml:space="preserve"> hakkında</w:t>
      </w:r>
    </w:p>
    <w:p w14:paraId="3F21A93C" w14:textId="77777777" w:rsidR="00C867F8" w:rsidRPr="00322E74" w:rsidRDefault="00C867F8" w:rsidP="00C867F8">
      <w:pPr>
        <w:jc w:val="both"/>
        <w:rPr>
          <w:rFonts w:ascii="Arial" w:eastAsia="Lato Light" w:hAnsi="Arial" w:cs="Arial"/>
          <w:color w:val="auto"/>
          <w:sz w:val="16"/>
          <w:szCs w:val="16"/>
          <w:lang w:val="tr-TR"/>
        </w:rPr>
      </w:pPr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TCL </w:t>
      </w:r>
      <w:proofErr w:type="spellStart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>Electronics</w:t>
      </w:r>
      <w:proofErr w:type="spellEnd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 (1070.HK), dünyanın en hızlı büyüyen tüketici elektroniği şirketlerinden, dünyanın öncü televizyon ve mobil cihaz üreticilerinden birisidir (TCL </w:t>
      </w:r>
      <w:proofErr w:type="spellStart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>Communication</w:t>
      </w:r>
      <w:proofErr w:type="spellEnd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, TCL </w:t>
      </w:r>
      <w:proofErr w:type="spellStart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>Electronics’in</w:t>
      </w:r>
      <w:proofErr w:type="spellEnd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 yüzde yüz iştirakidir). Yaklaşık 40 yıldır dünya çapında kendi üretim ve Ar-Ge merkezlerini yöneten TCL, Kuzey Amerika, Latin Amerika, Avrupa, Orta Doğu, Afrika ve Asya Pasifik’teki 160’dan fazla ülkede ürünlerini satmaktadır. TCL, “AI x </w:t>
      </w:r>
      <w:proofErr w:type="spellStart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>IoT</w:t>
      </w:r>
      <w:proofErr w:type="spellEnd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” stratejisi kapsamında televizyon, akıllı telefon, ses cihazları ve akıllı ev ürünleri gibi tüketici ürünlerinin araştırılmasında, geliştirilmesinde ve üretilmesinde uzmanlaşmaktadır. TCL mobil cihazları hakkında daha fazla bilgi için </w:t>
      </w:r>
      <w:hyperlink r:id="rId13" w:history="1">
        <w:r w:rsidRPr="00322E74">
          <w:rPr>
            <w:rStyle w:val="Kpr"/>
            <w:rFonts w:ascii="Arial" w:hAnsi="Arial" w:cs="Arial"/>
            <w:sz w:val="16"/>
            <w:szCs w:val="16"/>
            <w:lang w:val="tr-TR"/>
          </w:rPr>
          <w:t>http://www.tcl.com/global/en.html</w:t>
        </w:r>
      </w:hyperlink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. </w:t>
      </w:r>
    </w:p>
    <w:p w14:paraId="096649C1" w14:textId="77777777" w:rsidR="00C867F8" w:rsidRPr="00322E74" w:rsidRDefault="00C867F8" w:rsidP="00C867F8">
      <w:pPr>
        <w:jc w:val="both"/>
        <w:rPr>
          <w:rFonts w:ascii="Arial" w:eastAsia="Lato Light" w:hAnsi="Arial" w:cs="Arial"/>
          <w:color w:val="auto"/>
          <w:sz w:val="16"/>
          <w:szCs w:val="16"/>
          <w:lang w:val="tr-TR"/>
        </w:rPr>
      </w:pPr>
    </w:p>
    <w:p w14:paraId="34281441" w14:textId="77777777" w:rsidR="00C867F8" w:rsidRPr="00322E74" w:rsidRDefault="00C867F8" w:rsidP="00C867F8">
      <w:pPr>
        <w:spacing w:line="276" w:lineRule="auto"/>
        <w:jc w:val="both"/>
        <w:rPr>
          <w:rFonts w:ascii="Arial" w:eastAsia="Lato Light" w:hAnsi="Arial" w:cs="Arial"/>
          <w:color w:val="auto"/>
          <w:sz w:val="16"/>
          <w:szCs w:val="16"/>
          <w:lang w:val="tr-TR"/>
        </w:rPr>
      </w:pPr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TCL, TCL </w:t>
      </w:r>
      <w:proofErr w:type="spellStart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>Corporation'ın</w:t>
      </w:r>
      <w:proofErr w:type="spellEnd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 tescilli ticari markasıdır. Diğer tüm ticari markalar ilgili sahiplerinin mülkiyetindedir. Alcatel, Nokia'nın TCL </w:t>
      </w:r>
      <w:proofErr w:type="spellStart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>Communication</w:t>
      </w:r>
      <w:proofErr w:type="spellEnd"/>
      <w:r w:rsidRPr="00322E74">
        <w:rPr>
          <w:rFonts w:ascii="Arial" w:eastAsia="Lato Light" w:hAnsi="Arial" w:cs="Arial"/>
          <w:color w:val="auto"/>
          <w:sz w:val="16"/>
          <w:szCs w:val="16"/>
          <w:lang w:val="tr-TR"/>
        </w:rPr>
        <w:t xml:space="preserve"> lisansı altında kullanılan bir ticari markasıdır.</w:t>
      </w:r>
      <w:bookmarkStart w:id="2" w:name="_30j0zll" w:colFirst="0" w:colLast="0"/>
      <w:bookmarkEnd w:id="2"/>
    </w:p>
    <w:p w14:paraId="76A182ED" w14:textId="77777777" w:rsidR="00C867F8" w:rsidRPr="00322E74" w:rsidRDefault="00C867F8" w:rsidP="00C867F8">
      <w:pPr>
        <w:jc w:val="both"/>
        <w:rPr>
          <w:rFonts w:ascii="Arial" w:eastAsia="DengXian" w:hAnsi="Arial" w:cs="Arial"/>
          <w:sz w:val="22"/>
          <w:lang w:val="tr-TR"/>
        </w:rPr>
      </w:pPr>
    </w:p>
    <w:sectPr w:rsidR="00C867F8" w:rsidRPr="00322E74">
      <w:headerReference w:type="default" r:id="rId14"/>
      <w:headerReference w:type="first" r:id="rId15"/>
      <w:pgSz w:w="11900" w:h="16840"/>
      <w:pgMar w:top="1843" w:right="1440" w:bottom="1440" w:left="1440" w:header="70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700D" w14:textId="77777777" w:rsidR="00094D3F" w:rsidRDefault="00094D3F">
      <w:r>
        <w:separator/>
      </w:r>
    </w:p>
  </w:endnote>
  <w:endnote w:type="continuationSeparator" w:id="0">
    <w:p w14:paraId="7B82F5A9" w14:textId="77777777" w:rsidR="00094D3F" w:rsidRDefault="00094D3F">
      <w:r>
        <w:continuationSeparator/>
      </w:r>
    </w:p>
  </w:endnote>
  <w:endnote w:type="continuationNotice" w:id="1">
    <w:p w14:paraId="18FEC6D2" w14:textId="77777777" w:rsidR="00094D3F" w:rsidRDefault="00094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altName w:val="Lato"/>
    <w:charset w:val="00"/>
    <w:family w:val="swiss"/>
    <w:pitch w:val="variable"/>
    <w:sig w:usb0="E10002FF" w:usb1="5000ECFF" w:usb2="0000002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charset w:val="00"/>
    <w:family w:val="auto"/>
    <w:pitch w:val="variable"/>
    <w:sig w:usb0="E10002FF" w:usb1="5000ECFF" w:usb2="00000021" w:usb3="00000000" w:csb0="0000019F" w:csb1="00000000"/>
  </w:font>
  <w:font w:name="Lato Bold">
    <w:altName w:val="Segoe UI"/>
    <w:charset w:val="00"/>
    <w:family w:val="auto"/>
    <w:pitch w:val="variable"/>
    <w:sig w:usb0="E10002FF" w:usb1="5000ECF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1A7F" w14:textId="77777777" w:rsidR="00094D3F" w:rsidRDefault="00094D3F">
      <w:r>
        <w:separator/>
      </w:r>
    </w:p>
  </w:footnote>
  <w:footnote w:type="continuationSeparator" w:id="0">
    <w:p w14:paraId="7DA3895B" w14:textId="77777777" w:rsidR="00094D3F" w:rsidRDefault="00094D3F">
      <w:r>
        <w:continuationSeparator/>
      </w:r>
    </w:p>
  </w:footnote>
  <w:footnote w:type="continuationNotice" w:id="1">
    <w:p w14:paraId="7D798700" w14:textId="77777777" w:rsidR="00094D3F" w:rsidRDefault="00094D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847008" w:rsidRDefault="00030A57">
    <w:pPr>
      <w:widowControl w:val="0"/>
      <w:spacing w:line="276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4656E70" wp14:editId="224A9C0D">
              <wp:simplePos x="0" y="0"/>
              <wp:positionH relativeFrom="page">
                <wp:posOffset>6611938</wp:posOffset>
              </wp:positionH>
              <wp:positionV relativeFrom="page">
                <wp:posOffset>672147</wp:posOffset>
              </wp:positionV>
              <wp:extent cx="133350" cy="133350"/>
              <wp:effectExtent l="0" t="0" r="0" b="0"/>
              <wp:wrapSquare wrapText="bothSides" distT="0" distB="0" distL="0" distR="0"/>
              <wp:docPr id="1073741828" name="Rectangle 1073741828" descr="Rectangle 2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4088" y="3718088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E5CA5" w14:textId="77777777" w:rsidR="00847008" w:rsidRDefault="00030A5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cs="Calibri"/>
                              <w:color w:val="FFFFFF"/>
                              <w:sz w:val="34"/>
                            </w:rPr>
                            <w:t>Press Release</w:t>
                          </w:r>
                        </w:p>
                      </w:txbxContent>
                    </wps:txbx>
                    <wps:bodyPr spcFirstLastPara="1" wrap="square" lIns="91400" tIns="91400" rIns="91400" bIns="914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656E70" id="Rectangle 1073741828" o:spid="_x0000_s1026" alt="Rectangle 2056" style="position:absolute;margin-left:520.65pt;margin-top:52.9pt;width:10.5pt;height:10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" filled="f" stroked="f">
              <v:textbox inset="2.53889mm,2.53889mm,2.53889mm,2.53889mm">
                <w:txbxContent>
                  <w:p w14:paraId="2D4E5CA5" w14:textId="77777777" w:rsidR="00847008" w:rsidRDefault="00030A57">
                    <w:pPr>
                      <w:jc w:val="right"/>
                      <w:textDirection w:val="btLr"/>
                    </w:pPr>
                    <w:r>
                      <w:rPr>
                        <w:rFonts w:cs="Calibri"/>
                        <w:color w:val="FFFFFF"/>
                        <w:sz w:val="34"/>
                      </w:rPr>
                      <w:t>Press Release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00000021" w14:textId="77777777" w:rsidR="00847008" w:rsidRDefault="00030A57">
    <w:pPr>
      <w:tabs>
        <w:tab w:val="center" w:pos="4513"/>
        <w:tab w:val="right" w:pos="9026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847008" w:rsidRDefault="00030A57">
    <w:pPr>
      <w:tabs>
        <w:tab w:val="center" w:pos="4513"/>
        <w:tab w:val="right" w:pos="90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3515EA3" wp14:editId="03A86ABC">
              <wp:simplePos x="0" y="0"/>
              <wp:positionH relativeFrom="page">
                <wp:posOffset>828363</wp:posOffset>
              </wp:positionH>
              <wp:positionV relativeFrom="page">
                <wp:posOffset>799147</wp:posOffset>
              </wp:positionV>
              <wp:extent cx="1892588" cy="357278"/>
              <wp:effectExtent l="0" t="0" r="0" b="0"/>
              <wp:wrapSquare wrapText="bothSides" distT="0" distB="0" distL="0" distR="0"/>
              <wp:docPr id="1073741829" name="Rectangle 1073741829" descr="Freeform 20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4469" y="3606124"/>
                        <a:ext cx="1883063" cy="3477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B56D2" w14:textId="0C457696" w:rsidR="00847008" w:rsidRPr="00D336BA" w:rsidRDefault="00C7147E">
                          <w:pPr>
                            <w:textDirection w:val="btLr"/>
                            <w:rPr>
                              <w:lang w:val="tr-TR"/>
                            </w:rPr>
                          </w:pPr>
                          <w:r w:rsidRPr="00D336BA">
                            <w:rPr>
                              <w:rFonts w:cs="Calibri"/>
                              <w:color w:val="7F7F7F"/>
                              <w:sz w:val="36"/>
                              <w:lang w:val="tr-TR"/>
                            </w:rPr>
                            <w:t>BASIN BÜLTENİ</w:t>
                          </w:r>
                        </w:p>
                      </w:txbxContent>
                    </wps:txbx>
                    <wps:bodyPr spcFirstLastPara="1" wrap="square" lIns="45675" tIns="45675" rIns="4567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15EA3" id="Rectangle 1073741829" o:spid="_x0000_s1027" alt="Freeform 2055" style="position:absolute;margin-left:65.25pt;margin-top:62.9pt;width:149pt;height:28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" filled="f" stroked="f">
              <v:textbox inset="1.26875mm,1.26875mm,1.26875mm,1.26875mm">
                <w:txbxContent>
                  <w:p w14:paraId="26BB56D2" w14:textId="0C457696" w:rsidR="00847008" w:rsidRPr="00D336BA" w:rsidRDefault="00C7147E">
                    <w:pPr>
                      <w:textDirection w:val="btLr"/>
                      <w:rPr>
                        <w:lang w:val="tr-TR"/>
                      </w:rPr>
                    </w:pPr>
                    <w:r w:rsidRPr="00D336BA">
                      <w:rPr>
                        <w:rFonts w:cs="Calibri"/>
                        <w:color w:val="7F7F7F"/>
                        <w:sz w:val="36"/>
                        <w:lang w:val="tr-TR"/>
                      </w:rPr>
                      <w:t>BASIN BÜLTENİ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0" distR="0" simplePos="0" relativeHeight="251660288" behindDoc="0" locked="0" layoutInCell="1" hidden="0" allowOverlap="1" wp14:anchorId="6F1367C4" wp14:editId="5680B041">
          <wp:simplePos x="0" y="0"/>
          <wp:positionH relativeFrom="page">
            <wp:posOffset>5735782</wp:posOffset>
          </wp:positionH>
          <wp:positionV relativeFrom="page">
            <wp:posOffset>32508</wp:posOffset>
          </wp:positionV>
          <wp:extent cx="913131" cy="546735"/>
          <wp:effectExtent l="0" t="0" r="0" b="0"/>
          <wp:wrapSquare wrapText="bothSides" distT="0" distB="0" distL="0" distR="0"/>
          <wp:docPr id="1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131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0E65"/>
    <w:multiLevelType w:val="hybridMultilevel"/>
    <w:tmpl w:val="B074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6D56"/>
    <w:multiLevelType w:val="multilevel"/>
    <w:tmpl w:val="7262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997DA3"/>
    <w:multiLevelType w:val="hybridMultilevel"/>
    <w:tmpl w:val="24DC710C"/>
    <w:lvl w:ilvl="0" w:tplc="C23851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1D5"/>
    <w:multiLevelType w:val="hybridMultilevel"/>
    <w:tmpl w:val="0B0AC7D8"/>
    <w:lvl w:ilvl="0" w:tplc="48AA35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BE7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8B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EB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6B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67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C4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A9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2D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C2EDE"/>
    <w:multiLevelType w:val="hybridMultilevel"/>
    <w:tmpl w:val="48FC7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960475">
    <w:abstractNumId w:val="3"/>
  </w:num>
  <w:num w:numId="2" w16cid:durableId="366830126">
    <w:abstractNumId w:val="1"/>
  </w:num>
  <w:num w:numId="3" w16cid:durableId="87165922">
    <w:abstractNumId w:val="4"/>
  </w:num>
  <w:num w:numId="4" w16cid:durableId="977883983">
    <w:abstractNumId w:val="0"/>
  </w:num>
  <w:num w:numId="5" w16cid:durableId="181129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08"/>
    <w:rsid w:val="00002500"/>
    <w:rsid w:val="000059B9"/>
    <w:rsid w:val="00013728"/>
    <w:rsid w:val="000213B8"/>
    <w:rsid w:val="00022B88"/>
    <w:rsid w:val="00024FB9"/>
    <w:rsid w:val="00030A57"/>
    <w:rsid w:val="00031D18"/>
    <w:rsid w:val="000454D1"/>
    <w:rsid w:val="00051F45"/>
    <w:rsid w:val="00053081"/>
    <w:rsid w:val="000618BC"/>
    <w:rsid w:val="000645E8"/>
    <w:rsid w:val="000676F4"/>
    <w:rsid w:val="00084EE5"/>
    <w:rsid w:val="00094D3F"/>
    <w:rsid w:val="00095308"/>
    <w:rsid w:val="000969ED"/>
    <w:rsid w:val="000A70A8"/>
    <w:rsid w:val="000B167D"/>
    <w:rsid w:val="000C0892"/>
    <w:rsid w:val="000C2AA5"/>
    <w:rsid w:val="000C2CD8"/>
    <w:rsid w:val="000D13F3"/>
    <w:rsid w:val="000D50AE"/>
    <w:rsid w:val="000F1372"/>
    <w:rsid w:val="000F6FC9"/>
    <w:rsid w:val="00100809"/>
    <w:rsid w:val="0010366D"/>
    <w:rsid w:val="00107F46"/>
    <w:rsid w:val="00116A87"/>
    <w:rsid w:val="0012062B"/>
    <w:rsid w:val="00127F08"/>
    <w:rsid w:val="00131DFA"/>
    <w:rsid w:val="0015090A"/>
    <w:rsid w:val="0015612C"/>
    <w:rsid w:val="001713EB"/>
    <w:rsid w:val="00173D56"/>
    <w:rsid w:val="00181ACB"/>
    <w:rsid w:val="00186137"/>
    <w:rsid w:val="00186F67"/>
    <w:rsid w:val="001902BD"/>
    <w:rsid w:val="001916B7"/>
    <w:rsid w:val="001937E6"/>
    <w:rsid w:val="00195092"/>
    <w:rsid w:val="001A019E"/>
    <w:rsid w:val="001A670A"/>
    <w:rsid w:val="001C1DE5"/>
    <w:rsid w:val="001C22EE"/>
    <w:rsid w:val="001D288A"/>
    <w:rsid w:val="001D6680"/>
    <w:rsid w:val="001E25F6"/>
    <w:rsid w:val="001F3579"/>
    <w:rsid w:val="001F5E86"/>
    <w:rsid w:val="001F70DC"/>
    <w:rsid w:val="002021BC"/>
    <w:rsid w:val="00202628"/>
    <w:rsid w:val="002155AA"/>
    <w:rsid w:val="00220F3D"/>
    <w:rsid w:val="00230791"/>
    <w:rsid w:val="00232F2C"/>
    <w:rsid w:val="00240181"/>
    <w:rsid w:val="00241A4F"/>
    <w:rsid w:val="002443A9"/>
    <w:rsid w:val="00254BC7"/>
    <w:rsid w:val="002631D5"/>
    <w:rsid w:val="002646A2"/>
    <w:rsid w:val="002650DE"/>
    <w:rsid w:val="00270265"/>
    <w:rsid w:val="00270AE9"/>
    <w:rsid w:val="002749B1"/>
    <w:rsid w:val="0028202A"/>
    <w:rsid w:val="002836AF"/>
    <w:rsid w:val="0028693A"/>
    <w:rsid w:val="00290278"/>
    <w:rsid w:val="002942D2"/>
    <w:rsid w:val="00297FFA"/>
    <w:rsid w:val="002B2E5F"/>
    <w:rsid w:val="002B62AB"/>
    <w:rsid w:val="002C3399"/>
    <w:rsid w:val="002C72E9"/>
    <w:rsid w:val="002C7E11"/>
    <w:rsid w:val="002D2486"/>
    <w:rsid w:val="002E1B05"/>
    <w:rsid w:val="002E50BF"/>
    <w:rsid w:val="002E6AF0"/>
    <w:rsid w:val="002F6137"/>
    <w:rsid w:val="002F7C27"/>
    <w:rsid w:val="00307C5E"/>
    <w:rsid w:val="00310B13"/>
    <w:rsid w:val="00322E74"/>
    <w:rsid w:val="003373FF"/>
    <w:rsid w:val="00347519"/>
    <w:rsid w:val="00367415"/>
    <w:rsid w:val="003806B7"/>
    <w:rsid w:val="00384C91"/>
    <w:rsid w:val="003854FB"/>
    <w:rsid w:val="003A16AA"/>
    <w:rsid w:val="003B2DA6"/>
    <w:rsid w:val="003C6355"/>
    <w:rsid w:val="003D294C"/>
    <w:rsid w:val="003F6BBD"/>
    <w:rsid w:val="004104CF"/>
    <w:rsid w:val="004115A5"/>
    <w:rsid w:val="00415481"/>
    <w:rsid w:val="004156F3"/>
    <w:rsid w:val="00427BF0"/>
    <w:rsid w:val="004368EF"/>
    <w:rsid w:val="00437768"/>
    <w:rsid w:val="004434DC"/>
    <w:rsid w:val="00455D87"/>
    <w:rsid w:val="004655D0"/>
    <w:rsid w:val="00467BF9"/>
    <w:rsid w:val="00474EB6"/>
    <w:rsid w:val="00491D63"/>
    <w:rsid w:val="0049262F"/>
    <w:rsid w:val="004C2702"/>
    <w:rsid w:val="004D60E8"/>
    <w:rsid w:val="004E0CDD"/>
    <w:rsid w:val="004E3282"/>
    <w:rsid w:val="004F05CE"/>
    <w:rsid w:val="00501986"/>
    <w:rsid w:val="005023A1"/>
    <w:rsid w:val="0051402B"/>
    <w:rsid w:val="00517A7D"/>
    <w:rsid w:val="00535092"/>
    <w:rsid w:val="00536B77"/>
    <w:rsid w:val="00542503"/>
    <w:rsid w:val="00546C97"/>
    <w:rsid w:val="005504FE"/>
    <w:rsid w:val="005532EE"/>
    <w:rsid w:val="00555818"/>
    <w:rsid w:val="0055711D"/>
    <w:rsid w:val="00592340"/>
    <w:rsid w:val="00593A19"/>
    <w:rsid w:val="00597906"/>
    <w:rsid w:val="005A3F73"/>
    <w:rsid w:val="005B3C0B"/>
    <w:rsid w:val="005B6659"/>
    <w:rsid w:val="005C2AAA"/>
    <w:rsid w:val="005C605E"/>
    <w:rsid w:val="005C7D41"/>
    <w:rsid w:val="005F01F3"/>
    <w:rsid w:val="005F09DD"/>
    <w:rsid w:val="005F298E"/>
    <w:rsid w:val="005F3130"/>
    <w:rsid w:val="00602ED6"/>
    <w:rsid w:val="0061024B"/>
    <w:rsid w:val="0061029E"/>
    <w:rsid w:val="00612060"/>
    <w:rsid w:val="0062463C"/>
    <w:rsid w:val="0063010D"/>
    <w:rsid w:val="00636D82"/>
    <w:rsid w:val="006414DC"/>
    <w:rsid w:val="0064522E"/>
    <w:rsid w:val="006472B4"/>
    <w:rsid w:val="006525E1"/>
    <w:rsid w:val="0067142B"/>
    <w:rsid w:val="00677537"/>
    <w:rsid w:val="006812AE"/>
    <w:rsid w:val="00682CA2"/>
    <w:rsid w:val="00684A26"/>
    <w:rsid w:val="00690873"/>
    <w:rsid w:val="006921B5"/>
    <w:rsid w:val="006B4397"/>
    <w:rsid w:val="006C2DC9"/>
    <w:rsid w:val="006C44B9"/>
    <w:rsid w:val="006D2A04"/>
    <w:rsid w:val="006D2B99"/>
    <w:rsid w:val="006D6600"/>
    <w:rsid w:val="006F0DBF"/>
    <w:rsid w:val="00705F74"/>
    <w:rsid w:val="0071032A"/>
    <w:rsid w:val="00721480"/>
    <w:rsid w:val="0072477D"/>
    <w:rsid w:val="00730888"/>
    <w:rsid w:val="0073175D"/>
    <w:rsid w:val="0073473B"/>
    <w:rsid w:val="00741062"/>
    <w:rsid w:val="00742E1A"/>
    <w:rsid w:val="0074400A"/>
    <w:rsid w:val="00747D6A"/>
    <w:rsid w:val="00752BB5"/>
    <w:rsid w:val="0075467A"/>
    <w:rsid w:val="007562B6"/>
    <w:rsid w:val="00756A11"/>
    <w:rsid w:val="007744E7"/>
    <w:rsid w:val="00774FB0"/>
    <w:rsid w:val="00775A24"/>
    <w:rsid w:val="0078674F"/>
    <w:rsid w:val="00797202"/>
    <w:rsid w:val="007A1247"/>
    <w:rsid w:val="007A1CA0"/>
    <w:rsid w:val="007A23DF"/>
    <w:rsid w:val="007A4CC6"/>
    <w:rsid w:val="007B1316"/>
    <w:rsid w:val="007B53EC"/>
    <w:rsid w:val="007B6591"/>
    <w:rsid w:val="007C5DBC"/>
    <w:rsid w:val="007D3B9A"/>
    <w:rsid w:val="007D7957"/>
    <w:rsid w:val="007D7CF6"/>
    <w:rsid w:val="007E1825"/>
    <w:rsid w:val="007E205F"/>
    <w:rsid w:val="0082165E"/>
    <w:rsid w:val="00821CDD"/>
    <w:rsid w:val="00826C90"/>
    <w:rsid w:val="00832795"/>
    <w:rsid w:val="008339F9"/>
    <w:rsid w:val="00836061"/>
    <w:rsid w:val="008434BC"/>
    <w:rsid w:val="008450B5"/>
    <w:rsid w:val="00845856"/>
    <w:rsid w:val="00847008"/>
    <w:rsid w:val="0085634D"/>
    <w:rsid w:val="00863027"/>
    <w:rsid w:val="008634A4"/>
    <w:rsid w:val="00863BE1"/>
    <w:rsid w:val="00871594"/>
    <w:rsid w:val="00872623"/>
    <w:rsid w:val="00876A2E"/>
    <w:rsid w:val="00891AEC"/>
    <w:rsid w:val="008A0A21"/>
    <w:rsid w:val="008A36A5"/>
    <w:rsid w:val="008A3CBB"/>
    <w:rsid w:val="008A402D"/>
    <w:rsid w:val="008C6ABF"/>
    <w:rsid w:val="008D2CEA"/>
    <w:rsid w:val="008E7D04"/>
    <w:rsid w:val="008F6E7A"/>
    <w:rsid w:val="008F79ED"/>
    <w:rsid w:val="00901EE9"/>
    <w:rsid w:val="00912E25"/>
    <w:rsid w:val="009152E8"/>
    <w:rsid w:val="00921D6B"/>
    <w:rsid w:val="00924C3C"/>
    <w:rsid w:val="009263FA"/>
    <w:rsid w:val="009316F0"/>
    <w:rsid w:val="0094047D"/>
    <w:rsid w:val="009408BB"/>
    <w:rsid w:val="00962B19"/>
    <w:rsid w:val="00963D01"/>
    <w:rsid w:val="0098102C"/>
    <w:rsid w:val="00995346"/>
    <w:rsid w:val="00997627"/>
    <w:rsid w:val="009A614A"/>
    <w:rsid w:val="009A7CD0"/>
    <w:rsid w:val="009B2557"/>
    <w:rsid w:val="009B62E5"/>
    <w:rsid w:val="009C3354"/>
    <w:rsid w:val="009D13D0"/>
    <w:rsid w:val="009E0444"/>
    <w:rsid w:val="009E4D18"/>
    <w:rsid w:val="009E69C2"/>
    <w:rsid w:val="009F55C4"/>
    <w:rsid w:val="00A00089"/>
    <w:rsid w:val="00A07BC1"/>
    <w:rsid w:val="00A1199B"/>
    <w:rsid w:val="00A14021"/>
    <w:rsid w:val="00A25023"/>
    <w:rsid w:val="00A251BB"/>
    <w:rsid w:val="00A26CDC"/>
    <w:rsid w:val="00A30491"/>
    <w:rsid w:val="00A35887"/>
    <w:rsid w:val="00A365FC"/>
    <w:rsid w:val="00A379BA"/>
    <w:rsid w:val="00A40C4D"/>
    <w:rsid w:val="00A512E9"/>
    <w:rsid w:val="00A53C1F"/>
    <w:rsid w:val="00A56432"/>
    <w:rsid w:val="00A6174B"/>
    <w:rsid w:val="00A81D51"/>
    <w:rsid w:val="00A85AAF"/>
    <w:rsid w:val="00A9296D"/>
    <w:rsid w:val="00AB2E9F"/>
    <w:rsid w:val="00AC07FC"/>
    <w:rsid w:val="00AD183B"/>
    <w:rsid w:val="00AD1D6A"/>
    <w:rsid w:val="00AE0A74"/>
    <w:rsid w:val="00AF2AE9"/>
    <w:rsid w:val="00AF2F14"/>
    <w:rsid w:val="00AF6CD7"/>
    <w:rsid w:val="00B013C4"/>
    <w:rsid w:val="00B0339E"/>
    <w:rsid w:val="00B07F9B"/>
    <w:rsid w:val="00B15E13"/>
    <w:rsid w:val="00B17E49"/>
    <w:rsid w:val="00B254FC"/>
    <w:rsid w:val="00B33982"/>
    <w:rsid w:val="00B40077"/>
    <w:rsid w:val="00B434A8"/>
    <w:rsid w:val="00B51590"/>
    <w:rsid w:val="00B51854"/>
    <w:rsid w:val="00B71541"/>
    <w:rsid w:val="00B73670"/>
    <w:rsid w:val="00B9364A"/>
    <w:rsid w:val="00B959AA"/>
    <w:rsid w:val="00BA1342"/>
    <w:rsid w:val="00BA165B"/>
    <w:rsid w:val="00BA20A0"/>
    <w:rsid w:val="00BA217B"/>
    <w:rsid w:val="00BA58FF"/>
    <w:rsid w:val="00BB10FA"/>
    <w:rsid w:val="00BC1E61"/>
    <w:rsid w:val="00BC1FD4"/>
    <w:rsid w:val="00BC37C1"/>
    <w:rsid w:val="00BD3990"/>
    <w:rsid w:val="00BD3BEA"/>
    <w:rsid w:val="00BD7D14"/>
    <w:rsid w:val="00BE5933"/>
    <w:rsid w:val="00BF1A06"/>
    <w:rsid w:val="00C013A8"/>
    <w:rsid w:val="00C07A47"/>
    <w:rsid w:val="00C1511F"/>
    <w:rsid w:val="00C1668B"/>
    <w:rsid w:val="00C216EC"/>
    <w:rsid w:val="00C36B59"/>
    <w:rsid w:val="00C375D4"/>
    <w:rsid w:val="00C37753"/>
    <w:rsid w:val="00C523DE"/>
    <w:rsid w:val="00C539E9"/>
    <w:rsid w:val="00C7147E"/>
    <w:rsid w:val="00C72B27"/>
    <w:rsid w:val="00C7667A"/>
    <w:rsid w:val="00C82F70"/>
    <w:rsid w:val="00C83E8F"/>
    <w:rsid w:val="00C867F8"/>
    <w:rsid w:val="00C91610"/>
    <w:rsid w:val="00C92110"/>
    <w:rsid w:val="00C965E4"/>
    <w:rsid w:val="00CB4057"/>
    <w:rsid w:val="00CC09CB"/>
    <w:rsid w:val="00CE40E3"/>
    <w:rsid w:val="00D011A9"/>
    <w:rsid w:val="00D050E8"/>
    <w:rsid w:val="00D10204"/>
    <w:rsid w:val="00D1232D"/>
    <w:rsid w:val="00D16914"/>
    <w:rsid w:val="00D33042"/>
    <w:rsid w:val="00D336BA"/>
    <w:rsid w:val="00D36935"/>
    <w:rsid w:val="00D4333E"/>
    <w:rsid w:val="00D52C26"/>
    <w:rsid w:val="00D5488B"/>
    <w:rsid w:val="00D623D8"/>
    <w:rsid w:val="00D64A80"/>
    <w:rsid w:val="00D71AD9"/>
    <w:rsid w:val="00D73F75"/>
    <w:rsid w:val="00D77287"/>
    <w:rsid w:val="00D80EA4"/>
    <w:rsid w:val="00D83AAC"/>
    <w:rsid w:val="00D9055D"/>
    <w:rsid w:val="00D931A0"/>
    <w:rsid w:val="00DA472E"/>
    <w:rsid w:val="00DA786E"/>
    <w:rsid w:val="00DB109F"/>
    <w:rsid w:val="00DB18D4"/>
    <w:rsid w:val="00DC3BE9"/>
    <w:rsid w:val="00DC51C2"/>
    <w:rsid w:val="00DF4265"/>
    <w:rsid w:val="00DF4463"/>
    <w:rsid w:val="00DF76D2"/>
    <w:rsid w:val="00E0513D"/>
    <w:rsid w:val="00E24EB4"/>
    <w:rsid w:val="00E33B2D"/>
    <w:rsid w:val="00E40278"/>
    <w:rsid w:val="00E877BE"/>
    <w:rsid w:val="00E94D04"/>
    <w:rsid w:val="00EA37EB"/>
    <w:rsid w:val="00EA4251"/>
    <w:rsid w:val="00EA5D82"/>
    <w:rsid w:val="00EB57F9"/>
    <w:rsid w:val="00EC094D"/>
    <w:rsid w:val="00EC12C8"/>
    <w:rsid w:val="00ED4055"/>
    <w:rsid w:val="00ED49E8"/>
    <w:rsid w:val="00ED4D3A"/>
    <w:rsid w:val="00ED6C67"/>
    <w:rsid w:val="00ED7DDB"/>
    <w:rsid w:val="00EE4ED0"/>
    <w:rsid w:val="00EE6998"/>
    <w:rsid w:val="00EE75FF"/>
    <w:rsid w:val="00EE7F3A"/>
    <w:rsid w:val="00F06098"/>
    <w:rsid w:val="00F10120"/>
    <w:rsid w:val="00F24081"/>
    <w:rsid w:val="00F463A5"/>
    <w:rsid w:val="00F510DF"/>
    <w:rsid w:val="00F5130A"/>
    <w:rsid w:val="00F55029"/>
    <w:rsid w:val="00F60501"/>
    <w:rsid w:val="00F660D7"/>
    <w:rsid w:val="00F7208B"/>
    <w:rsid w:val="00F94269"/>
    <w:rsid w:val="00F95D77"/>
    <w:rsid w:val="00FB2095"/>
    <w:rsid w:val="00FB4E78"/>
    <w:rsid w:val="00FB5667"/>
    <w:rsid w:val="00FC1371"/>
    <w:rsid w:val="00FD6EB4"/>
    <w:rsid w:val="00FD7F6B"/>
    <w:rsid w:val="00FE1A9D"/>
    <w:rsid w:val="13E197FA"/>
    <w:rsid w:val="2B23DCF5"/>
    <w:rsid w:val="3A0D9A0F"/>
    <w:rsid w:val="3E058216"/>
    <w:rsid w:val="4361DD55"/>
    <w:rsid w:val="5244E51F"/>
    <w:rsid w:val="5549B8A7"/>
    <w:rsid w:val="5E752D02"/>
    <w:rsid w:val="60C0F857"/>
    <w:rsid w:val="6A98D505"/>
    <w:rsid w:val="7B5898FD"/>
    <w:rsid w:val="7CF4695E"/>
    <w:rsid w:val="7E1FD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BD9BA"/>
  <w15:docId w15:val="{C6D65224-B4F2-4DD4-B2A4-4C8055A4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u w:val="single"/>
    </w:rPr>
  </w:style>
  <w:style w:type="paragraph" w:customStyle="1" w:styleId="a">
    <w:name w:val="页眉与页脚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默认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导入的样式“1”"/>
  </w:style>
  <w:style w:type="paragraph" w:styleId="DipnotMetni">
    <w:name w:val="footnote text"/>
    <w:rPr>
      <w:rFonts w:ascii="Cambria" w:eastAsia="Cambria" w:hAnsi="Cambria" w:cs="Cambria"/>
      <w:color w:val="000000"/>
      <w:u w:color="000000"/>
    </w:rPr>
  </w:style>
  <w:style w:type="character" w:customStyle="1" w:styleId="a1">
    <w:name w:val="链接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1"/>
    <w:rPr>
      <w:i/>
      <w:i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ascii="Calibri" w:hAnsi="Calibri" w:cs="Arial Unicode MS"/>
      <w:color w:val="000000"/>
      <w:u w:color="00000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66D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6DD"/>
    <w:rPr>
      <w:color w:val="000000"/>
      <w:sz w:val="18"/>
      <w:szCs w:val="18"/>
      <w:u w:color="000000"/>
    </w:rPr>
  </w:style>
  <w:style w:type="paragraph" w:styleId="Dzeltme">
    <w:name w:val="Revision"/>
    <w:hidden/>
    <w:uiPriority w:val="99"/>
    <w:semiHidden/>
    <w:rsid w:val="00F71F54"/>
    <w:rPr>
      <w:rFonts w:cs="Arial Unicode MS"/>
      <w:color w:val="000000"/>
      <w:u w:color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58B7"/>
    <w:rPr>
      <w:b/>
      <w:bCs/>
      <w:sz w:val="24"/>
      <w:szCs w:val="24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58B7"/>
    <w:rPr>
      <w:rFonts w:ascii="Calibri" w:hAnsi="Calibri" w:cs="Arial Unicode MS"/>
      <w:b/>
      <w:bCs/>
      <w:color w:val="000000"/>
      <w:sz w:val="24"/>
      <w:szCs w:val="24"/>
      <w:u w:color="000000"/>
    </w:rPr>
  </w:style>
  <w:style w:type="paragraph" w:styleId="stBilgi">
    <w:name w:val="header"/>
    <w:basedOn w:val="Normal"/>
    <w:link w:val="stBilgiChar"/>
    <w:uiPriority w:val="99"/>
    <w:unhideWhenUsed/>
    <w:rsid w:val="00654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rsid w:val="00654940"/>
    <w:rPr>
      <w:rFonts w:ascii="Calibri" w:hAnsi="Calibri" w:cs="Arial Unicode MS"/>
      <w:color w:val="000000"/>
      <w:sz w:val="18"/>
      <w:szCs w:val="18"/>
      <w:u w:color="000000"/>
    </w:rPr>
  </w:style>
  <w:style w:type="paragraph" w:styleId="AltBilgi">
    <w:name w:val="footer"/>
    <w:basedOn w:val="Normal"/>
    <w:link w:val="AltBilgiChar"/>
    <w:uiPriority w:val="99"/>
    <w:unhideWhenUsed/>
    <w:rsid w:val="006549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ltBilgiChar">
    <w:name w:val="Alt Bilgi Char"/>
    <w:basedOn w:val="VarsaylanParagrafYazTipi"/>
    <w:link w:val="AltBilgi"/>
    <w:uiPriority w:val="99"/>
    <w:rsid w:val="00654940"/>
    <w:rPr>
      <w:rFonts w:ascii="Calibri" w:hAnsi="Calibri" w:cs="Arial Unicode MS"/>
      <w:color w:val="000000"/>
      <w:sz w:val="18"/>
      <w:szCs w:val="18"/>
      <w:u w:color="000000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DipnotBavurusu">
    <w:name w:val="footnote reference"/>
    <w:basedOn w:val="VarsaylanParagrafYazTipi"/>
    <w:uiPriority w:val="99"/>
    <w:semiHidden/>
    <w:unhideWhenUsed/>
    <w:rsid w:val="0034751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75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ResimYazs">
    <w:name w:val="caption"/>
    <w:basedOn w:val="Normal"/>
    <w:next w:val="Normal"/>
    <w:uiPriority w:val="35"/>
    <w:unhideWhenUsed/>
    <w:qFormat/>
    <w:rsid w:val="008450B5"/>
    <w:pPr>
      <w:spacing w:after="200"/>
    </w:pPr>
    <w:rPr>
      <w:i/>
      <w:iCs/>
      <w:color w:val="A7A7A7" w:themeColor="text2"/>
      <w:sz w:val="18"/>
      <w:szCs w:val="18"/>
    </w:rPr>
  </w:style>
  <w:style w:type="character" w:styleId="Gl">
    <w:name w:val="Strong"/>
    <w:basedOn w:val="VarsaylanParagrafYazTipi"/>
    <w:uiPriority w:val="22"/>
    <w:qFormat/>
    <w:rsid w:val="00891AEC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4F05CE"/>
    <w:rPr>
      <w:color w:val="FF00FF" w:themeColor="followedHyperlink"/>
      <w:u w:val="single"/>
    </w:rPr>
  </w:style>
  <w:style w:type="table" w:styleId="TabloKlavuzu">
    <w:name w:val="Table Grid"/>
    <w:basedOn w:val="NormalTablo"/>
    <w:uiPriority w:val="39"/>
    <w:rsid w:val="0009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304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051F45"/>
    <w:rPr>
      <w:color w:val="605E5C"/>
      <w:shd w:val="clear" w:color="auto" w:fill="E1DFDD"/>
    </w:rPr>
  </w:style>
  <w:style w:type="paragraph" w:customStyle="1" w:styleId="Default">
    <w:name w:val="Default"/>
    <w:rsid w:val="00A9296D"/>
    <w:pPr>
      <w:autoSpaceDE w:val="0"/>
      <w:autoSpaceDN w:val="0"/>
      <w:adjustRightInd w:val="0"/>
    </w:pPr>
    <w:rPr>
      <w:rFonts w:ascii="Arial" w:eastAsia="PMingLiU" w:hAnsi="Arial" w:cs="Arial"/>
      <w:color w:val="000000"/>
      <w:lang w:val="fr-FR"/>
    </w:rPr>
  </w:style>
  <w:style w:type="character" w:customStyle="1" w:styleId="eop">
    <w:name w:val="eop"/>
    <w:basedOn w:val="VarsaylanParagrafYazTipi"/>
    <w:rsid w:val="0002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cl.com/global/en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nderk@bordop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0" ma:contentTypeDescription="Yeni belge oluşturun." ma:contentTypeScope="" ma:versionID="9124f16977993da65387cec3c2cfb933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b01959ae984e048d403221e584eed54b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Onay durumu" ma:internalName="Onay_x0020_durumu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0FAfBYeKY5utprCMOq+CEdXQdg==">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  <_Flow_SignoffStatus xmlns="a6a5f7e4-2986-46c3-893f-0e0d1047cb81" xsi:nil="true"/>
  </documentManagement>
</p:properties>
</file>

<file path=customXml/itemProps1.xml><?xml version="1.0" encoding="utf-8"?>
<ds:datastoreItem xmlns:ds="http://schemas.openxmlformats.org/officeDocument/2006/customXml" ds:itemID="{CFD29C11-0CF3-46C1-A8FD-2EBB1D09B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D13BA-41BC-4B14-85E5-3B2520A79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5408A-6537-45C5-B8A4-31206C9C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83387F0-A9C6-4229-B60C-0353C0B4A6B0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Company>TCL Communication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Andrea, SHEN(GS&amp;MC MKT PR &amp; EVENT-SZ-TCT)</dc:creator>
  <cp:lastModifiedBy>Onder Kalkanci</cp:lastModifiedBy>
  <cp:revision>17</cp:revision>
  <cp:lastPrinted>2021-01-13T09:48:00Z</cp:lastPrinted>
  <dcterms:created xsi:type="dcterms:W3CDTF">2022-09-27T07:44:00Z</dcterms:created>
  <dcterms:modified xsi:type="dcterms:W3CDTF">2022-10-13T08:32:00Z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  <property fmtid="{D5CDD505-2E9C-101B-9397-08002B2CF9AE}" pid="3" name="MediaServiceImageTags">
    <vt:lpwstr/>
  </property>
</Properties>
</file>