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282D72" w14:textId="510FB81F" w:rsidR="00C12554" w:rsidRDefault="006504AE" w:rsidP="00242F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804"/>
        </w:tabs>
        <w:ind w:right="480"/>
        <w:jc w:val="center"/>
        <w:rPr>
          <w:rStyle w:val="Gl"/>
          <w:bCs w:val="0"/>
          <w:color w:val="0E101A"/>
          <w:sz w:val="48"/>
          <w:szCs w:val="48"/>
          <w:lang w:val="tr-TR"/>
        </w:rPr>
      </w:pPr>
      <w:r w:rsidRPr="00A963C2">
        <w:rPr>
          <w:rStyle w:val="Gl"/>
          <w:bCs w:val="0"/>
          <w:color w:val="0E101A"/>
          <w:sz w:val="48"/>
          <w:szCs w:val="48"/>
          <w:lang w:val="tr-TR"/>
        </w:rPr>
        <w:t>TCL, sporun gücünü "</w:t>
      </w:r>
      <w:proofErr w:type="spellStart"/>
      <w:r w:rsidRPr="00A963C2">
        <w:rPr>
          <w:rStyle w:val="Gl"/>
          <w:bCs w:val="0"/>
          <w:color w:val="0E101A"/>
          <w:sz w:val="48"/>
          <w:szCs w:val="48"/>
          <w:lang w:val="tr-TR"/>
        </w:rPr>
        <w:t>Inspire</w:t>
      </w:r>
      <w:proofErr w:type="spellEnd"/>
      <w:r w:rsidRPr="00A963C2">
        <w:rPr>
          <w:rStyle w:val="Gl"/>
          <w:bCs w:val="0"/>
          <w:color w:val="0E101A"/>
          <w:sz w:val="48"/>
          <w:szCs w:val="48"/>
          <w:lang w:val="tr-TR"/>
        </w:rPr>
        <w:t xml:space="preserve"> </w:t>
      </w:r>
      <w:proofErr w:type="spellStart"/>
      <w:r w:rsidRPr="00A963C2">
        <w:rPr>
          <w:rStyle w:val="Gl"/>
          <w:bCs w:val="0"/>
          <w:color w:val="0E101A"/>
          <w:sz w:val="48"/>
          <w:szCs w:val="48"/>
          <w:lang w:val="tr-TR"/>
        </w:rPr>
        <w:t>Greatness</w:t>
      </w:r>
      <w:proofErr w:type="spellEnd"/>
      <w:r w:rsidRPr="00A963C2">
        <w:rPr>
          <w:rStyle w:val="Gl"/>
          <w:bCs w:val="0"/>
          <w:color w:val="0E101A"/>
          <w:sz w:val="48"/>
          <w:szCs w:val="48"/>
          <w:lang w:val="tr-TR"/>
        </w:rPr>
        <w:t>” vizyonuyla bir araya getiriyor</w:t>
      </w:r>
      <w:r w:rsidR="00C12554" w:rsidRPr="00F55030">
        <w:rPr>
          <w:rStyle w:val="Gl"/>
          <w:bCs w:val="0"/>
          <w:color w:val="0E101A"/>
          <w:sz w:val="48"/>
          <w:szCs w:val="48"/>
          <w:lang w:val="tr-TR"/>
        </w:rPr>
        <w:t xml:space="preserve"> </w:t>
      </w:r>
    </w:p>
    <w:p w14:paraId="59D0ADDF" w14:textId="28DED0AF" w:rsidR="00F717E9" w:rsidRPr="00F55030" w:rsidRDefault="00F55030" w:rsidP="00F5503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804"/>
        </w:tabs>
        <w:ind w:right="480"/>
        <w:jc w:val="center"/>
        <w:rPr>
          <w:rFonts w:ascii="Lato" w:eastAsia="Lato" w:hAnsi="Lato" w:cs="Lato"/>
          <w:b/>
          <w:color w:val="FF0000"/>
          <w:sz w:val="34"/>
          <w:szCs w:val="34"/>
          <w:lang w:val="tr-TR"/>
        </w:rPr>
      </w:pPr>
      <w:r w:rsidRPr="00F55030">
        <w:rPr>
          <w:rFonts w:ascii="Lato" w:eastAsia="Lato" w:hAnsi="Lato" w:cs="Lato"/>
          <w:b/>
          <w:color w:val="FF0000"/>
          <w:sz w:val="34"/>
          <w:szCs w:val="34"/>
          <w:lang w:val="tr-TR"/>
        </w:rPr>
        <w:t>FIBA Uluslararası Basketbol Federasyonu Küresel Ortağı</w:t>
      </w:r>
    </w:p>
    <w:p w14:paraId="3992AC89" w14:textId="4AF1E70D" w:rsidR="00F501FA" w:rsidRPr="00F55030" w:rsidRDefault="00F501FA" w:rsidP="00242F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804"/>
        </w:tabs>
        <w:ind w:right="480"/>
        <w:jc w:val="center"/>
        <w:rPr>
          <w:rFonts w:ascii="Lato" w:eastAsia="Lato" w:hAnsi="Lato" w:cs="Lato"/>
          <w:b/>
          <w:color w:val="FF0000"/>
          <w:sz w:val="34"/>
          <w:szCs w:val="34"/>
          <w:lang w:val="tr-TR"/>
        </w:rPr>
      </w:pPr>
    </w:p>
    <w:p w14:paraId="3D39AB0D" w14:textId="5E7BD14D" w:rsidR="00F501FA" w:rsidRPr="00F55030" w:rsidRDefault="00F501FA" w:rsidP="00242F4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804"/>
        </w:tabs>
        <w:ind w:right="480"/>
        <w:jc w:val="center"/>
        <w:rPr>
          <w:rFonts w:ascii="Lato" w:eastAsia="Lato" w:hAnsi="Lato" w:cs="Lato"/>
          <w:b/>
          <w:sz w:val="34"/>
          <w:szCs w:val="34"/>
          <w:lang w:val="tr-TR"/>
        </w:rPr>
      </w:pPr>
      <w:r w:rsidRPr="00F55030">
        <w:rPr>
          <w:noProof/>
          <w:lang w:val="tr-TR"/>
        </w:rPr>
        <w:drawing>
          <wp:inline distT="0" distB="0" distL="0" distR="0" wp14:anchorId="7EAECDBF" wp14:editId="56F645B0">
            <wp:extent cx="5727700" cy="2101215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7E33D" w14:textId="77777777" w:rsidR="00F717E9" w:rsidRPr="00F55030" w:rsidRDefault="00F717E9" w:rsidP="002E0030">
      <w:pPr>
        <w:keepNext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6804"/>
        </w:tabs>
        <w:ind w:right="480"/>
        <w:jc w:val="center"/>
        <w:rPr>
          <w:highlight w:val="yellow"/>
          <w:lang w:val="tr-TR"/>
        </w:rPr>
      </w:pPr>
    </w:p>
    <w:tbl>
      <w:tblPr>
        <w:tblStyle w:val="a"/>
        <w:tblW w:w="962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6E5255" w:rsidRPr="00F55030" w14:paraId="45ECCCC1" w14:textId="77777777" w:rsidTr="579B7809">
        <w:trPr>
          <w:trHeight w:val="100"/>
        </w:trPr>
        <w:tc>
          <w:tcPr>
            <w:tcW w:w="9624" w:type="dxa"/>
            <w:vAlign w:val="center"/>
          </w:tcPr>
          <w:p w14:paraId="41166E70" w14:textId="736FB951" w:rsidR="00D40E74" w:rsidRDefault="00BB6D9F" w:rsidP="579B7809">
            <w:pPr>
              <w:rPr>
                <w:rFonts w:ascii="Lato Light" w:eastAsia="Lato Light" w:hAnsi="Lato Light" w:cs="Lato Light"/>
                <w:lang w:val="tr-TR"/>
              </w:rPr>
            </w:pPr>
            <w:r>
              <w:rPr>
                <w:rFonts w:ascii="Lato Light" w:eastAsia="Lato Light" w:hAnsi="Lato Light" w:cs="Lato Light"/>
                <w:lang w:val="tr-TR"/>
              </w:rPr>
              <w:t>Dünyanın ö</w:t>
            </w:r>
            <w:r w:rsidR="00D40E74" w:rsidRPr="00D40E74">
              <w:rPr>
                <w:rFonts w:ascii="Lato Light" w:eastAsia="Lato Light" w:hAnsi="Lato Light" w:cs="Lato Light"/>
                <w:lang w:val="tr-TR"/>
              </w:rPr>
              <w:t>nde gelen tüketici elektroniği marka</w:t>
            </w:r>
            <w:r w:rsidR="00D40E74">
              <w:rPr>
                <w:rFonts w:ascii="Lato Light" w:eastAsia="Lato Light" w:hAnsi="Lato Light" w:cs="Lato Light"/>
                <w:lang w:val="tr-TR"/>
              </w:rPr>
              <w:t xml:space="preserve">larından </w:t>
            </w:r>
            <w:r w:rsidR="00D40E74" w:rsidRPr="00D40E74">
              <w:rPr>
                <w:rFonts w:ascii="Lato Light" w:eastAsia="Lato Light" w:hAnsi="Lato Light" w:cs="Lato Light"/>
                <w:lang w:val="tr-TR"/>
              </w:rPr>
              <w:t>TCL, Uluslararası Basketbol Federasyonu FIBA ile</w:t>
            </w:r>
            <w:r w:rsidR="00D40E74">
              <w:rPr>
                <w:rFonts w:ascii="Lato Light" w:eastAsia="Lato Light" w:hAnsi="Lato Light" w:cs="Lato Light"/>
                <w:lang w:val="tr-TR"/>
              </w:rPr>
              <w:t xml:space="preserve"> yaptığı iş birliği kapsamında, </w:t>
            </w:r>
            <w:r w:rsidR="00D40E74" w:rsidRPr="00D40E74">
              <w:rPr>
                <w:rFonts w:ascii="Lato Light" w:eastAsia="Lato Light" w:hAnsi="Lato Light" w:cs="Lato Light"/>
                <w:lang w:val="tr-TR"/>
              </w:rPr>
              <w:t xml:space="preserve">FIBA'nın en önemli Avrupa </w:t>
            </w:r>
            <w:r w:rsidR="00D40E74">
              <w:rPr>
                <w:rFonts w:ascii="Lato Light" w:eastAsia="Lato Light" w:hAnsi="Lato Light" w:cs="Lato Light"/>
                <w:lang w:val="tr-TR"/>
              </w:rPr>
              <w:t xml:space="preserve">mücadelesi </w:t>
            </w:r>
            <w:r w:rsidR="00D40E74" w:rsidRPr="00D40E74">
              <w:rPr>
                <w:rFonts w:ascii="Lato Light" w:eastAsia="Lato Light" w:hAnsi="Lato Light" w:cs="Lato Light"/>
                <w:lang w:val="tr-TR"/>
              </w:rPr>
              <w:t>olan FIBA EuroBasket 2022'de oyunculara ve taraftarlara ilgi çekici ve unutulmaz deneyimler sunmaya ve yenilikler yapmaya devam ediyor.</w:t>
            </w:r>
          </w:p>
          <w:p w14:paraId="62E74E5F" w14:textId="77777777" w:rsidR="004D1C08" w:rsidRPr="00F55030" w:rsidRDefault="004D1C08" w:rsidP="00DA67EE">
            <w:pPr>
              <w:rPr>
                <w:rFonts w:ascii="Lato Light" w:eastAsia="Lato Light" w:hAnsi="Lato Light" w:cs="Lato Light"/>
                <w:lang w:val="tr-TR"/>
              </w:rPr>
            </w:pPr>
          </w:p>
          <w:p w14:paraId="18B6DB09" w14:textId="4EF8F37B" w:rsidR="00C62456" w:rsidRDefault="00C62456" w:rsidP="00DA67EE">
            <w:pPr>
              <w:rPr>
                <w:rFonts w:ascii="Lato Light" w:eastAsia="Lato Light" w:hAnsi="Lato Light" w:cs="Lato Light"/>
                <w:lang w:val="tr-TR"/>
              </w:rPr>
            </w:pPr>
            <w:r w:rsidRPr="00C62456">
              <w:rPr>
                <w:rFonts w:ascii="Lato Light" w:eastAsia="Lato Light" w:hAnsi="Lato Light" w:cs="Lato Light"/>
                <w:lang w:val="tr-TR"/>
              </w:rPr>
              <w:t>TCL, sporun gücünü</w:t>
            </w:r>
            <w:r w:rsidR="000D561D">
              <w:rPr>
                <w:rFonts w:ascii="Lato Light" w:eastAsia="Lato Light" w:hAnsi="Lato Light" w:cs="Lato Light"/>
                <w:lang w:val="tr-TR"/>
              </w:rPr>
              <w:t>n</w:t>
            </w:r>
            <w:r w:rsidR="00745811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Pr="00C62456">
              <w:rPr>
                <w:rFonts w:ascii="Lato Light" w:eastAsia="Lato Light" w:hAnsi="Lato Light" w:cs="Lato Light"/>
                <w:lang w:val="tr-TR"/>
              </w:rPr>
              <w:t xml:space="preserve">oyuncularda, taraftarlarda ve daha geniş </w:t>
            </w:r>
            <w:r w:rsidR="000D561D">
              <w:rPr>
                <w:rFonts w:ascii="Lato Light" w:eastAsia="Lato Light" w:hAnsi="Lato Light" w:cs="Lato Light"/>
                <w:lang w:val="tr-TR"/>
              </w:rPr>
              <w:t>kitlelerde</w:t>
            </w:r>
            <w:r w:rsidR="00745811">
              <w:rPr>
                <w:rFonts w:ascii="Lato Light" w:eastAsia="Lato Light" w:hAnsi="Lato Light" w:cs="Lato Light"/>
                <w:lang w:val="tr-TR"/>
              </w:rPr>
              <w:t xml:space="preserve"> yarattığı</w:t>
            </w:r>
            <w:r w:rsidR="000D561D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Pr="00C62456">
              <w:rPr>
                <w:rFonts w:ascii="Lato Light" w:eastAsia="Lato Light" w:hAnsi="Lato Light" w:cs="Lato Light"/>
                <w:lang w:val="tr-TR"/>
              </w:rPr>
              <w:t>birleştirici ruhu</w:t>
            </w:r>
            <w:r w:rsidR="00745811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45811" w:rsidRPr="00C52BE5">
              <w:rPr>
                <w:rFonts w:ascii="Lato Light" w:eastAsia="Lato Light" w:hAnsi="Lato Light" w:cs="Lato Light"/>
                <w:lang w:val="tr-TR"/>
              </w:rPr>
              <w:t xml:space="preserve">"Inspire Greatness” vizyonuyla bir araya getiriyor. </w:t>
            </w:r>
            <w:r w:rsidRPr="00C62456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C20" w:rsidRPr="00585190">
              <w:rPr>
                <w:rFonts w:ascii="Lato Light" w:eastAsia="Lato Light" w:hAnsi="Lato Light" w:cs="Lato Light"/>
                <w:lang w:val="tr-TR"/>
              </w:rPr>
              <w:t>TCL</w:t>
            </w:r>
            <w:r w:rsidR="00A963C2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4C9">
              <w:rPr>
                <w:rFonts w:ascii="Lato Light" w:eastAsia="Lato Light" w:hAnsi="Lato Light" w:cs="Lato Light"/>
                <w:lang w:val="tr-TR"/>
              </w:rPr>
              <w:t>yenilikçi ve yaratıcı</w:t>
            </w:r>
            <w:r w:rsidR="00552646" w:rsidRPr="00585190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Pr="00585190">
              <w:rPr>
                <w:rFonts w:ascii="Lato Light" w:eastAsia="Lato Light" w:hAnsi="Lato Light" w:cs="Lato Light"/>
                <w:lang w:val="tr-TR"/>
              </w:rPr>
              <w:t>ürünler</w:t>
            </w:r>
            <w:r w:rsidR="00552646" w:rsidRPr="00585190">
              <w:rPr>
                <w:rFonts w:ascii="Lato Light" w:eastAsia="Lato Light" w:hAnsi="Lato Light" w:cs="Lato Light"/>
                <w:lang w:val="tr-TR"/>
              </w:rPr>
              <w:t xml:space="preserve">iyle </w:t>
            </w:r>
            <w:r w:rsidR="007C34C9">
              <w:rPr>
                <w:rFonts w:ascii="Lato Light" w:eastAsia="Lato Light" w:hAnsi="Lato Light" w:cs="Lato Light"/>
                <w:lang w:val="tr-TR"/>
              </w:rPr>
              <w:t xml:space="preserve">kullanıcıları </w:t>
            </w:r>
            <w:r w:rsidRPr="00585190">
              <w:rPr>
                <w:rFonts w:ascii="Lato Light" w:eastAsia="Lato Light" w:hAnsi="Lato Light" w:cs="Lato Light"/>
                <w:lang w:val="tr-TR"/>
              </w:rPr>
              <w:t>harekete geçmeye, yaratmaya ve</w:t>
            </w:r>
            <w:r w:rsidR="007C34C9">
              <w:rPr>
                <w:rFonts w:ascii="Lato Light" w:eastAsia="Lato Light" w:hAnsi="Lato Light" w:cs="Lato Light"/>
                <w:lang w:val="tr-TR"/>
              </w:rPr>
              <w:t xml:space="preserve"> kendilerini</w:t>
            </w:r>
            <w:r w:rsidRPr="00585190">
              <w:rPr>
                <w:rFonts w:ascii="Lato Light" w:eastAsia="Lato Light" w:hAnsi="Lato Light" w:cs="Lato Light"/>
                <w:lang w:val="tr-TR"/>
              </w:rPr>
              <w:t xml:space="preserve"> geliştirmeye teşvik </w:t>
            </w:r>
            <w:r w:rsidR="007C34C9">
              <w:rPr>
                <w:rFonts w:ascii="Lato Light" w:eastAsia="Lato Light" w:hAnsi="Lato Light" w:cs="Lato Light"/>
                <w:lang w:val="tr-TR"/>
              </w:rPr>
              <w:t xml:space="preserve">eden bir vizyon takip ediyor. </w:t>
            </w:r>
            <w:r w:rsidR="006504AE" w:rsidRPr="00585190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4C9">
              <w:rPr>
                <w:rFonts w:ascii="Lato Light" w:eastAsia="Lato Light" w:hAnsi="Lato Light" w:cs="Lato Light"/>
                <w:lang w:val="tr-TR"/>
              </w:rPr>
              <w:t>B</w:t>
            </w:r>
            <w:r w:rsidR="00EE5622" w:rsidRPr="00585190">
              <w:rPr>
                <w:rFonts w:ascii="Lato Light" w:eastAsia="Lato Light" w:hAnsi="Lato Light" w:cs="Lato Light"/>
                <w:lang w:val="tr-TR"/>
              </w:rPr>
              <w:t xml:space="preserve">u iş birliği, </w:t>
            </w:r>
            <w:r w:rsidR="006504AE" w:rsidRPr="00585190">
              <w:rPr>
                <w:rFonts w:ascii="Lato Light" w:eastAsia="Lato Light" w:hAnsi="Lato Light" w:cs="Lato Light"/>
                <w:lang w:val="tr-TR"/>
              </w:rPr>
              <w:t>şirketin</w:t>
            </w:r>
            <w:r w:rsidR="00EE5622" w:rsidRPr="00585190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A963C2" w:rsidRPr="00585190">
              <w:rPr>
                <w:rFonts w:ascii="Lato Light" w:eastAsia="Lato Light" w:hAnsi="Lato Light" w:cs="Lato Light"/>
                <w:lang w:val="tr-TR"/>
              </w:rPr>
              <w:t>erişilebilir</w:t>
            </w:r>
            <w:r w:rsidRPr="00585190">
              <w:rPr>
                <w:rFonts w:ascii="Lato Light" w:eastAsia="Lato Light" w:hAnsi="Lato Light" w:cs="Lato Light"/>
                <w:lang w:val="tr-TR"/>
              </w:rPr>
              <w:t xml:space="preserve"> ekosistem</w:t>
            </w:r>
            <w:r w:rsidR="006504AE" w:rsidRPr="00585190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4C9">
              <w:rPr>
                <w:rFonts w:ascii="Lato Light" w:eastAsia="Lato Light" w:hAnsi="Lato Light" w:cs="Lato Light"/>
                <w:lang w:val="tr-TR"/>
              </w:rPr>
              <w:t>ürünleriyle hedeflediği</w:t>
            </w:r>
            <w:r w:rsidR="007C34C9" w:rsidRPr="00585190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4C9">
              <w:rPr>
                <w:rFonts w:ascii="Lato Light" w:eastAsia="Lato Light" w:hAnsi="Lato Light" w:cs="Lato Light"/>
                <w:lang w:val="tr-TR"/>
              </w:rPr>
              <w:t xml:space="preserve">kullanıcılara </w:t>
            </w:r>
            <w:r w:rsidR="00630136" w:rsidRPr="00585190">
              <w:rPr>
                <w:rFonts w:ascii="Lato Light" w:eastAsia="Lato Light" w:hAnsi="Lato Light" w:cs="Lato Light"/>
                <w:lang w:val="tr-TR"/>
              </w:rPr>
              <w:t xml:space="preserve">ilham verme </w:t>
            </w:r>
            <w:r w:rsidR="006504AE" w:rsidRPr="00585190">
              <w:rPr>
                <w:rFonts w:ascii="Lato Light" w:eastAsia="Lato Light" w:hAnsi="Lato Light" w:cs="Lato Light"/>
                <w:lang w:val="tr-TR"/>
              </w:rPr>
              <w:t xml:space="preserve">tutkusunu da </w:t>
            </w:r>
            <w:r w:rsidR="007C3C20" w:rsidRPr="00585190">
              <w:rPr>
                <w:rFonts w:ascii="Lato Light" w:eastAsia="Lato Light" w:hAnsi="Lato Light" w:cs="Lato Light"/>
                <w:lang w:val="tr-TR"/>
              </w:rPr>
              <w:t>yansıtıyor</w:t>
            </w:r>
            <w:r w:rsidRPr="00585190">
              <w:rPr>
                <w:rFonts w:ascii="Lato Light" w:eastAsia="Lato Light" w:hAnsi="Lato Light" w:cs="Lato Light"/>
                <w:lang w:val="tr-TR"/>
              </w:rPr>
              <w:t>.</w:t>
            </w:r>
          </w:p>
          <w:p w14:paraId="7C62DB0A" w14:textId="77777777" w:rsidR="003F0E99" w:rsidRPr="00F55030" w:rsidRDefault="003F0E99" w:rsidP="00DA67EE">
            <w:pPr>
              <w:rPr>
                <w:rFonts w:ascii="Lato Light" w:eastAsia="Lato Light" w:hAnsi="Lato Light" w:cs="Lato Light"/>
                <w:lang w:val="tr-TR"/>
              </w:rPr>
            </w:pPr>
          </w:p>
          <w:p w14:paraId="43BCE993" w14:textId="71D9D3FC" w:rsidR="0078776D" w:rsidRPr="00F55030" w:rsidRDefault="00BB6D9F" w:rsidP="00207F66">
            <w:pPr>
              <w:rPr>
                <w:rFonts w:ascii="Lato Light" w:eastAsia="Lato Light" w:hAnsi="Lato Light" w:cs="Lato Light"/>
                <w:lang w:val="tr-TR"/>
              </w:rPr>
            </w:pPr>
            <w:r>
              <w:rPr>
                <w:rFonts w:ascii="Lato Light" w:eastAsia="Lato Light" w:hAnsi="Lato Light" w:cs="Lato Light"/>
                <w:lang w:val="tr-TR"/>
              </w:rPr>
              <w:t>Dö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 xml:space="preserve">rt yıllık </w:t>
            </w:r>
            <w:r w:rsidR="007C3C20">
              <w:rPr>
                <w:rFonts w:ascii="Lato Light" w:eastAsia="Lato Light" w:hAnsi="Lato Light" w:cs="Lato Light"/>
                <w:lang w:val="tr-TR"/>
              </w:rPr>
              <w:t>iş birliği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>, ilk olarak 2018'de imzalan</w:t>
            </w:r>
            <w:r w:rsidR="00740176">
              <w:rPr>
                <w:rFonts w:ascii="Lato Light" w:eastAsia="Lato Light" w:hAnsi="Lato Light" w:cs="Lato Light"/>
                <w:lang w:val="tr-TR"/>
              </w:rPr>
              <w:t>mış olup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 xml:space="preserve"> 31 Aralık 2023'e kadar sürecek küresel ortaklık anlaşmasını </w:t>
            </w:r>
            <w:r w:rsidR="00740176">
              <w:rPr>
                <w:rFonts w:ascii="Lato Light" w:eastAsia="Lato Light" w:hAnsi="Lato Light" w:cs="Lato Light"/>
                <w:lang w:val="tr-TR"/>
              </w:rPr>
              <w:t>kapsıyor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>. Yeni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ve 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>genişletilmiş anlaşma,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TCL’e FIBA’nın tüm müsabakalarında geçerli</w:t>
            </w:r>
            <w:r w:rsidR="00740176">
              <w:rPr>
                <w:rFonts w:ascii="Lato Light" w:eastAsia="Lato Light" w:hAnsi="Lato Light" w:cs="Lato Light"/>
                <w:lang w:val="tr-TR"/>
              </w:rPr>
              <w:t xml:space="preserve"> olmak üzere</w:t>
            </w:r>
            <w:r w:rsidR="00552646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önemli ticari haklar sağlıyor. </w:t>
            </w:r>
            <w:r w:rsidR="002E25BB">
              <w:rPr>
                <w:rFonts w:ascii="Lato Light" w:eastAsia="Lato Light" w:hAnsi="Lato Light" w:cs="Lato Light"/>
                <w:lang w:val="tr-TR"/>
              </w:rPr>
              <w:t>Kapsam dahilinde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>erkekler ve kadınlar Olimpiyat Eleme Turnuvaları</w:t>
            </w:r>
            <w:r w:rsidR="00740176">
              <w:rPr>
                <w:rFonts w:ascii="Lato Light" w:eastAsia="Lato Light" w:hAnsi="Lato Light" w:cs="Lato Light"/>
                <w:lang w:val="tr-TR"/>
              </w:rPr>
              <w:t>,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 xml:space="preserve">FIBA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Kıta </w:t>
            </w:r>
            <w:r w:rsidR="001A63F7">
              <w:rPr>
                <w:rFonts w:ascii="Lato Light" w:eastAsia="Lato Light" w:hAnsi="Lato Light" w:cs="Lato Light"/>
                <w:lang w:val="tr-TR"/>
              </w:rPr>
              <w:t>Kupaları</w:t>
            </w:r>
            <w:r w:rsidR="00740176">
              <w:rPr>
                <w:rFonts w:ascii="Lato Light" w:eastAsia="Lato Light" w:hAnsi="Lato Light" w:cs="Lato Light"/>
                <w:lang w:val="tr-TR"/>
              </w:rPr>
              <w:t>,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>FIBA Gençler Dünya Kupaları, FIBA Kadınlar Basketbol Dünya Kupası 2022 ve FIBA'nın en önemli etkinliği olan 2023'teki FIBA Basketbol Dünya Kupası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bulunuyor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 xml:space="preserve">. Bu etkinlikler için 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sağlanan 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>özel haklar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 içerisinde</w:t>
            </w:r>
            <w:r w:rsidR="007C3C20" w:rsidRPr="007C3C20">
              <w:rPr>
                <w:rFonts w:ascii="Lato Light" w:eastAsia="Lato Light" w:hAnsi="Lato Light" w:cs="Lato Light"/>
                <w:lang w:val="tr-TR"/>
              </w:rPr>
              <w:t xml:space="preserve"> sahada birinci sınıf marka görünürlüğü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ne ek olarak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“TCL </w:t>
            </w:r>
            <w:r w:rsidR="00EC4016">
              <w:rPr>
                <w:rFonts w:ascii="Lato Light" w:eastAsia="Lato Light" w:hAnsi="Lato Light" w:cs="Lato Light"/>
                <w:lang w:val="tr-TR"/>
              </w:rPr>
              <w:t xml:space="preserve">Maçın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Oyuncusu” adı altında yapılan 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karşılaşmanın en iyi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oyuncusunu </w:t>
            </w:r>
            <w:r w:rsidR="001A63F7">
              <w:rPr>
                <w:rFonts w:ascii="Lato Light" w:eastAsia="Lato Light" w:hAnsi="Lato Light" w:cs="Lato Light"/>
                <w:lang w:val="tr-TR"/>
              </w:rPr>
              <w:t xml:space="preserve">sunma rolü de yer alıyor. </w:t>
            </w:r>
            <w:r w:rsidR="0014622C">
              <w:rPr>
                <w:rFonts w:ascii="Lato Light" w:eastAsia="Lato Light" w:hAnsi="Lato Light" w:cs="Lato Light"/>
                <w:lang w:val="tr-TR"/>
              </w:rPr>
              <w:t>Bu haklar, TCL’in Avrupa ve dünya</w:t>
            </w:r>
            <w:r w:rsidR="00CE215D">
              <w:rPr>
                <w:rFonts w:ascii="Lato Light" w:eastAsia="Lato Light" w:hAnsi="Lato Light" w:cs="Lato Light"/>
                <w:lang w:val="tr-TR"/>
              </w:rPr>
              <w:t>da</w:t>
            </w:r>
            <w:r w:rsidR="00552646">
              <w:rPr>
                <w:rFonts w:ascii="Lato Light" w:eastAsia="Lato Light" w:hAnsi="Lato Light" w:cs="Lato Light"/>
                <w:lang w:val="tr-TR"/>
              </w:rPr>
              <w:t xml:space="preserve">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böylesine önemli bir sportif organizasyonda </w:t>
            </w:r>
            <w:r w:rsidR="00207F66">
              <w:rPr>
                <w:rFonts w:ascii="Lato Light" w:eastAsia="Lato Light" w:hAnsi="Lato Light" w:cs="Lato Light"/>
                <w:lang w:val="tr-TR"/>
              </w:rPr>
              <w:t xml:space="preserve">üstlendiği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rolü devam </w:t>
            </w:r>
            <w:r w:rsidR="00207F66">
              <w:rPr>
                <w:rFonts w:ascii="Lato Light" w:eastAsia="Lato Light" w:hAnsi="Lato Light" w:cs="Lato Light"/>
                <w:lang w:val="tr-TR"/>
              </w:rPr>
              <w:t xml:space="preserve">ettirmesini </w:t>
            </w:r>
            <w:r w:rsidR="0014622C">
              <w:rPr>
                <w:rFonts w:ascii="Lato Light" w:eastAsia="Lato Light" w:hAnsi="Lato Light" w:cs="Lato Light"/>
                <w:lang w:val="tr-TR"/>
              </w:rPr>
              <w:t xml:space="preserve">de sağlıyor. </w:t>
            </w:r>
          </w:p>
          <w:p w14:paraId="59826A51" w14:textId="77777777" w:rsidR="00F501FA" w:rsidRPr="00F55030" w:rsidRDefault="00F501FA" w:rsidP="00DA67EE">
            <w:pPr>
              <w:rPr>
                <w:rFonts w:ascii="Lato Light" w:eastAsia="Lato Light" w:hAnsi="Lato Light" w:cs="Lato Light"/>
                <w:lang w:val="tr-TR"/>
              </w:rPr>
            </w:pPr>
          </w:p>
          <w:p w14:paraId="1D701EA9" w14:textId="77777777" w:rsidR="00CD4DC4" w:rsidRDefault="00207F66" w:rsidP="00207F66">
            <w:pPr>
              <w:rPr>
                <w:rFonts w:ascii="Lato Light" w:eastAsia="Lato Light" w:hAnsi="Lato Light" w:cs="Lato Light"/>
                <w:lang w:val="tr-TR"/>
              </w:rPr>
            </w:pPr>
            <w:r w:rsidRPr="00207F66">
              <w:rPr>
                <w:rFonts w:ascii="Lato Light" w:eastAsia="Lato Light" w:hAnsi="Lato Light" w:cs="Lato Light"/>
                <w:lang w:val="tr-TR"/>
              </w:rPr>
              <w:t>Yaklaşan etkinlikler</w:t>
            </w:r>
            <w:r>
              <w:rPr>
                <w:rFonts w:ascii="Lato Light" w:eastAsia="Lato Light" w:hAnsi="Lato Light" w:cs="Lato Light"/>
                <w:lang w:val="tr-TR"/>
              </w:rPr>
              <w:t xml:space="preserve"> hakkında </w:t>
            </w:r>
            <w:r w:rsidRPr="00207F66">
              <w:rPr>
                <w:rFonts w:ascii="Lato Light" w:eastAsia="Lato Light" w:hAnsi="Lato Light" w:cs="Lato Light"/>
                <w:lang w:val="tr-TR"/>
              </w:rPr>
              <w:t xml:space="preserve">fazla bilgi için </w:t>
            </w:r>
            <w:r>
              <w:rPr>
                <w:rFonts w:ascii="Lato Light" w:eastAsia="Lato Light" w:hAnsi="Lato Light" w:cs="Lato Light"/>
                <w:lang w:val="tr-TR"/>
              </w:rPr>
              <w:t>takipte kalın!</w:t>
            </w:r>
          </w:p>
          <w:p w14:paraId="626BF48B" w14:textId="77777777" w:rsidR="00207F66" w:rsidRDefault="00207F66" w:rsidP="00207F66">
            <w:pPr>
              <w:rPr>
                <w:rFonts w:ascii="Lato Light" w:eastAsia="Lato Light" w:hAnsi="Lato Light" w:cs="Lato Light"/>
                <w:lang w:val="tr-TR"/>
              </w:rPr>
            </w:pPr>
          </w:p>
          <w:p w14:paraId="5160C29A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color w:val="000000"/>
                <w:sz w:val="18"/>
                <w:szCs w:val="18"/>
              </w:rPr>
            </w:pPr>
            <w:r w:rsidRPr="00207F66">
              <w:rPr>
                <w:rStyle w:val="normaltextrun"/>
                <w:rFonts w:asciiTheme="majorHAnsi" w:hAnsiTheme="majorHAnsi" w:cstheme="majorHAnsi"/>
                <w:b/>
                <w:bCs/>
                <w:color w:val="00A0E3"/>
                <w:sz w:val="18"/>
                <w:szCs w:val="18"/>
              </w:rPr>
              <w:t>İletişim</w:t>
            </w:r>
            <w:r w:rsidRPr="00207F66">
              <w:rPr>
                <w:rStyle w:val="eop"/>
                <w:rFonts w:asciiTheme="majorHAnsi" w:hAnsiTheme="majorHAnsi" w:cstheme="majorHAnsi"/>
                <w:color w:val="00A0E3"/>
                <w:sz w:val="18"/>
                <w:szCs w:val="18"/>
              </w:rPr>
              <w:t> </w:t>
            </w:r>
          </w:p>
          <w:p w14:paraId="081669E3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207F66">
              <w:rPr>
                <w:rStyle w:val="normaltextrun"/>
                <w:rFonts w:asciiTheme="majorHAnsi" w:hAnsiTheme="majorHAnsi" w:cstheme="majorHAnsi"/>
                <w:b/>
                <w:bCs/>
                <w:sz w:val="18"/>
                <w:szCs w:val="18"/>
              </w:rPr>
              <w:t>Önder Kalkancı – Bordo PR</w:t>
            </w:r>
            <w:r w:rsidRPr="00207F66">
              <w:rPr>
                <w:rStyle w:val="eop"/>
                <w:rFonts w:asciiTheme="majorHAnsi" w:hAnsiTheme="majorHAnsi" w:cstheme="majorHAnsi"/>
                <w:sz w:val="18"/>
                <w:szCs w:val="18"/>
              </w:rPr>
              <w:t> </w:t>
            </w:r>
          </w:p>
          <w:p w14:paraId="5EE8D812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207F66">
              <w:rPr>
                <w:rStyle w:val="normaltextrun"/>
                <w:rFonts w:asciiTheme="majorHAnsi" w:hAnsiTheme="majorHAnsi" w:cstheme="majorHAnsi"/>
                <w:b/>
                <w:bCs/>
                <w:color w:val="00A0E3"/>
                <w:sz w:val="18"/>
                <w:szCs w:val="18"/>
              </w:rPr>
              <w:t>Tel</w:t>
            </w:r>
            <w:r w:rsidRPr="00207F66">
              <w:rPr>
                <w:rStyle w:val="normaltextrun"/>
                <w:rFonts w:asciiTheme="majorHAnsi" w:hAnsiTheme="majorHAnsi" w:cstheme="majorHAnsi"/>
                <w:sz w:val="18"/>
                <w:szCs w:val="18"/>
              </w:rPr>
              <w:t xml:space="preserve">: 0533 927 23 95 </w:t>
            </w:r>
            <w:r w:rsidRPr="00207F66">
              <w:rPr>
                <w:rStyle w:val="normaltextrun"/>
                <w:rFonts w:asciiTheme="majorHAnsi" w:hAnsiTheme="majorHAnsi" w:cstheme="majorHAnsi"/>
                <w:color w:val="7F7F7F"/>
                <w:sz w:val="18"/>
                <w:szCs w:val="18"/>
              </w:rPr>
              <w:t xml:space="preserve">– </w:t>
            </w:r>
            <w:hyperlink r:id="rId11" w:tgtFrame="_blank" w:history="1">
              <w:r w:rsidRPr="00207F66">
                <w:rPr>
                  <w:rStyle w:val="normaltextrun"/>
                  <w:rFonts w:asciiTheme="majorHAnsi" w:hAnsiTheme="majorHAnsi" w:cstheme="majorHAnsi"/>
                  <w:color w:val="0000FF"/>
                  <w:sz w:val="18"/>
                  <w:szCs w:val="18"/>
                  <w:u w:val="single"/>
                </w:rPr>
                <w:t>onderk@bordopr.com</w:t>
              </w:r>
            </w:hyperlink>
            <w:r w:rsidRPr="00207F66">
              <w:rPr>
                <w:rStyle w:val="eop"/>
                <w:rFonts w:asciiTheme="majorHAnsi" w:hAnsiTheme="majorHAnsi" w:cstheme="majorHAnsi"/>
                <w:color w:val="0000FF"/>
              </w:rPr>
              <w:t> </w:t>
            </w:r>
          </w:p>
          <w:p w14:paraId="25B603A1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textAlignment w:val="baseline"/>
              <w:rPr>
                <w:rFonts w:asciiTheme="majorHAnsi" w:hAnsiTheme="majorHAnsi" w:cstheme="majorHAnsi"/>
                <w:sz w:val="18"/>
                <w:szCs w:val="18"/>
              </w:rPr>
            </w:pPr>
            <w:r w:rsidRPr="00207F66">
              <w:rPr>
                <w:rStyle w:val="eop"/>
                <w:rFonts w:asciiTheme="majorHAnsi" w:hAnsiTheme="majorHAnsi" w:cstheme="majorHAnsi"/>
                <w:color w:val="0000FF"/>
              </w:rPr>
              <w:t> </w:t>
            </w:r>
          </w:p>
          <w:p w14:paraId="52B61034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  <w:sz w:val="16"/>
                <w:szCs w:val="16"/>
              </w:rPr>
            </w:pPr>
            <w:r w:rsidRPr="00207F66">
              <w:rPr>
                <w:rStyle w:val="normaltextrun"/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TCL </w:t>
            </w:r>
            <w:r w:rsidRPr="00207F66">
              <w:rPr>
                <w:rStyle w:val="spellingerror"/>
                <w:rFonts w:asciiTheme="majorHAnsi" w:hAnsiTheme="majorHAnsi" w:cstheme="majorHAnsi"/>
                <w:b/>
                <w:bCs/>
                <w:sz w:val="16"/>
                <w:szCs w:val="16"/>
              </w:rPr>
              <w:t>Electronics</w:t>
            </w:r>
            <w:r w:rsidRPr="00207F66">
              <w:rPr>
                <w:rStyle w:val="normaltextrun"/>
                <w:rFonts w:asciiTheme="majorHAnsi" w:hAnsiTheme="majorHAnsi" w:cstheme="majorHAnsi"/>
                <w:b/>
                <w:bCs/>
                <w:sz w:val="16"/>
                <w:szCs w:val="16"/>
              </w:rPr>
              <w:t xml:space="preserve"> hakkında</w:t>
            </w:r>
            <w:r w:rsidRPr="00207F66">
              <w:rPr>
                <w:rStyle w:val="eop"/>
                <w:rFonts w:asciiTheme="majorHAnsi" w:hAnsiTheme="majorHAnsi" w:cstheme="majorHAnsi"/>
                <w:sz w:val="16"/>
                <w:szCs w:val="16"/>
              </w:rPr>
              <w:t> </w:t>
            </w:r>
          </w:p>
          <w:p w14:paraId="2D987721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  <w:sz w:val="16"/>
                <w:szCs w:val="16"/>
              </w:rPr>
            </w:pP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TCL 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Electronics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 (1070.HK), dünyanın en hızlı büyüyen tüketici elektroniği şirketlerinden, dünyanın öncü televizyon ve mobil cihaz üreticilerinden birisidir (TCL 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Communication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, TCL 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Electronics’in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 yüzde yüz iştirakidir). Yaklaşık 40 yıldır dünya çapında kendi üretim ve Ar-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Ge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 merkezlerini yöneten TCL, Kuzey Amerika, Latin Amerika, Avrupa, Orta Doğu, Afrika ve Asya Pasifik’teki 160’dan fazla ülkede ürünlerini satmaktadır. TCL, “AI x 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IoT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” stratejisi kapsamında televizyon, akıllı telefon, ses cihazları ve akıllı ev ürünleri gibi tüketici ürünlerinin araştırılmasında, geliştirilmesinde ve üretilmesinde uzmanlaşmaktadır. TCL mobil cihazları hakkında daha fazla bilgi için </w:t>
            </w:r>
            <w:hyperlink r:id="rId12" w:tgtFrame="_blank" w:history="1">
              <w:r w:rsidRPr="00207F66">
                <w:rPr>
                  <w:rStyle w:val="normaltextrun"/>
                  <w:rFonts w:asciiTheme="majorHAnsi" w:hAnsiTheme="majorHAnsi" w:cstheme="majorHAnsi"/>
                  <w:color w:val="0000FF"/>
                  <w:sz w:val="16"/>
                  <w:szCs w:val="16"/>
                  <w:u w:val="single"/>
                </w:rPr>
                <w:t>http://www.tcl.com/global/en.html</w:t>
              </w:r>
            </w:hyperlink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>. </w:t>
            </w:r>
            <w:r w:rsidRPr="00207F66">
              <w:rPr>
                <w:rStyle w:val="eop"/>
                <w:rFonts w:asciiTheme="majorHAnsi" w:hAnsiTheme="majorHAnsi" w:cstheme="majorHAnsi"/>
                <w:sz w:val="16"/>
                <w:szCs w:val="16"/>
              </w:rPr>
              <w:t> </w:t>
            </w:r>
          </w:p>
          <w:p w14:paraId="4D1EF777" w14:textId="77777777" w:rsidR="00207F66" w:rsidRPr="00207F66" w:rsidRDefault="00207F66" w:rsidP="00207F6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  <w:sz w:val="16"/>
                <w:szCs w:val="16"/>
              </w:rPr>
            </w:pPr>
            <w:r w:rsidRPr="00207F66">
              <w:rPr>
                <w:rStyle w:val="eop"/>
                <w:rFonts w:asciiTheme="majorHAnsi" w:hAnsiTheme="majorHAnsi" w:cstheme="majorHAnsi"/>
                <w:sz w:val="16"/>
                <w:szCs w:val="16"/>
              </w:rPr>
              <w:t> </w:t>
            </w:r>
          </w:p>
          <w:p w14:paraId="1EABF543" w14:textId="1B914846" w:rsidR="00207F66" w:rsidRPr="00F55030" w:rsidRDefault="00207F66" w:rsidP="00207F66">
            <w:pPr>
              <w:pStyle w:val="paragraph"/>
              <w:spacing w:before="0" w:beforeAutospacing="0" w:after="0" w:afterAutospacing="0"/>
              <w:jc w:val="both"/>
              <w:textAlignment w:val="baseline"/>
              <w:rPr>
                <w:rFonts w:ascii="Lato Light" w:eastAsia="Lato Light" w:hAnsi="Lato Light" w:cs="Lato Light"/>
              </w:rPr>
            </w:pP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TCL, TCL 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Corporation'ın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 tescilli ticari markasıdır. Diğer tüm ticari markalar ilgili sahiplerinin mülkiyetindedir. Alcatel, Nokia'nın TCL </w:t>
            </w:r>
            <w:r w:rsidRPr="00207F66">
              <w:rPr>
                <w:rStyle w:val="spellingerror"/>
                <w:rFonts w:asciiTheme="majorHAnsi" w:hAnsiTheme="majorHAnsi" w:cstheme="majorHAnsi"/>
                <w:sz w:val="16"/>
                <w:szCs w:val="16"/>
              </w:rPr>
              <w:t>Communication</w:t>
            </w:r>
            <w:r w:rsidRPr="00207F66">
              <w:rPr>
                <w:rStyle w:val="normaltextrun"/>
                <w:rFonts w:asciiTheme="majorHAnsi" w:hAnsiTheme="majorHAnsi" w:cstheme="majorHAnsi"/>
                <w:sz w:val="16"/>
                <w:szCs w:val="16"/>
              </w:rPr>
              <w:t xml:space="preserve"> lisansı altında kullanılan bir ticari markasıdır.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</w:tr>
    </w:tbl>
    <w:p w14:paraId="0BE2C826" w14:textId="44CAA49B" w:rsidR="00502006" w:rsidRPr="00F55030" w:rsidRDefault="00502006" w:rsidP="00207F66">
      <w:pPr>
        <w:spacing w:line="276" w:lineRule="auto"/>
        <w:jc w:val="both"/>
        <w:rPr>
          <w:rFonts w:ascii="Lato Light" w:eastAsia="Lato Light" w:hAnsi="Lato Light" w:cs="Lato Light"/>
          <w:color w:val="7F7F7F"/>
          <w:sz w:val="20"/>
          <w:szCs w:val="20"/>
          <w:lang w:val="tr-TR"/>
        </w:rPr>
      </w:pPr>
      <w:bookmarkStart w:id="0" w:name="_30j0zll" w:colFirst="0" w:colLast="0"/>
      <w:bookmarkEnd w:id="0"/>
    </w:p>
    <w:sectPr w:rsidR="00502006" w:rsidRPr="00F55030">
      <w:headerReference w:type="default" r:id="rId13"/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193B1" w14:textId="77777777" w:rsidR="00EA6CD7" w:rsidRDefault="00EA6CD7">
      <w:r>
        <w:separator/>
      </w:r>
    </w:p>
  </w:endnote>
  <w:endnote w:type="continuationSeparator" w:id="0">
    <w:p w14:paraId="29D3E513" w14:textId="77777777" w:rsidR="00EA6CD7" w:rsidRDefault="00EA6C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14BAB" w14:textId="77777777" w:rsidR="00EA6CD7" w:rsidRDefault="00EA6CD7">
      <w:r>
        <w:separator/>
      </w:r>
    </w:p>
  </w:footnote>
  <w:footnote w:type="continuationSeparator" w:id="0">
    <w:p w14:paraId="307928AA" w14:textId="77777777" w:rsidR="00EA6CD7" w:rsidRDefault="00EA6C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0AF3C" w14:textId="77777777" w:rsidR="006E5255" w:rsidRDefault="00A307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</w:pPr>
    <w:r>
      <w:rPr>
        <w:color w:val="000000"/>
      </w:rPr>
      <w:t xml:space="preserve">                      </w:t>
    </w:r>
    <w:r>
      <w:rPr>
        <w:noProof/>
        <w:lang w:val="fr-FR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2968FF68" wp14:editId="3C1B1205">
              <wp:simplePos x="0" y="0"/>
              <wp:positionH relativeFrom="column">
                <wp:posOffset>-126999</wp:posOffset>
              </wp:positionH>
              <wp:positionV relativeFrom="paragraph">
                <wp:posOffset>342900</wp:posOffset>
              </wp:positionV>
              <wp:extent cx="2874010" cy="365125"/>
              <wp:effectExtent l="0" t="0" r="0" b="0"/>
              <wp:wrapNone/>
              <wp:docPr id="1" name="Forme lib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918520" y="3606963"/>
                        <a:ext cx="2854960" cy="3460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022404" h="346593" extrusionOk="0">
                            <a:moveTo>
                              <a:pt x="0" y="57767"/>
                            </a:moveTo>
                            <a:cubicBezTo>
                              <a:pt x="0" y="25863"/>
                              <a:pt x="25863" y="0"/>
                              <a:pt x="57767" y="0"/>
                            </a:cubicBezTo>
                            <a:lnTo>
                              <a:pt x="2022404" y="0"/>
                            </a:lnTo>
                            <a:lnTo>
                              <a:pt x="2022404" y="346593"/>
                            </a:lnTo>
                            <a:lnTo>
                              <a:pt x="57767" y="346593"/>
                            </a:lnTo>
                            <a:cubicBezTo>
                              <a:pt x="25863" y="346593"/>
                              <a:pt x="0" y="320730"/>
                              <a:pt x="0" y="288826"/>
                            </a:cubicBezTo>
                            <a:lnTo>
                              <a:pt x="0" y="57767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EB4F28" w14:textId="77BF1E9A" w:rsidR="006E5255" w:rsidRPr="00F55030" w:rsidRDefault="00F55030">
                          <w:pPr>
                            <w:textDirection w:val="btLr"/>
                            <w:rPr>
                              <w:lang w:val="tr-TR"/>
                            </w:rPr>
                          </w:pPr>
                          <w:r w:rsidRPr="00F55030">
                            <w:rPr>
                              <w:rFonts w:ascii="Lato" w:eastAsia="Lato" w:hAnsi="Lato" w:cs="Lato"/>
                              <w:color w:val="7F7F7F"/>
                              <w:sz w:val="36"/>
                              <w:lang w:val="tr-TR"/>
                            </w:rPr>
                            <w:t>BASIN BÜLTENİ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68FF68" id="Forme libre 1" o:spid="_x0000_s1026" style="position:absolute;margin-left:-10pt;margin-top:27pt;width:226.3pt;height:2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022404,34659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" adj="-11796480,,5400" path="m,57767c,25863,25863,,57767,l2022404,r,346593l57767,346593c25863,346593,,320730,,288826l,57767xe" filled="f" stroked="f">
              <v:stroke joinstyle="miter"/>
              <v:formulas/>
              <v:path arrowok="t" o:extrusionok="f" o:connecttype="custom" textboxrect="0,0,2022404,346593"/>
              <v:textbox inset="2.53958mm,1.2694mm,2.53958mm,1.2694mm">
                <w:txbxContent>
                  <w:p w14:paraId="5BEB4F28" w14:textId="77BF1E9A" w:rsidR="006E5255" w:rsidRPr="00F55030" w:rsidRDefault="00F55030">
                    <w:pPr>
                      <w:textDirection w:val="btLr"/>
                      <w:rPr>
                        <w:lang w:val="tr-TR"/>
                      </w:rPr>
                    </w:pPr>
                    <w:r w:rsidRPr="00F55030">
                      <w:rPr>
                        <w:rFonts w:ascii="Lato" w:eastAsia="Lato" w:hAnsi="Lato" w:cs="Lato"/>
                        <w:color w:val="7F7F7F"/>
                        <w:sz w:val="36"/>
                        <w:lang w:val="tr-TR"/>
                      </w:rPr>
                      <w:t>BASIN BÜLTENİ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fr-FR"/>
      </w:rPr>
      <w:drawing>
        <wp:anchor distT="0" distB="0" distL="114300" distR="114300" simplePos="0" relativeHeight="251659264" behindDoc="0" locked="0" layoutInCell="1" hidden="0" allowOverlap="1" wp14:anchorId="758F3077" wp14:editId="11433F97">
          <wp:simplePos x="0" y="0"/>
          <wp:positionH relativeFrom="column">
            <wp:posOffset>4822825</wp:posOffset>
          </wp:positionH>
          <wp:positionV relativeFrom="paragraph">
            <wp:posOffset>-451483</wp:posOffset>
          </wp:positionV>
          <wp:extent cx="913130" cy="546735"/>
          <wp:effectExtent l="0" t="0" r="0" b="0"/>
          <wp:wrapSquare wrapText="bothSides" distT="0" distB="0" distL="114300" distR="11430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3130" cy="5467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04F78F2" w14:textId="77777777" w:rsidR="006E5255" w:rsidRDefault="006E5255">
    <w:pPr>
      <w:tabs>
        <w:tab w:val="center" w:pos="4513"/>
        <w:tab w:val="right" w:pos="9026"/>
      </w:tabs>
    </w:pPr>
  </w:p>
  <w:p w14:paraId="13DFC830" w14:textId="77777777" w:rsidR="006E5255" w:rsidRDefault="00A3071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color w:val="000000"/>
      </w:rPr>
      <w:t xml:space="preserve">                                                                                                           </w:t>
    </w:r>
  </w:p>
  <w:p w14:paraId="0B0F9EF9" w14:textId="77777777" w:rsidR="006E5255" w:rsidRDefault="006E52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  <w:p w14:paraId="71527F82" w14:textId="77777777" w:rsidR="006E5255" w:rsidRDefault="006E525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255"/>
    <w:rsid w:val="00000960"/>
    <w:rsid w:val="00010170"/>
    <w:rsid w:val="00011AA4"/>
    <w:rsid w:val="00025FAD"/>
    <w:rsid w:val="000454F0"/>
    <w:rsid w:val="0006327A"/>
    <w:rsid w:val="00064200"/>
    <w:rsid w:val="00067000"/>
    <w:rsid w:val="00081BBE"/>
    <w:rsid w:val="000A1BAF"/>
    <w:rsid w:val="000A1FD3"/>
    <w:rsid w:val="000A2902"/>
    <w:rsid w:val="000A4136"/>
    <w:rsid w:val="000A42AA"/>
    <w:rsid w:val="000A7B47"/>
    <w:rsid w:val="000C13D3"/>
    <w:rsid w:val="000C19EC"/>
    <w:rsid w:val="000C6401"/>
    <w:rsid w:val="000D561D"/>
    <w:rsid w:val="000E3A62"/>
    <w:rsid w:val="000E58C4"/>
    <w:rsid w:val="000F5C74"/>
    <w:rsid w:val="00102557"/>
    <w:rsid w:val="00107B2A"/>
    <w:rsid w:val="00125FAC"/>
    <w:rsid w:val="0014622C"/>
    <w:rsid w:val="0015639D"/>
    <w:rsid w:val="001650D8"/>
    <w:rsid w:val="0018501F"/>
    <w:rsid w:val="00192AFB"/>
    <w:rsid w:val="00193B30"/>
    <w:rsid w:val="001A0070"/>
    <w:rsid w:val="001A63F7"/>
    <w:rsid w:val="001B5804"/>
    <w:rsid w:val="001B69E2"/>
    <w:rsid w:val="001C0F4E"/>
    <w:rsid w:val="001C5009"/>
    <w:rsid w:val="001D5810"/>
    <w:rsid w:val="001E384E"/>
    <w:rsid w:val="001E60DD"/>
    <w:rsid w:val="001E6174"/>
    <w:rsid w:val="001E74DE"/>
    <w:rsid w:val="001E772C"/>
    <w:rsid w:val="002005EC"/>
    <w:rsid w:val="0020636B"/>
    <w:rsid w:val="002079EB"/>
    <w:rsid w:val="00207F66"/>
    <w:rsid w:val="00227B70"/>
    <w:rsid w:val="00230DF9"/>
    <w:rsid w:val="00231C25"/>
    <w:rsid w:val="00241FEE"/>
    <w:rsid w:val="00242F46"/>
    <w:rsid w:val="002433FD"/>
    <w:rsid w:val="00251C17"/>
    <w:rsid w:val="00262E6D"/>
    <w:rsid w:val="002649F2"/>
    <w:rsid w:val="002701EC"/>
    <w:rsid w:val="002844DE"/>
    <w:rsid w:val="00286369"/>
    <w:rsid w:val="0028693A"/>
    <w:rsid w:val="002A0DC3"/>
    <w:rsid w:val="002A4D7B"/>
    <w:rsid w:val="002C2A48"/>
    <w:rsid w:val="002D2057"/>
    <w:rsid w:val="002E0030"/>
    <w:rsid w:val="002E028C"/>
    <w:rsid w:val="002E25BB"/>
    <w:rsid w:val="002E57D5"/>
    <w:rsid w:val="00330D33"/>
    <w:rsid w:val="00354B48"/>
    <w:rsid w:val="003603AB"/>
    <w:rsid w:val="003726B9"/>
    <w:rsid w:val="003749F4"/>
    <w:rsid w:val="003803E9"/>
    <w:rsid w:val="00384597"/>
    <w:rsid w:val="00387400"/>
    <w:rsid w:val="003A15E4"/>
    <w:rsid w:val="003A5D0D"/>
    <w:rsid w:val="003B4C72"/>
    <w:rsid w:val="003B5753"/>
    <w:rsid w:val="003C2B2E"/>
    <w:rsid w:val="003E2670"/>
    <w:rsid w:val="003E5766"/>
    <w:rsid w:val="003F0E99"/>
    <w:rsid w:val="00404384"/>
    <w:rsid w:val="00407966"/>
    <w:rsid w:val="0041048B"/>
    <w:rsid w:val="00420AE2"/>
    <w:rsid w:val="004229C7"/>
    <w:rsid w:val="00425999"/>
    <w:rsid w:val="004414D8"/>
    <w:rsid w:val="00452E60"/>
    <w:rsid w:val="004559DA"/>
    <w:rsid w:val="00460504"/>
    <w:rsid w:val="004629DA"/>
    <w:rsid w:val="0046454D"/>
    <w:rsid w:val="00475745"/>
    <w:rsid w:val="004839B8"/>
    <w:rsid w:val="004913BE"/>
    <w:rsid w:val="00492797"/>
    <w:rsid w:val="004A59A0"/>
    <w:rsid w:val="004B0749"/>
    <w:rsid w:val="004B3B27"/>
    <w:rsid w:val="004C4B6B"/>
    <w:rsid w:val="004C589A"/>
    <w:rsid w:val="004D1C08"/>
    <w:rsid w:val="004D20FE"/>
    <w:rsid w:val="004D277C"/>
    <w:rsid w:val="004F5DC2"/>
    <w:rsid w:val="00502006"/>
    <w:rsid w:val="00514E8A"/>
    <w:rsid w:val="0051504A"/>
    <w:rsid w:val="00522CAD"/>
    <w:rsid w:val="00526BF7"/>
    <w:rsid w:val="005322B5"/>
    <w:rsid w:val="00536622"/>
    <w:rsid w:val="00536781"/>
    <w:rsid w:val="00542671"/>
    <w:rsid w:val="00551AF0"/>
    <w:rsid w:val="00552646"/>
    <w:rsid w:val="00566036"/>
    <w:rsid w:val="005667D0"/>
    <w:rsid w:val="00566FF2"/>
    <w:rsid w:val="00574E7C"/>
    <w:rsid w:val="00576330"/>
    <w:rsid w:val="00576BEE"/>
    <w:rsid w:val="00581AC1"/>
    <w:rsid w:val="005847F9"/>
    <w:rsid w:val="00584A59"/>
    <w:rsid w:val="00585190"/>
    <w:rsid w:val="00596A90"/>
    <w:rsid w:val="005A2B51"/>
    <w:rsid w:val="005D57E7"/>
    <w:rsid w:val="005F05AB"/>
    <w:rsid w:val="005F1320"/>
    <w:rsid w:val="005F46DA"/>
    <w:rsid w:val="005F746E"/>
    <w:rsid w:val="00601FE7"/>
    <w:rsid w:val="00606518"/>
    <w:rsid w:val="00617DD2"/>
    <w:rsid w:val="00623A32"/>
    <w:rsid w:val="00630136"/>
    <w:rsid w:val="00642D01"/>
    <w:rsid w:val="006504AE"/>
    <w:rsid w:val="00662F29"/>
    <w:rsid w:val="0066685C"/>
    <w:rsid w:val="006854EB"/>
    <w:rsid w:val="006909E9"/>
    <w:rsid w:val="006C3AD2"/>
    <w:rsid w:val="006C64FF"/>
    <w:rsid w:val="006E5255"/>
    <w:rsid w:val="006E6497"/>
    <w:rsid w:val="006F4788"/>
    <w:rsid w:val="0070242F"/>
    <w:rsid w:val="00704351"/>
    <w:rsid w:val="00714942"/>
    <w:rsid w:val="00726C8E"/>
    <w:rsid w:val="00730221"/>
    <w:rsid w:val="007322EE"/>
    <w:rsid w:val="00736C57"/>
    <w:rsid w:val="00740176"/>
    <w:rsid w:val="00742AD3"/>
    <w:rsid w:val="00745811"/>
    <w:rsid w:val="0075784B"/>
    <w:rsid w:val="00757B4F"/>
    <w:rsid w:val="007659BD"/>
    <w:rsid w:val="00771161"/>
    <w:rsid w:val="00773DA9"/>
    <w:rsid w:val="00781791"/>
    <w:rsid w:val="00781CC6"/>
    <w:rsid w:val="007832F4"/>
    <w:rsid w:val="007845A1"/>
    <w:rsid w:val="0078776D"/>
    <w:rsid w:val="007B19D4"/>
    <w:rsid w:val="007B4D22"/>
    <w:rsid w:val="007B563B"/>
    <w:rsid w:val="007C34C9"/>
    <w:rsid w:val="007C3C20"/>
    <w:rsid w:val="007C6E4E"/>
    <w:rsid w:val="007D4A86"/>
    <w:rsid w:val="007E3816"/>
    <w:rsid w:val="007E4DBB"/>
    <w:rsid w:val="007E5866"/>
    <w:rsid w:val="007E7D38"/>
    <w:rsid w:val="007F1895"/>
    <w:rsid w:val="00815A2A"/>
    <w:rsid w:val="00821F80"/>
    <w:rsid w:val="00822259"/>
    <w:rsid w:val="008244B8"/>
    <w:rsid w:val="00845051"/>
    <w:rsid w:val="008479C1"/>
    <w:rsid w:val="00856213"/>
    <w:rsid w:val="00875629"/>
    <w:rsid w:val="00895BF1"/>
    <w:rsid w:val="00895C35"/>
    <w:rsid w:val="008961BC"/>
    <w:rsid w:val="008A1F4A"/>
    <w:rsid w:val="008A2BFD"/>
    <w:rsid w:val="008A48F8"/>
    <w:rsid w:val="008D4ED8"/>
    <w:rsid w:val="008E0A83"/>
    <w:rsid w:val="008E430A"/>
    <w:rsid w:val="008F606C"/>
    <w:rsid w:val="00900215"/>
    <w:rsid w:val="00902638"/>
    <w:rsid w:val="00916C3C"/>
    <w:rsid w:val="009176FA"/>
    <w:rsid w:val="009216F2"/>
    <w:rsid w:val="009224BF"/>
    <w:rsid w:val="00937350"/>
    <w:rsid w:val="009417DD"/>
    <w:rsid w:val="00944734"/>
    <w:rsid w:val="00945BB4"/>
    <w:rsid w:val="0096527B"/>
    <w:rsid w:val="00967F64"/>
    <w:rsid w:val="00976A46"/>
    <w:rsid w:val="009819AA"/>
    <w:rsid w:val="009903A4"/>
    <w:rsid w:val="009A6656"/>
    <w:rsid w:val="009B1C3E"/>
    <w:rsid w:val="009C0942"/>
    <w:rsid w:val="009C27B2"/>
    <w:rsid w:val="009C37A4"/>
    <w:rsid w:val="009C5902"/>
    <w:rsid w:val="009D0C4D"/>
    <w:rsid w:val="009D39D1"/>
    <w:rsid w:val="009D4595"/>
    <w:rsid w:val="009D592D"/>
    <w:rsid w:val="009F0CE1"/>
    <w:rsid w:val="00A21D83"/>
    <w:rsid w:val="00A304E2"/>
    <w:rsid w:val="00A3071B"/>
    <w:rsid w:val="00A4608F"/>
    <w:rsid w:val="00A577C0"/>
    <w:rsid w:val="00A76B8E"/>
    <w:rsid w:val="00A777A8"/>
    <w:rsid w:val="00A8144D"/>
    <w:rsid w:val="00A83D73"/>
    <w:rsid w:val="00A87B51"/>
    <w:rsid w:val="00A908B4"/>
    <w:rsid w:val="00A91019"/>
    <w:rsid w:val="00A9166E"/>
    <w:rsid w:val="00A95CB6"/>
    <w:rsid w:val="00A963C2"/>
    <w:rsid w:val="00A96E1F"/>
    <w:rsid w:val="00AA5D63"/>
    <w:rsid w:val="00AB1EFE"/>
    <w:rsid w:val="00AB48BF"/>
    <w:rsid w:val="00AC0FC1"/>
    <w:rsid w:val="00AD191E"/>
    <w:rsid w:val="00AD2997"/>
    <w:rsid w:val="00AD6AA1"/>
    <w:rsid w:val="00AF36E6"/>
    <w:rsid w:val="00AF3ABC"/>
    <w:rsid w:val="00AF6794"/>
    <w:rsid w:val="00B07E3A"/>
    <w:rsid w:val="00B21266"/>
    <w:rsid w:val="00B25EDF"/>
    <w:rsid w:val="00B25FFD"/>
    <w:rsid w:val="00B31E13"/>
    <w:rsid w:val="00B33E2E"/>
    <w:rsid w:val="00B36275"/>
    <w:rsid w:val="00B5059A"/>
    <w:rsid w:val="00B55FA1"/>
    <w:rsid w:val="00B65988"/>
    <w:rsid w:val="00B775D4"/>
    <w:rsid w:val="00BA2158"/>
    <w:rsid w:val="00BA5D5D"/>
    <w:rsid w:val="00BB31B0"/>
    <w:rsid w:val="00BB412F"/>
    <w:rsid w:val="00BB6D9F"/>
    <w:rsid w:val="00BC7DC6"/>
    <w:rsid w:val="00C12554"/>
    <w:rsid w:val="00C35B90"/>
    <w:rsid w:val="00C5192E"/>
    <w:rsid w:val="00C52BE5"/>
    <w:rsid w:val="00C61D8D"/>
    <w:rsid w:val="00C62456"/>
    <w:rsid w:val="00C63EDB"/>
    <w:rsid w:val="00C677D5"/>
    <w:rsid w:val="00C80C55"/>
    <w:rsid w:val="00C80D8E"/>
    <w:rsid w:val="00C852E6"/>
    <w:rsid w:val="00CB1A3F"/>
    <w:rsid w:val="00CB4CED"/>
    <w:rsid w:val="00CD4DC4"/>
    <w:rsid w:val="00CE215D"/>
    <w:rsid w:val="00CE6D82"/>
    <w:rsid w:val="00CF238A"/>
    <w:rsid w:val="00CF6D65"/>
    <w:rsid w:val="00CF76F8"/>
    <w:rsid w:val="00CF7E38"/>
    <w:rsid w:val="00D1484A"/>
    <w:rsid w:val="00D14B82"/>
    <w:rsid w:val="00D2466F"/>
    <w:rsid w:val="00D25084"/>
    <w:rsid w:val="00D40E74"/>
    <w:rsid w:val="00D5109F"/>
    <w:rsid w:val="00D5401D"/>
    <w:rsid w:val="00D64B94"/>
    <w:rsid w:val="00D66AA8"/>
    <w:rsid w:val="00D80A2A"/>
    <w:rsid w:val="00D8447D"/>
    <w:rsid w:val="00D8591A"/>
    <w:rsid w:val="00D87BDA"/>
    <w:rsid w:val="00DA67EE"/>
    <w:rsid w:val="00DB0C08"/>
    <w:rsid w:val="00DC29C3"/>
    <w:rsid w:val="00DC3BCF"/>
    <w:rsid w:val="00DC4845"/>
    <w:rsid w:val="00DE506B"/>
    <w:rsid w:val="00DF3414"/>
    <w:rsid w:val="00E0113D"/>
    <w:rsid w:val="00E13DC2"/>
    <w:rsid w:val="00E15080"/>
    <w:rsid w:val="00E163F5"/>
    <w:rsid w:val="00E17C1F"/>
    <w:rsid w:val="00E23A01"/>
    <w:rsid w:val="00E30119"/>
    <w:rsid w:val="00E32D01"/>
    <w:rsid w:val="00E37733"/>
    <w:rsid w:val="00E65A12"/>
    <w:rsid w:val="00E756DB"/>
    <w:rsid w:val="00E8056D"/>
    <w:rsid w:val="00E80817"/>
    <w:rsid w:val="00E82CF0"/>
    <w:rsid w:val="00E877B5"/>
    <w:rsid w:val="00E9637A"/>
    <w:rsid w:val="00E97BA7"/>
    <w:rsid w:val="00EA352C"/>
    <w:rsid w:val="00EA3B7E"/>
    <w:rsid w:val="00EA6CD7"/>
    <w:rsid w:val="00EB2F9F"/>
    <w:rsid w:val="00EC26EE"/>
    <w:rsid w:val="00EC4016"/>
    <w:rsid w:val="00EC4E81"/>
    <w:rsid w:val="00EC6E39"/>
    <w:rsid w:val="00EC7E7B"/>
    <w:rsid w:val="00ED170D"/>
    <w:rsid w:val="00EE5622"/>
    <w:rsid w:val="00EF1D6C"/>
    <w:rsid w:val="00F018E6"/>
    <w:rsid w:val="00F117C2"/>
    <w:rsid w:val="00F13860"/>
    <w:rsid w:val="00F25D1D"/>
    <w:rsid w:val="00F3251F"/>
    <w:rsid w:val="00F4712E"/>
    <w:rsid w:val="00F47202"/>
    <w:rsid w:val="00F501FA"/>
    <w:rsid w:val="00F52947"/>
    <w:rsid w:val="00F55030"/>
    <w:rsid w:val="00F63D54"/>
    <w:rsid w:val="00F64857"/>
    <w:rsid w:val="00F71350"/>
    <w:rsid w:val="00F717E9"/>
    <w:rsid w:val="00F7351B"/>
    <w:rsid w:val="00F76D04"/>
    <w:rsid w:val="00F801B4"/>
    <w:rsid w:val="00F97505"/>
    <w:rsid w:val="00FC3819"/>
    <w:rsid w:val="00FF1629"/>
    <w:rsid w:val="00FF4D51"/>
    <w:rsid w:val="54A8917D"/>
    <w:rsid w:val="579B7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8E154E"/>
  <w15:docId w15:val="{E132DF2B-6516-4447-BB52-13C3F9DC9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klamaBavurusu">
    <w:name w:val="annotation reference"/>
    <w:basedOn w:val="VarsaylanParagrafYazTipi"/>
    <w:uiPriority w:val="99"/>
    <w:semiHidden/>
    <w:unhideWhenUsed/>
    <w:rsid w:val="00C80D8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80D8E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80D8E"/>
    <w:rPr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C80D8E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0D8E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526BF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/>
    </w:rPr>
  </w:style>
  <w:style w:type="character" w:styleId="Kpr">
    <w:name w:val="Hyperlink"/>
    <w:basedOn w:val="VarsaylanParagrafYazTipi"/>
    <w:uiPriority w:val="99"/>
    <w:unhideWhenUsed/>
    <w:rsid w:val="009D39D1"/>
    <w:rPr>
      <w:color w:val="0000FF" w:themeColor="hyperlink"/>
      <w:u w:val="single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592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592D"/>
    <w:rPr>
      <w:b/>
      <w:bCs/>
      <w:sz w:val="20"/>
      <w:szCs w:val="20"/>
    </w:rPr>
  </w:style>
  <w:style w:type="character" w:styleId="Gl">
    <w:name w:val="Strong"/>
    <w:basedOn w:val="VarsaylanParagrafYazTipi"/>
    <w:uiPriority w:val="22"/>
    <w:qFormat/>
    <w:rsid w:val="0066685C"/>
    <w:rPr>
      <w:b/>
      <w:bCs/>
    </w:rPr>
  </w:style>
  <w:style w:type="paragraph" w:styleId="GvdeMetni">
    <w:name w:val="Body Text"/>
    <w:basedOn w:val="Normal"/>
    <w:link w:val="GvdeMetniChar"/>
    <w:uiPriority w:val="1"/>
    <w:qFormat/>
    <w:rsid w:val="00B6598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character" w:customStyle="1" w:styleId="GvdeMetniChar">
    <w:name w:val="Gövde Metni Char"/>
    <w:basedOn w:val="VarsaylanParagrafYazTipi"/>
    <w:link w:val="GvdeMetni"/>
    <w:uiPriority w:val="1"/>
    <w:rsid w:val="00B65988"/>
    <w:rPr>
      <w:rFonts w:ascii="Arial" w:eastAsia="Arial" w:hAnsi="Arial" w:cs="Arial"/>
      <w:sz w:val="22"/>
      <w:szCs w:val="22"/>
      <w:lang w:val="en-US" w:eastAsia="en-US"/>
    </w:rPr>
  </w:style>
  <w:style w:type="paragraph" w:styleId="ResimYazs">
    <w:name w:val="caption"/>
    <w:basedOn w:val="Normal"/>
    <w:next w:val="Normal"/>
    <w:uiPriority w:val="35"/>
    <w:unhideWhenUsed/>
    <w:qFormat/>
    <w:rsid w:val="00E80817"/>
    <w:pPr>
      <w:spacing w:after="200"/>
    </w:pPr>
    <w:rPr>
      <w:i/>
      <w:iCs/>
      <w:color w:val="1F497D" w:themeColor="text2"/>
      <w:sz w:val="18"/>
      <w:szCs w:val="18"/>
    </w:rPr>
  </w:style>
  <w:style w:type="character" w:styleId="Vurgu">
    <w:name w:val="Emphasis"/>
    <w:basedOn w:val="VarsaylanParagrafYazTipi"/>
    <w:uiPriority w:val="20"/>
    <w:qFormat/>
    <w:rsid w:val="009819AA"/>
    <w:rPr>
      <w:i/>
      <w:i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F63D54"/>
    <w:rPr>
      <w:color w:val="605E5C"/>
      <w:shd w:val="clear" w:color="auto" w:fill="E1DFDD"/>
    </w:rPr>
  </w:style>
  <w:style w:type="paragraph" w:styleId="Dzeltme">
    <w:name w:val="Revision"/>
    <w:hidden/>
    <w:uiPriority w:val="99"/>
    <w:semiHidden/>
    <w:rsid w:val="00AD191E"/>
  </w:style>
  <w:style w:type="paragraph" w:styleId="stBilgi">
    <w:name w:val="header"/>
    <w:basedOn w:val="Normal"/>
    <w:link w:val="stBilgiChar"/>
    <w:uiPriority w:val="99"/>
    <w:unhideWhenUsed/>
    <w:rsid w:val="00404384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04384"/>
  </w:style>
  <w:style w:type="paragraph" w:styleId="AltBilgi">
    <w:name w:val="footer"/>
    <w:basedOn w:val="Normal"/>
    <w:link w:val="AltBilgiChar"/>
    <w:uiPriority w:val="99"/>
    <w:unhideWhenUsed/>
    <w:rsid w:val="00404384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04384"/>
  </w:style>
  <w:style w:type="character" w:styleId="zlenenKpr">
    <w:name w:val="FollowedHyperlink"/>
    <w:basedOn w:val="VarsaylanParagrafYazTipi"/>
    <w:uiPriority w:val="99"/>
    <w:semiHidden/>
    <w:unhideWhenUsed/>
    <w:rsid w:val="00606518"/>
    <w:rPr>
      <w:color w:val="800080" w:themeColor="followedHyperlink"/>
      <w:u w:val="single"/>
    </w:rPr>
  </w:style>
  <w:style w:type="paragraph" w:customStyle="1" w:styleId="paragraph">
    <w:name w:val="paragraph"/>
    <w:basedOn w:val="Normal"/>
    <w:rsid w:val="00207F66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character" w:customStyle="1" w:styleId="normaltextrun">
    <w:name w:val="normaltextrun"/>
    <w:basedOn w:val="VarsaylanParagrafYazTipi"/>
    <w:rsid w:val="00207F66"/>
  </w:style>
  <w:style w:type="character" w:customStyle="1" w:styleId="eop">
    <w:name w:val="eop"/>
    <w:basedOn w:val="VarsaylanParagrafYazTipi"/>
    <w:rsid w:val="00207F66"/>
  </w:style>
  <w:style w:type="character" w:customStyle="1" w:styleId="spellingerror">
    <w:name w:val="spellingerror"/>
    <w:basedOn w:val="VarsaylanParagrafYazTipi"/>
    <w:rsid w:val="00207F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54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13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8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60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7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17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52281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859689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0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2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tcl.com/global/en.html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onderk@bordopr.com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279752B3500C649AE9E20A16EF98AF8" ma:contentTypeVersion="19" ma:contentTypeDescription="Yeni belge oluşturun." ma:contentTypeScope="" ma:versionID="71fb90ef985eabcb73cf990e58530c16">
  <xsd:schema xmlns:xsd="http://www.w3.org/2001/XMLSchema" xmlns:xs="http://www.w3.org/2001/XMLSchema" xmlns:p="http://schemas.microsoft.com/office/2006/metadata/properties" xmlns:ns2="b21c6290-8afc-4345-8e2c-d785ab6e0b76" xmlns:ns3="a6a5f7e4-2986-46c3-893f-0e0d1047cb81" targetNamespace="http://schemas.microsoft.com/office/2006/metadata/properties" ma:root="true" ma:fieldsID="4ee682745842122075020adcd08c53a4" ns2:_="" ns3:_="">
    <xsd:import namespace="b21c6290-8afc-4345-8e2c-d785ab6e0b76"/>
    <xsd:import namespace="a6a5f7e4-2986-46c3-893f-0e0d1047cb8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Tarih" minOccurs="0"/>
                <xsd:element ref="ns3:_x0068_ms1" minOccurs="0"/>
                <xsd:element ref="ns3:b4i6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1c6290-8afc-4345-8e2c-d785ab6e0b7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ylaşılanlar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Ayrıntıları ile Paylaşıldı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4b1225f4-f545-4fda-b787-67cd513c4417}" ma:internalName="TaxCatchAll" ma:showField="CatchAllData" ma:web="b21c6290-8afc-4345-8e2c-d785ab6e0b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5f7e4-2986-46c3-893f-0e0d1047cb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Tarih" ma:index="18" nillable="true" ma:displayName="Tarih" ma:format="DateOnly" ma:internalName="Tarih">
      <xsd:simpleType>
        <xsd:restriction base="dms:DateTime"/>
      </xsd:simpleType>
    </xsd:element>
    <xsd:element name="_x0068_ms1" ma:index="19" nillable="true" ma:displayName="Tarih ve Saat" ma:internalName="_x0068_ms1">
      <xsd:simpleType>
        <xsd:restriction base="dms:DateTime"/>
      </xsd:simpleType>
    </xsd:element>
    <xsd:element name="b4i6" ma:index="20" nillable="true" ma:displayName="Tarih ve Saat" ma:internalName="b4i6">
      <xsd:simpleType>
        <xsd:restriction base="dms:DateTim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Resim Etiketleri" ma:readOnly="false" ma:fieldId="{5cf76f15-5ced-4ddc-b409-7134ff3c332f}" ma:taxonomyMulti="true" ma:sspId="d811ce6e-3e36-4b7e-95ad-22857ac893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6a5f7e4-2986-46c3-893f-0e0d1047cb81">
      <Terms xmlns="http://schemas.microsoft.com/office/infopath/2007/PartnerControls"/>
    </lcf76f155ced4ddcb4097134ff3c332f>
    <TaxCatchAll xmlns="b21c6290-8afc-4345-8e2c-d785ab6e0b76" xsi:nil="true"/>
    <_x0068_ms1 xmlns="a6a5f7e4-2986-46c3-893f-0e0d1047cb81" xsi:nil="true"/>
    <Tarih xmlns="a6a5f7e4-2986-46c3-893f-0e0d1047cb81" xsi:nil="true"/>
    <b4i6 xmlns="a6a5f7e4-2986-46c3-893f-0e0d1047cb81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D050D1-AA46-4C88-A572-779148280E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1C84E2-B5CB-4460-A641-DF79CC636C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21c6290-8afc-4345-8e2c-d785ab6e0b76"/>
    <ds:schemaRef ds:uri="a6a5f7e4-2986-46c3-893f-0e0d1047c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DF3DD6-A243-4AD9-979E-AC0F0CEFFD7C}">
  <ds:schemaRefs>
    <ds:schemaRef ds:uri="http://schemas.microsoft.com/office/2006/metadata/properties"/>
    <ds:schemaRef ds:uri="http://schemas.microsoft.com/office/infopath/2007/PartnerControls"/>
    <ds:schemaRef ds:uri="a6a5f7e4-2986-46c3-893f-0e0d1047cb81"/>
    <ds:schemaRef ds:uri="b21c6290-8afc-4345-8e2c-d785ab6e0b76"/>
  </ds:schemaRefs>
</ds:datastoreItem>
</file>

<file path=customXml/itemProps4.xml><?xml version="1.0" encoding="utf-8"?>
<ds:datastoreItem xmlns:ds="http://schemas.openxmlformats.org/officeDocument/2006/customXml" ds:itemID="{513B4829-3540-4AA4-ABE7-C4802CF02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FOSTER</dc:creator>
  <cp:lastModifiedBy>Onder Kalkanci</cp:lastModifiedBy>
  <cp:revision>7</cp:revision>
  <cp:lastPrinted>2020-05-26T11:07:00Z</cp:lastPrinted>
  <dcterms:created xsi:type="dcterms:W3CDTF">2022-07-26T09:08:00Z</dcterms:created>
  <dcterms:modified xsi:type="dcterms:W3CDTF">2022-08-01T11:12:00Z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0x010100C279752B3500C649AE9E20A16EF98AF8</vt:lpwstr>
  </property>
  <property fmtid="{D5CDD505-2E9C-101B-9397-08002B2CF9AE}" pid="3" name="MediaServiceImageTags">
    <vt:lpwstr/>
  </property>
</Properties>
</file>