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BBB9" w14:textId="198EA42A" w:rsidR="00961F60" w:rsidRDefault="00961F60" w:rsidP="00961F60">
      <w:pPr>
        <w:pBdr>
          <w:bottom w:val="single" w:sz="6" w:space="1" w:color="auto"/>
        </w:pBdr>
        <w:rPr>
          <w:rFonts w:ascii="Tahoma" w:eastAsia="Tahoma" w:hAnsi="Tahoma" w:cs="Tahoma"/>
          <w:b/>
          <w:bCs/>
        </w:rPr>
      </w:pPr>
      <w:r w:rsidRPr="00566AB3">
        <w:rPr>
          <w:rFonts w:ascii="Tahoma" w:eastAsia="Tahoma" w:hAnsi="Tahoma" w:cs="Tahoma"/>
          <w:b/>
          <w:bCs/>
        </w:rPr>
        <w:t>BASIN BÜLTENİ</w:t>
      </w:r>
      <w:r w:rsidRPr="00566AB3">
        <w:tab/>
      </w:r>
      <w:r w:rsidRPr="00566AB3">
        <w:tab/>
      </w:r>
      <w:r w:rsidRPr="00566AB3">
        <w:tab/>
      </w:r>
      <w:r w:rsidRPr="00566AB3">
        <w:tab/>
      </w:r>
      <w:r w:rsidRPr="00566AB3">
        <w:tab/>
      </w:r>
      <w:r w:rsidRPr="00566AB3">
        <w:rPr>
          <w:rFonts w:ascii="Tahoma" w:eastAsia="Tahoma" w:hAnsi="Tahoma" w:cs="Tahoma"/>
          <w:b/>
          <w:bCs/>
        </w:rPr>
        <w:t xml:space="preserve">                                            </w:t>
      </w:r>
      <w:r w:rsidR="00566AB3" w:rsidRPr="00566AB3">
        <w:rPr>
          <w:rFonts w:ascii="Tahoma" w:eastAsia="Tahoma" w:hAnsi="Tahoma" w:cs="Tahoma"/>
          <w:b/>
          <w:bCs/>
        </w:rPr>
        <w:t>21</w:t>
      </w:r>
      <w:r w:rsidRPr="00566AB3">
        <w:rPr>
          <w:rFonts w:ascii="Tahoma" w:eastAsia="Tahoma" w:hAnsi="Tahoma" w:cs="Tahoma"/>
          <w:b/>
          <w:bCs/>
        </w:rPr>
        <w:t>.0</w:t>
      </w:r>
      <w:r w:rsidR="00334000" w:rsidRPr="00566AB3">
        <w:rPr>
          <w:rFonts w:ascii="Tahoma" w:eastAsia="Tahoma" w:hAnsi="Tahoma" w:cs="Tahoma"/>
          <w:b/>
          <w:bCs/>
        </w:rPr>
        <w:t>7</w:t>
      </w:r>
      <w:r w:rsidRPr="00566AB3">
        <w:rPr>
          <w:rFonts w:ascii="Tahoma" w:eastAsia="Tahoma" w:hAnsi="Tahoma" w:cs="Tahoma"/>
          <w:b/>
          <w:bCs/>
        </w:rPr>
        <w:t>.2025</w:t>
      </w:r>
    </w:p>
    <w:p w14:paraId="1F4E806C" w14:textId="77777777" w:rsidR="002523A9" w:rsidRDefault="002523A9" w:rsidP="00986FF9">
      <w:pPr>
        <w:spacing w:after="0" w:line="276" w:lineRule="auto"/>
        <w:contextualSpacing/>
        <w:jc w:val="center"/>
        <w:rPr>
          <w:rFonts w:ascii="Verdana" w:hAnsi="Verdana"/>
          <w:b/>
          <w:sz w:val="28"/>
        </w:rPr>
      </w:pPr>
    </w:p>
    <w:p w14:paraId="51C669B9" w14:textId="3C077135" w:rsidR="0049795D" w:rsidRDefault="005D19D2" w:rsidP="53978CCA">
      <w:pPr>
        <w:spacing w:after="0" w:line="276" w:lineRule="auto"/>
        <w:contextualSpacing/>
        <w:jc w:val="center"/>
        <w:rPr>
          <w:rFonts w:ascii="Verdana" w:hAnsi="Verdana"/>
          <w:b/>
          <w:bCs/>
          <w:sz w:val="28"/>
        </w:rPr>
      </w:pPr>
      <w:r w:rsidRPr="005D19D2">
        <w:rPr>
          <w:rFonts w:ascii="Verdana" w:hAnsi="Verdana"/>
          <w:b/>
          <w:bCs/>
          <w:sz w:val="28"/>
        </w:rPr>
        <w:t xml:space="preserve">Küresel enerji talebi tüm zamanların en yüksek seviyesinde </w:t>
      </w:r>
    </w:p>
    <w:p w14:paraId="6D4F3D53" w14:textId="77777777" w:rsidR="00002E7D" w:rsidRPr="003D42E8" w:rsidRDefault="00002E7D" w:rsidP="53978CCA">
      <w:pPr>
        <w:spacing w:after="0" w:line="276" w:lineRule="auto"/>
        <w:contextualSpacing/>
        <w:jc w:val="center"/>
        <w:rPr>
          <w:rFonts w:ascii="Verdana" w:hAnsi="Verdana"/>
          <w:b/>
          <w:bCs/>
          <w:highlight w:val="yellow"/>
        </w:rPr>
      </w:pPr>
    </w:p>
    <w:p w14:paraId="74BA4CCE" w14:textId="50449AEB" w:rsidR="00E96891" w:rsidRPr="00E96891" w:rsidRDefault="00E96891" w:rsidP="00E96891">
      <w:pPr>
        <w:spacing w:after="0" w:line="276" w:lineRule="auto"/>
        <w:contextualSpacing/>
        <w:jc w:val="center"/>
        <w:rPr>
          <w:rFonts w:ascii="Verdana" w:hAnsi="Verdana"/>
          <w:b/>
          <w:bCs/>
        </w:rPr>
      </w:pPr>
      <w:r w:rsidRPr="004C0673">
        <w:rPr>
          <w:rFonts w:ascii="Verdana" w:hAnsi="Verdana"/>
          <w:b/>
          <w:bCs/>
        </w:rPr>
        <w:t>KPMG</w:t>
      </w:r>
      <w:r>
        <w:rPr>
          <w:rFonts w:ascii="Verdana" w:hAnsi="Verdana"/>
          <w:b/>
          <w:bCs/>
        </w:rPr>
        <w:t xml:space="preserve"> ve</w:t>
      </w:r>
      <w:r w:rsidRPr="004C0673">
        <w:rPr>
          <w:rFonts w:ascii="Verdana" w:hAnsi="Verdana"/>
          <w:b/>
          <w:bCs/>
        </w:rPr>
        <w:t xml:space="preserve"> Enerji Enstitüsü iş birliği</w:t>
      </w:r>
      <w:r>
        <w:rPr>
          <w:rFonts w:ascii="Verdana" w:hAnsi="Verdana"/>
          <w:b/>
          <w:bCs/>
        </w:rPr>
        <w:t xml:space="preserve"> ile hazırlanan </w:t>
      </w:r>
      <w:r w:rsidRPr="004C0673">
        <w:rPr>
          <w:rFonts w:ascii="Verdana" w:hAnsi="Verdana"/>
          <w:b/>
          <w:bCs/>
        </w:rPr>
        <w:t>2024 Dünya Enerji İstatistik Raporu’na göre</w:t>
      </w:r>
      <w:r>
        <w:rPr>
          <w:rFonts w:ascii="Verdana" w:hAnsi="Verdana"/>
          <w:b/>
          <w:bCs/>
        </w:rPr>
        <w:t xml:space="preserve">, </w:t>
      </w:r>
      <w:r w:rsidRPr="00E96891">
        <w:rPr>
          <w:rFonts w:ascii="Verdana" w:hAnsi="Verdana"/>
          <w:b/>
          <w:bCs/>
        </w:rPr>
        <w:t>2024 yılında küresel enerji talebi, bir önceki yıla göre yüzde 2’den biraz fazla artarak tüm zamanların en yüksek seviyesine ulaştı. Elektrik talebi ise yüzde 4’ten fazla artış göstererek, elektrifikasyonun hız kazanmasıyla genel enerji tüketiminin üzerinde bir seyir izlemeye devam etti. Öte yandan, küresel CO₂ emisyonları da yüzde 1 artarak üst üste dördüncü yıl rekor seviyeye ulaştı.</w:t>
      </w:r>
    </w:p>
    <w:p w14:paraId="2F4381C7" w14:textId="2BBB3141" w:rsidR="005A64FA" w:rsidRPr="00E322E6" w:rsidRDefault="00E96891" w:rsidP="00E322E6">
      <w:pPr>
        <w:spacing w:after="0" w:line="300" w:lineRule="auto"/>
        <w:contextualSpacing/>
        <w:jc w:val="both"/>
        <w:rPr>
          <w:rFonts w:ascii="Verdana" w:hAnsi="Verdana"/>
          <w:b/>
          <w:bCs/>
        </w:rPr>
      </w:pPr>
      <w:r>
        <w:rPr>
          <w:rFonts w:ascii="Verdana" w:hAnsi="Verdana"/>
          <w:b/>
          <w:bCs/>
        </w:rPr>
        <w:br/>
      </w:r>
      <w:r w:rsidR="003D542A" w:rsidRPr="003D542A">
        <w:rPr>
          <w:rFonts w:ascii="Verdana" w:hAnsi="Verdana" w:cstheme="minorHAnsi"/>
          <w:bCs/>
          <w:sz w:val="20"/>
          <w:szCs w:val="20"/>
        </w:rPr>
        <w:t>KPMG</w:t>
      </w:r>
      <w:r w:rsidR="003D542A">
        <w:rPr>
          <w:rFonts w:ascii="Verdana" w:hAnsi="Verdana" w:cstheme="minorHAnsi"/>
          <w:bCs/>
          <w:sz w:val="20"/>
          <w:szCs w:val="20"/>
        </w:rPr>
        <w:t xml:space="preserve">’nin </w:t>
      </w:r>
      <w:r w:rsidR="003D542A" w:rsidRPr="003D542A">
        <w:rPr>
          <w:rFonts w:ascii="Verdana" w:hAnsi="Verdana" w:cstheme="minorHAnsi"/>
          <w:bCs/>
          <w:sz w:val="20"/>
          <w:szCs w:val="20"/>
        </w:rPr>
        <w:t xml:space="preserve">Enerji Enstitüsü (EI) iş birliği </w:t>
      </w:r>
      <w:r w:rsidR="003D542A">
        <w:rPr>
          <w:rFonts w:ascii="Verdana" w:hAnsi="Verdana" w:cstheme="minorHAnsi"/>
          <w:bCs/>
          <w:sz w:val="20"/>
          <w:szCs w:val="20"/>
        </w:rPr>
        <w:t xml:space="preserve">ile hazırladığı </w:t>
      </w:r>
      <w:r w:rsidR="003D542A" w:rsidRPr="003D542A">
        <w:rPr>
          <w:rFonts w:ascii="Verdana" w:hAnsi="Verdana" w:cstheme="minorHAnsi"/>
          <w:bCs/>
          <w:sz w:val="20"/>
          <w:szCs w:val="20"/>
        </w:rPr>
        <w:t xml:space="preserve">Dünya Enerji İstatistik </w:t>
      </w:r>
      <w:r w:rsidR="003D542A">
        <w:rPr>
          <w:rFonts w:ascii="Verdana" w:hAnsi="Verdana" w:cstheme="minorHAnsi"/>
          <w:bCs/>
          <w:sz w:val="20"/>
          <w:szCs w:val="20"/>
        </w:rPr>
        <w:t>Raporu’nun 2024 yılını içere</w:t>
      </w:r>
      <w:r w:rsidR="003A3C32">
        <w:rPr>
          <w:rFonts w:ascii="Verdana" w:hAnsi="Verdana" w:cstheme="minorHAnsi"/>
          <w:bCs/>
          <w:sz w:val="20"/>
          <w:szCs w:val="20"/>
        </w:rPr>
        <w:t>n</w:t>
      </w:r>
      <w:r w:rsidR="003D542A">
        <w:rPr>
          <w:rFonts w:ascii="Verdana" w:hAnsi="Verdana" w:cstheme="minorHAnsi"/>
          <w:bCs/>
          <w:sz w:val="20"/>
          <w:szCs w:val="20"/>
        </w:rPr>
        <w:t xml:space="preserve"> yıllık sonuçları yayımlandı</w:t>
      </w:r>
      <w:r w:rsidR="003D542A" w:rsidRPr="003D542A">
        <w:rPr>
          <w:rFonts w:ascii="Verdana" w:hAnsi="Verdana" w:cstheme="minorHAnsi"/>
          <w:bCs/>
          <w:sz w:val="20"/>
          <w:szCs w:val="20"/>
        </w:rPr>
        <w:t>.</w:t>
      </w:r>
      <w:r w:rsidR="003D542A">
        <w:rPr>
          <w:rFonts w:ascii="Verdana" w:hAnsi="Verdana" w:cstheme="minorHAnsi"/>
          <w:bCs/>
          <w:sz w:val="20"/>
          <w:szCs w:val="20"/>
        </w:rPr>
        <w:t xml:space="preserve"> 74 yıldır yayımlanan r</w:t>
      </w:r>
      <w:r w:rsidR="003D542A" w:rsidRPr="003D542A">
        <w:rPr>
          <w:rFonts w:ascii="Verdana" w:hAnsi="Verdana" w:cstheme="minorHAnsi"/>
          <w:bCs/>
          <w:sz w:val="20"/>
          <w:szCs w:val="20"/>
        </w:rPr>
        <w:t xml:space="preserve">apor, </w:t>
      </w:r>
      <w:r w:rsidR="003D542A">
        <w:rPr>
          <w:rFonts w:ascii="Verdana" w:hAnsi="Verdana" w:cstheme="minorHAnsi"/>
          <w:bCs/>
          <w:sz w:val="20"/>
          <w:szCs w:val="20"/>
        </w:rPr>
        <w:t xml:space="preserve">Türkiye de dahil dünya genelinde </w:t>
      </w:r>
      <w:r w:rsidR="003D542A" w:rsidRPr="003D542A">
        <w:rPr>
          <w:rFonts w:ascii="Verdana" w:hAnsi="Verdana" w:cstheme="minorHAnsi"/>
          <w:bCs/>
          <w:sz w:val="20"/>
          <w:szCs w:val="20"/>
        </w:rPr>
        <w:t xml:space="preserve">kapsamlı analizler sunarak değişen enerji dünyasına yönelik önemli </w:t>
      </w:r>
      <w:r w:rsidR="003D542A">
        <w:rPr>
          <w:rFonts w:ascii="Verdana" w:hAnsi="Verdana" w:cstheme="minorHAnsi"/>
          <w:bCs/>
          <w:sz w:val="20"/>
          <w:szCs w:val="20"/>
        </w:rPr>
        <w:t>veriler sunuyor</w:t>
      </w:r>
      <w:r w:rsidR="003D542A" w:rsidRPr="003D542A">
        <w:rPr>
          <w:rFonts w:ascii="Verdana" w:hAnsi="Verdana" w:cstheme="minorHAnsi"/>
          <w:bCs/>
          <w:sz w:val="20"/>
          <w:szCs w:val="20"/>
        </w:rPr>
        <w:t>.</w:t>
      </w:r>
      <w:r w:rsidR="003D542A">
        <w:rPr>
          <w:rFonts w:ascii="Verdana" w:hAnsi="Verdana" w:cstheme="minorHAnsi"/>
          <w:bCs/>
          <w:sz w:val="20"/>
          <w:szCs w:val="20"/>
        </w:rPr>
        <w:t xml:space="preserve"> </w:t>
      </w:r>
      <w:r w:rsidR="003D542A" w:rsidRPr="003D542A">
        <w:rPr>
          <w:rFonts w:ascii="Verdana" w:hAnsi="Verdana" w:cstheme="minorHAnsi"/>
          <w:bCs/>
          <w:sz w:val="20"/>
          <w:szCs w:val="20"/>
        </w:rPr>
        <w:t xml:space="preserve">Raporda, yenilenebilir enerji kaynaklarının büyümesi, fosil yakıt tüketimindeki değişim ve jeopolitik gelişmelerin enerji piyasalarına etkisi gibi sektörü şekillendiren önemli eğilimler </w:t>
      </w:r>
      <w:r w:rsidR="003A3C32">
        <w:rPr>
          <w:rFonts w:ascii="Verdana" w:hAnsi="Verdana" w:cstheme="minorHAnsi"/>
          <w:bCs/>
          <w:sz w:val="20"/>
          <w:szCs w:val="20"/>
        </w:rPr>
        <w:t xml:space="preserve">de </w:t>
      </w:r>
      <w:r w:rsidR="003D542A" w:rsidRPr="003D542A">
        <w:rPr>
          <w:rFonts w:ascii="Verdana" w:hAnsi="Verdana" w:cstheme="minorHAnsi"/>
          <w:bCs/>
          <w:sz w:val="20"/>
          <w:szCs w:val="20"/>
        </w:rPr>
        <w:t xml:space="preserve">ele </w:t>
      </w:r>
      <w:r w:rsidR="003D542A">
        <w:rPr>
          <w:rFonts w:ascii="Verdana" w:hAnsi="Verdana" w:cstheme="minorHAnsi"/>
          <w:bCs/>
          <w:sz w:val="20"/>
          <w:szCs w:val="20"/>
        </w:rPr>
        <w:t>alınıyor</w:t>
      </w:r>
      <w:r w:rsidR="003D542A" w:rsidRPr="003D542A">
        <w:rPr>
          <w:rFonts w:ascii="Verdana" w:hAnsi="Verdana" w:cstheme="minorHAnsi"/>
          <w:bCs/>
          <w:sz w:val="20"/>
          <w:szCs w:val="20"/>
        </w:rPr>
        <w:t>.</w:t>
      </w:r>
    </w:p>
    <w:p w14:paraId="5A6A66A9" w14:textId="77777777" w:rsidR="00D83776" w:rsidRDefault="00D83776" w:rsidP="005A64FA">
      <w:pPr>
        <w:spacing w:after="0" w:line="300" w:lineRule="auto"/>
        <w:contextualSpacing/>
        <w:jc w:val="both"/>
        <w:rPr>
          <w:rFonts w:ascii="Verdana" w:hAnsi="Verdana" w:cstheme="minorHAnsi"/>
          <w:bCs/>
          <w:sz w:val="20"/>
          <w:szCs w:val="20"/>
        </w:rPr>
      </w:pPr>
    </w:p>
    <w:p w14:paraId="5084C2CF" w14:textId="161A57E1" w:rsidR="004C0673" w:rsidRPr="004C0673" w:rsidRDefault="004C0673" w:rsidP="005A64FA">
      <w:pPr>
        <w:spacing w:after="0" w:line="300" w:lineRule="auto"/>
        <w:contextualSpacing/>
        <w:jc w:val="both"/>
        <w:rPr>
          <w:rFonts w:ascii="Verdana" w:hAnsi="Verdana" w:cstheme="minorHAnsi"/>
          <w:b/>
          <w:sz w:val="20"/>
          <w:szCs w:val="20"/>
        </w:rPr>
      </w:pPr>
      <w:r w:rsidRPr="004C0673">
        <w:rPr>
          <w:rFonts w:ascii="Verdana" w:hAnsi="Verdana" w:cstheme="minorHAnsi"/>
          <w:b/>
          <w:sz w:val="20"/>
          <w:szCs w:val="20"/>
        </w:rPr>
        <w:t>Türkiye</w:t>
      </w:r>
      <w:r>
        <w:rPr>
          <w:rFonts w:ascii="Verdana" w:hAnsi="Verdana" w:cstheme="minorHAnsi"/>
          <w:b/>
          <w:sz w:val="20"/>
          <w:szCs w:val="20"/>
        </w:rPr>
        <w:t>,</w:t>
      </w:r>
      <w:r w:rsidRPr="004C0673">
        <w:rPr>
          <w:rFonts w:ascii="Verdana" w:hAnsi="Verdana" w:cstheme="minorHAnsi"/>
          <w:b/>
          <w:sz w:val="20"/>
          <w:szCs w:val="20"/>
        </w:rPr>
        <w:t xml:space="preserve"> Avrupa’da yükselen enerji oyuncusu</w:t>
      </w:r>
    </w:p>
    <w:p w14:paraId="56EA71C3" w14:textId="5B891D32" w:rsidR="0092387A" w:rsidRDefault="006C0A61" w:rsidP="005A64FA">
      <w:pPr>
        <w:spacing w:after="0" w:line="300" w:lineRule="auto"/>
        <w:contextualSpacing/>
        <w:jc w:val="both"/>
        <w:rPr>
          <w:rFonts w:ascii="Verdana" w:hAnsi="Verdana" w:cstheme="minorHAnsi"/>
          <w:bCs/>
          <w:sz w:val="20"/>
          <w:szCs w:val="20"/>
        </w:rPr>
      </w:pPr>
      <w:r w:rsidRPr="006C0A61">
        <w:rPr>
          <w:rFonts w:ascii="Verdana" w:hAnsi="Verdana" w:cstheme="minorHAnsi"/>
          <w:bCs/>
          <w:sz w:val="20"/>
          <w:szCs w:val="20"/>
        </w:rPr>
        <w:t>Raporda Türkiye'nin 2024 yılın</w:t>
      </w:r>
      <w:r>
        <w:rPr>
          <w:rFonts w:ascii="Verdana" w:hAnsi="Verdana" w:cstheme="minorHAnsi"/>
          <w:bCs/>
          <w:sz w:val="20"/>
          <w:szCs w:val="20"/>
        </w:rPr>
        <w:t xml:space="preserve">daki </w:t>
      </w:r>
      <w:r w:rsidRPr="006C0A61">
        <w:rPr>
          <w:rFonts w:ascii="Verdana" w:hAnsi="Verdana" w:cstheme="minorHAnsi"/>
          <w:bCs/>
          <w:sz w:val="20"/>
          <w:szCs w:val="20"/>
        </w:rPr>
        <w:t>enerji arzı</w:t>
      </w:r>
      <w:r w:rsidR="00B51DA7">
        <w:rPr>
          <w:rFonts w:ascii="Verdana" w:hAnsi="Verdana" w:cstheme="minorHAnsi"/>
          <w:bCs/>
          <w:sz w:val="20"/>
          <w:szCs w:val="20"/>
        </w:rPr>
        <w:t xml:space="preserve">na </w:t>
      </w:r>
      <w:r>
        <w:rPr>
          <w:rFonts w:ascii="Verdana" w:hAnsi="Verdana" w:cstheme="minorHAnsi"/>
          <w:bCs/>
          <w:sz w:val="20"/>
          <w:szCs w:val="20"/>
        </w:rPr>
        <w:t>dair</w:t>
      </w:r>
      <w:r w:rsidRPr="006C0A61">
        <w:rPr>
          <w:rFonts w:ascii="Verdana" w:hAnsi="Verdana" w:cstheme="minorHAnsi"/>
          <w:bCs/>
          <w:sz w:val="20"/>
          <w:szCs w:val="20"/>
        </w:rPr>
        <w:t xml:space="preserve"> </w:t>
      </w:r>
      <w:r>
        <w:rPr>
          <w:rFonts w:ascii="Verdana" w:hAnsi="Verdana" w:cstheme="minorHAnsi"/>
          <w:bCs/>
          <w:sz w:val="20"/>
          <w:szCs w:val="20"/>
        </w:rPr>
        <w:t xml:space="preserve">veriler de dikkat çekiyor. Ülke bazındaki verilere göre </w:t>
      </w:r>
      <w:r w:rsidRPr="006C0A61">
        <w:rPr>
          <w:rFonts w:ascii="Verdana" w:hAnsi="Verdana" w:cstheme="minorHAnsi"/>
          <w:bCs/>
          <w:sz w:val="20"/>
          <w:szCs w:val="20"/>
        </w:rPr>
        <w:t>Türkiye’nin toplam enerji arzı 2024 yılında 7,02 EJ</w:t>
      </w:r>
      <w:r>
        <w:rPr>
          <w:rFonts w:ascii="Verdana" w:hAnsi="Verdana" w:cstheme="minorHAnsi"/>
          <w:bCs/>
          <w:sz w:val="20"/>
          <w:szCs w:val="20"/>
        </w:rPr>
        <w:t xml:space="preserve"> (</w:t>
      </w:r>
      <w:r w:rsidRPr="006C0A61">
        <w:rPr>
          <w:rFonts w:ascii="Verdana" w:hAnsi="Verdana" w:cstheme="minorHAnsi"/>
          <w:bCs/>
          <w:sz w:val="20"/>
          <w:szCs w:val="20"/>
        </w:rPr>
        <w:t>exajoule</w:t>
      </w:r>
      <w:r>
        <w:rPr>
          <w:rFonts w:ascii="Verdana" w:hAnsi="Verdana" w:cstheme="minorHAnsi"/>
          <w:bCs/>
          <w:sz w:val="20"/>
          <w:szCs w:val="20"/>
        </w:rPr>
        <w:t>)</w:t>
      </w:r>
      <w:r w:rsidRPr="006C0A61">
        <w:rPr>
          <w:rFonts w:ascii="Verdana" w:hAnsi="Verdana" w:cstheme="minorHAnsi"/>
          <w:bCs/>
          <w:sz w:val="20"/>
          <w:szCs w:val="20"/>
        </w:rPr>
        <w:t xml:space="preserve"> seviyesine yükseldi. Bu, bir önceki yıla göre yaklaşık </w:t>
      </w:r>
      <w:r>
        <w:rPr>
          <w:rFonts w:ascii="Verdana" w:hAnsi="Verdana" w:cstheme="minorHAnsi"/>
          <w:bCs/>
          <w:sz w:val="20"/>
          <w:szCs w:val="20"/>
        </w:rPr>
        <w:t xml:space="preserve">yüzde </w:t>
      </w:r>
      <w:r w:rsidRPr="006C0A61">
        <w:rPr>
          <w:rFonts w:ascii="Verdana" w:hAnsi="Verdana" w:cstheme="minorHAnsi"/>
          <w:bCs/>
          <w:sz w:val="20"/>
          <w:szCs w:val="20"/>
        </w:rPr>
        <w:t>5,1 oranında bir artış anlamına geliyor. Bu artış oranı, Türkiye’yi Avrupa’da en hızlı büyüyen enerji arzına sahip ülkelerden biri haline getirdi.</w:t>
      </w:r>
      <w:r>
        <w:rPr>
          <w:rFonts w:ascii="Verdana" w:hAnsi="Verdana" w:cstheme="minorHAnsi"/>
          <w:bCs/>
          <w:sz w:val="20"/>
          <w:szCs w:val="20"/>
        </w:rPr>
        <w:t xml:space="preserve"> Türkiye bu rakamlara göre yüzde 1,2’lik payı ile </w:t>
      </w:r>
      <w:r w:rsidR="003A3C32">
        <w:rPr>
          <w:rFonts w:ascii="Verdana" w:hAnsi="Verdana" w:cstheme="minorHAnsi"/>
          <w:bCs/>
          <w:sz w:val="20"/>
          <w:szCs w:val="20"/>
        </w:rPr>
        <w:t xml:space="preserve">Avrupa’da </w:t>
      </w:r>
      <w:r>
        <w:rPr>
          <w:rFonts w:ascii="Verdana" w:hAnsi="Verdana" w:cstheme="minorHAnsi"/>
          <w:bCs/>
          <w:sz w:val="20"/>
          <w:szCs w:val="20"/>
        </w:rPr>
        <w:t>en fazla enerji arzı payına sahip üçüncü ülke oldu.</w:t>
      </w:r>
      <w:r w:rsidR="003A3C32">
        <w:rPr>
          <w:rFonts w:ascii="Verdana" w:hAnsi="Verdana" w:cstheme="minorHAnsi"/>
          <w:bCs/>
          <w:sz w:val="20"/>
          <w:szCs w:val="20"/>
        </w:rPr>
        <w:t xml:space="preserve"> </w:t>
      </w:r>
      <w:r>
        <w:rPr>
          <w:rFonts w:ascii="Verdana" w:hAnsi="Verdana" w:cstheme="minorHAnsi"/>
          <w:bCs/>
          <w:sz w:val="20"/>
          <w:szCs w:val="20"/>
        </w:rPr>
        <w:t xml:space="preserve">Birinci sırada yüzde 1,7 ile Almanya, ikinci sırada ise yüzde 1,5 ile Fransa yer alıyor. </w:t>
      </w:r>
      <w:r w:rsidR="003A3C32">
        <w:rPr>
          <w:rFonts w:ascii="Verdana" w:hAnsi="Verdana" w:cstheme="minorHAnsi"/>
          <w:bCs/>
          <w:sz w:val="20"/>
          <w:szCs w:val="20"/>
        </w:rPr>
        <w:t xml:space="preserve">Birleşik Krallık </w:t>
      </w:r>
      <w:r>
        <w:rPr>
          <w:rFonts w:ascii="Verdana" w:hAnsi="Verdana" w:cstheme="minorHAnsi"/>
          <w:bCs/>
          <w:sz w:val="20"/>
          <w:szCs w:val="20"/>
        </w:rPr>
        <w:t>ise yüzde 1,1’lik payı ile Türkiye’yi takip ediyor.</w:t>
      </w:r>
      <w:r w:rsidR="004558B3">
        <w:rPr>
          <w:rFonts w:ascii="Verdana" w:hAnsi="Verdana" w:cstheme="minorHAnsi"/>
          <w:bCs/>
          <w:sz w:val="20"/>
          <w:szCs w:val="20"/>
        </w:rPr>
        <w:t xml:space="preserve"> Ayrıca </w:t>
      </w:r>
      <w:r w:rsidR="004558B3" w:rsidRPr="004558B3">
        <w:rPr>
          <w:rFonts w:ascii="Verdana" w:hAnsi="Verdana" w:cstheme="minorHAnsi"/>
          <w:bCs/>
          <w:sz w:val="20"/>
          <w:szCs w:val="20"/>
        </w:rPr>
        <w:t xml:space="preserve">Türkiye, 2014–2024 döneminde yıllık ortalama </w:t>
      </w:r>
      <w:r w:rsidR="004558B3">
        <w:rPr>
          <w:rFonts w:ascii="Verdana" w:hAnsi="Verdana" w:cstheme="minorHAnsi"/>
          <w:bCs/>
          <w:sz w:val="20"/>
          <w:szCs w:val="20"/>
        </w:rPr>
        <w:t xml:space="preserve">yüzde </w:t>
      </w:r>
      <w:r w:rsidR="004558B3" w:rsidRPr="004558B3">
        <w:rPr>
          <w:rFonts w:ascii="Verdana" w:hAnsi="Verdana" w:cstheme="minorHAnsi"/>
          <w:bCs/>
          <w:sz w:val="20"/>
          <w:szCs w:val="20"/>
        </w:rPr>
        <w:t xml:space="preserve">3,5 büyüme oranı ile Avrupa’daki en hızlı enerji arzı büyümesi gösteren </w:t>
      </w:r>
      <w:r w:rsidR="004558B3">
        <w:rPr>
          <w:rFonts w:ascii="Verdana" w:hAnsi="Verdana" w:cstheme="minorHAnsi"/>
          <w:bCs/>
          <w:sz w:val="20"/>
          <w:szCs w:val="20"/>
        </w:rPr>
        <w:t xml:space="preserve">ilk ülke oldu. </w:t>
      </w:r>
    </w:p>
    <w:p w14:paraId="32BC2DB3" w14:textId="77777777" w:rsidR="006C0A61" w:rsidRDefault="006C0A61" w:rsidP="005A64FA">
      <w:pPr>
        <w:spacing w:after="0" w:line="300" w:lineRule="auto"/>
        <w:contextualSpacing/>
        <w:jc w:val="both"/>
        <w:rPr>
          <w:rFonts w:ascii="Verdana" w:hAnsi="Verdana" w:cstheme="minorHAnsi"/>
          <w:bCs/>
          <w:sz w:val="20"/>
          <w:szCs w:val="20"/>
        </w:rPr>
      </w:pPr>
    </w:p>
    <w:p w14:paraId="6427C4F9" w14:textId="0AD34868" w:rsidR="00D84E70" w:rsidRPr="00D84E70" w:rsidRDefault="00D84E70" w:rsidP="00982219">
      <w:pPr>
        <w:spacing w:after="0" w:line="300" w:lineRule="auto"/>
        <w:contextualSpacing/>
        <w:jc w:val="both"/>
        <w:rPr>
          <w:rFonts w:ascii="Verdana" w:hAnsi="Verdana" w:cstheme="minorHAnsi"/>
          <w:b/>
          <w:sz w:val="20"/>
          <w:szCs w:val="20"/>
        </w:rPr>
      </w:pPr>
      <w:r w:rsidRPr="00D84E70">
        <w:rPr>
          <w:rFonts w:ascii="Verdana" w:hAnsi="Verdana" w:cstheme="minorHAnsi"/>
          <w:b/>
          <w:sz w:val="20"/>
          <w:szCs w:val="20"/>
        </w:rPr>
        <w:t xml:space="preserve">“Karşıt dinamiklerin yön verdiği küresel enerji sistemi </w:t>
      </w:r>
      <w:r w:rsidR="003A3C32">
        <w:rPr>
          <w:rFonts w:ascii="Verdana" w:hAnsi="Verdana" w:cstheme="minorHAnsi"/>
          <w:b/>
          <w:sz w:val="20"/>
          <w:szCs w:val="20"/>
        </w:rPr>
        <w:t>oluştu</w:t>
      </w:r>
      <w:r w:rsidRPr="00D84E70">
        <w:rPr>
          <w:rFonts w:ascii="Verdana" w:hAnsi="Verdana" w:cstheme="minorHAnsi"/>
          <w:b/>
          <w:sz w:val="20"/>
          <w:szCs w:val="20"/>
        </w:rPr>
        <w:t>”</w:t>
      </w:r>
    </w:p>
    <w:p w14:paraId="662D6794" w14:textId="7D4744DA" w:rsidR="00903A72" w:rsidRDefault="00903A72" w:rsidP="00982219">
      <w:pPr>
        <w:spacing w:after="0" w:line="300" w:lineRule="auto"/>
        <w:contextualSpacing/>
        <w:jc w:val="both"/>
        <w:rPr>
          <w:rFonts w:ascii="Verdana" w:hAnsi="Verdana" w:cstheme="minorHAnsi"/>
          <w:bCs/>
          <w:sz w:val="20"/>
          <w:szCs w:val="20"/>
        </w:rPr>
      </w:pPr>
      <w:r>
        <w:rPr>
          <w:rFonts w:ascii="Verdana" w:hAnsi="Verdana" w:cstheme="minorHAnsi"/>
          <w:bCs/>
          <w:sz w:val="20"/>
          <w:szCs w:val="20"/>
        </w:rPr>
        <w:t xml:space="preserve">Sonuçları değerlendiren </w:t>
      </w:r>
      <w:r w:rsidRPr="00BC633C">
        <w:rPr>
          <w:rFonts w:ascii="Verdana" w:hAnsi="Verdana" w:cstheme="minorHAnsi"/>
          <w:b/>
          <w:sz w:val="20"/>
          <w:szCs w:val="20"/>
        </w:rPr>
        <w:t>KPMG Türkiye Enerji Sektörü Lideri Hakan Demirelli</w:t>
      </w:r>
      <w:r>
        <w:rPr>
          <w:rFonts w:ascii="Verdana" w:hAnsi="Verdana" w:cstheme="minorHAnsi"/>
          <w:bCs/>
          <w:sz w:val="20"/>
          <w:szCs w:val="20"/>
        </w:rPr>
        <w:t xml:space="preserve">, </w:t>
      </w:r>
      <w:r w:rsidR="00982219">
        <w:rPr>
          <w:rFonts w:ascii="Verdana" w:hAnsi="Verdana" w:cstheme="minorHAnsi"/>
          <w:bCs/>
          <w:sz w:val="20"/>
          <w:szCs w:val="20"/>
        </w:rPr>
        <w:t>“</w:t>
      </w:r>
      <w:r w:rsidR="00982219" w:rsidRPr="00982219">
        <w:rPr>
          <w:rFonts w:ascii="Verdana" w:hAnsi="Verdana" w:cstheme="minorHAnsi"/>
          <w:bCs/>
          <w:sz w:val="20"/>
          <w:szCs w:val="20"/>
        </w:rPr>
        <w:t xml:space="preserve">Küresel enerji talebi artmaya devam </w:t>
      </w:r>
      <w:r w:rsidR="00982219">
        <w:rPr>
          <w:rFonts w:ascii="Verdana" w:hAnsi="Verdana" w:cstheme="minorHAnsi"/>
          <w:bCs/>
          <w:sz w:val="20"/>
          <w:szCs w:val="20"/>
        </w:rPr>
        <w:t xml:space="preserve">ederken </w:t>
      </w:r>
      <w:r w:rsidR="00982219" w:rsidRPr="00982219">
        <w:rPr>
          <w:rFonts w:ascii="Verdana" w:hAnsi="Verdana" w:cstheme="minorHAnsi"/>
          <w:bCs/>
          <w:sz w:val="20"/>
          <w:szCs w:val="20"/>
        </w:rPr>
        <w:t>karşıt dinamikler</w:t>
      </w:r>
      <w:r w:rsidR="00D84E70">
        <w:rPr>
          <w:rFonts w:ascii="Verdana" w:hAnsi="Verdana" w:cstheme="minorHAnsi"/>
          <w:bCs/>
          <w:sz w:val="20"/>
          <w:szCs w:val="20"/>
        </w:rPr>
        <w:t xml:space="preserve">in yön verdiği </w:t>
      </w:r>
      <w:r w:rsidR="00982219" w:rsidRPr="00982219">
        <w:rPr>
          <w:rFonts w:ascii="Verdana" w:hAnsi="Verdana" w:cstheme="minorHAnsi"/>
          <w:bCs/>
          <w:sz w:val="20"/>
          <w:szCs w:val="20"/>
        </w:rPr>
        <w:t>bir küresel enerji sistemi</w:t>
      </w:r>
      <w:r w:rsidR="00982219">
        <w:rPr>
          <w:rFonts w:ascii="Verdana" w:hAnsi="Verdana" w:cstheme="minorHAnsi"/>
          <w:bCs/>
          <w:sz w:val="20"/>
          <w:szCs w:val="20"/>
        </w:rPr>
        <w:t xml:space="preserve"> ortaya çıkıyor. E</w:t>
      </w:r>
      <w:r w:rsidR="00982219" w:rsidRPr="0092387A">
        <w:rPr>
          <w:rFonts w:ascii="Verdana" w:hAnsi="Verdana" w:cstheme="minorHAnsi"/>
          <w:bCs/>
          <w:sz w:val="20"/>
          <w:szCs w:val="20"/>
        </w:rPr>
        <w:t xml:space="preserve">lektrifikasyon </w:t>
      </w:r>
      <w:r w:rsidR="00982219" w:rsidRPr="00982219">
        <w:rPr>
          <w:rFonts w:ascii="Verdana" w:hAnsi="Verdana" w:cstheme="minorHAnsi"/>
          <w:bCs/>
          <w:sz w:val="20"/>
          <w:szCs w:val="20"/>
        </w:rPr>
        <w:t>hız kazanıyor, ancak fosil yakıtların kullanımı da artıyor; yenilenebilir enerji kaynakları hızla yaygınlaşıyor, fakat iklim hedeflerine ulaşmakta yetersiz kalıyor</w:t>
      </w:r>
      <w:r w:rsidR="00D84E70">
        <w:rPr>
          <w:rFonts w:ascii="Verdana" w:hAnsi="Verdana" w:cstheme="minorHAnsi"/>
          <w:bCs/>
          <w:sz w:val="20"/>
          <w:szCs w:val="20"/>
        </w:rPr>
        <w:t xml:space="preserve">. </w:t>
      </w:r>
      <w:r w:rsidR="00982219" w:rsidRPr="00982219">
        <w:rPr>
          <w:rFonts w:ascii="Verdana" w:hAnsi="Verdana" w:cstheme="minorHAnsi"/>
          <w:bCs/>
          <w:sz w:val="20"/>
          <w:szCs w:val="20"/>
        </w:rPr>
        <w:t xml:space="preserve">Liderler, artık karmaşık bir enerji dönüşümünü yönetmek zorunda. </w:t>
      </w:r>
      <w:r w:rsidR="00D84E70">
        <w:rPr>
          <w:rFonts w:ascii="Verdana" w:hAnsi="Verdana" w:cstheme="minorHAnsi"/>
          <w:bCs/>
          <w:sz w:val="20"/>
          <w:szCs w:val="20"/>
        </w:rPr>
        <w:t>Bu konjonktür içerisinde e</w:t>
      </w:r>
      <w:r w:rsidR="00982219" w:rsidRPr="00982219">
        <w:rPr>
          <w:rFonts w:ascii="Verdana" w:hAnsi="Verdana" w:cstheme="minorHAnsi"/>
          <w:bCs/>
          <w:sz w:val="20"/>
          <w:szCs w:val="20"/>
        </w:rPr>
        <w:t xml:space="preserve">nerji arzında </w:t>
      </w:r>
      <w:r w:rsidR="00982219">
        <w:rPr>
          <w:rFonts w:ascii="Verdana" w:hAnsi="Verdana" w:cstheme="minorHAnsi"/>
          <w:bCs/>
          <w:sz w:val="20"/>
          <w:szCs w:val="20"/>
        </w:rPr>
        <w:t xml:space="preserve">kaydettiği ilerleme ile </w:t>
      </w:r>
      <w:r w:rsidR="00982219" w:rsidRPr="00982219">
        <w:rPr>
          <w:rFonts w:ascii="Verdana" w:hAnsi="Verdana" w:cstheme="minorHAnsi"/>
          <w:bCs/>
          <w:sz w:val="20"/>
          <w:szCs w:val="20"/>
        </w:rPr>
        <w:t xml:space="preserve">Türkiye, Avrupa’nın en hızlı yükselen oyuncularından biri haline geldi. Bu başarı, ülkemizin enerji güvenliğini güçlendirme ve ekonomik büyümeyi destekleme hedefleri açısından </w:t>
      </w:r>
      <w:r w:rsidR="00982219">
        <w:rPr>
          <w:rFonts w:ascii="Verdana" w:hAnsi="Verdana" w:cstheme="minorHAnsi"/>
          <w:bCs/>
          <w:sz w:val="20"/>
          <w:szCs w:val="20"/>
        </w:rPr>
        <w:t xml:space="preserve">oldukça </w:t>
      </w:r>
      <w:r w:rsidR="00982219" w:rsidRPr="00982219">
        <w:rPr>
          <w:rFonts w:ascii="Verdana" w:hAnsi="Verdana" w:cstheme="minorHAnsi"/>
          <w:bCs/>
          <w:sz w:val="20"/>
          <w:szCs w:val="20"/>
        </w:rPr>
        <w:t>önemli."</w:t>
      </w:r>
      <w:r w:rsidR="00D84E70">
        <w:rPr>
          <w:rFonts w:ascii="Verdana" w:hAnsi="Verdana" w:cstheme="minorHAnsi"/>
          <w:bCs/>
          <w:sz w:val="20"/>
          <w:szCs w:val="20"/>
        </w:rPr>
        <w:t xml:space="preserve"> dedi.</w:t>
      </w:r>
    </w:p>
    <w:p w14:paraId="7DA6F791" w14:textId="77777777" w:rsidR="00982219" w:rsidRDefault="00982219" w:rsidP="005A64FA">
      <w:pPr>
        <w:spacing w:after="0" w:line="300" w:lineRule="auto"/>
        <w:contextualSpacing/>
        <w:jc w:val="both"/>
        <w:rPr>
          <w:rFonts w:ascii="Verdana" w:hAnsi="Verdana" w:cstheme="minorHAnsi"/>
          <w:bCs/>
          <w:sz w:val="20"/>
          <w:szCs w:val="20"/>
        </w:rPr>
      </w:pPr>
    </w:p>
    <w:p w14:paraId="49BF6C18" w14:textId="38A2341A" w:rsidR="0092387A" w:rsidRPr="0092387A" w:rsidRDefault="0092387A" w:rsidP="00D83776">
      <w:pPr>
        <w:spacing w:after="0" w:line="300" w:lineRule="auto"/>
        <w:contextualSpacing/>
        <w:jc w:val="both"/>
        <w:rPr>
          <w:rFonts w:ascii="Verdana" w:hAnsi="Verdana" w:cstheme="minorHAnsi"/>
          <w:bCs/>
          <w:sz w:val="20"/>
          <w:szCs w:val="20"/>
        </w:rPr>
      </w:pPr>
      <w:r>
        <w:rPr>
          <w:rFonts w:ascii="Verdana" w:hAnsi="Verdana" w:cstheme="minorHAnsi"/>
          <w:bCs/>
          <w:sz w:val="20"/>
          <w:szCs w:val="20"/>
        </w:rPr>
        <w:t>Oldukça kapsamlı hazırlanan raporda daha birçok önemli bulgu da yer alıyor. Bunlardan bazıları şu şekilde:</w:t>
      </w:r>
      <w:r w:rsidRPr="0092387A">
        <w:rPr>
          <w:rFonts w:ascii="Verdana" w:hAnsi="Verdana" w:cstheme="minorHAnsi"/>
          <w:bCs/>
          <w:sz w:val="20"/>
          <w:szCs w:val="20"/>
        </w:rPr>
        <w:t xml:space="preserve"> </w:t>
      </w:r>
    </w:p>
    <w:p w14:paraId="2C943234" w14:textId="77777777" w:rsidR="0092387A" w:rsidRDefault="0092387A" w:rsidP="00D83776">
      <w:pPr>
        <w:spacing w:after="0" w:line="300" w:lineRule="auto"/>
        <w:contextualSpacing/>
        <w:jc w:val="both"/>
        <w:rPr>
          <w:rFonts w:ascii="Verdana" w:hAnsi="Verdana" w:cstheme="minorHAnsi"/>
          <w:b/>
          <w:sz w:val="20"/>
          <w:szCs w:val="20"/>
        </w:rPr>
      </w:pPr>
    </w:p>
    <w:p w14:paraId="6284FC9B" w14:textId="768A4A33" w:rsidR="00D83776" w:rsidRPr="004558B3" w:rsidRDefault="004558B3" w:rsidP="004558B3">
      <w:pPr>
        <w:spacing w:after="0" w:line="300" w:lineRule="auto"/>
        <w:contextualSpacing/>
        <w:jc w:val="both"/>
        <w:rPr>
          <w:rFonts w:ascii="Verdana" w:hAnsi="Verdana" w:cstheme="minorHAnsi"/>
          <w:b/>
          <w:sz w:val="20"/>
          <w:szCs w:val="20"/>
        </w:rPr>
      </w:pPr>
      <w:r w:rsidRPr="004558B3">
        <w:rPr>
          <w:rFonts w:ascii="Verdana" w:hAnsi="Verdana" w:cstheme="minorHAnsi"/>
          <w:b/>
          <w:sz w:val="20"/>
          <w:szCs w:val="20"/>
        </w:rPr>
        <w:lastRenderedPageBreak/>
        <w:t>Fosil yakıtların kullanımı artmaya devam ediyor</w:t>
      </w:r>
    </w:p>
    <w:p w14:paraId="63B9ADE5" w14:textId="13E8ECED" w:rsidR="004558B3" w:rsidRDefault="004558B3" w:rsidP="00D83776">
      <w:pPr>
        <w:spacing w:after="0" w:line="300" w:lineRule="auto"/>
        <w:contextualSpacing/>
        <w:jc w:val="both"/>
        <w:rPr>
          <w:rFonts w:ascii="Verdana" w:hAnsi="Verdana" w:cstheme="minorHAnsi"/>
          <w:bCs/>
          <w:sz w:val="20"/>
          <w:szCs w:val="20"/>
        </w:rPr>
      </w:pPr>
      <w:r w:rsidRPr="004558B3">
        <w:rPr>
          <w:rFonts w:ascii="Verdana" w:hAnsi="Verdana" w:cstheme="minorHAnsi"/>
          <w:bCs/>
          <w:sz w:val="20"/>
          <w:szCs w:val="20"/>
        </w:rPr>
        <w:t xml:space="preserve">Temiz enerjideki hızlı büyümeye </w:t>
      </w:r>
      <w:r>
        <w:rPr>
          <w:rFonts w:ascii="Verdana" w:hAnsi="Verdana" w:cstheme="minorHAnsi"/>
          <w:bCs/>
          <w:sz w:val="20"/>
          <w:szCs w:val="20"/>
        </w:rPr>
        <w:t>rağmen</w:t>
      </w:r>
      <w:r w:rsidRPr="004558B3">
        <w:rPr>
          <w:rFonts w:ascii="Verdana" w:hAnsi="Verdana" w:cstheme="minorHAnsi"/>
          <w:bCs/>
          <w:sz w:val="20"/>
          <w:szCs w:val="20"/>
        </w:rPr>
        <w:t xml:space="preserve">, fosil yakıtlar küresel enerji dengesinin merkezinde yer almaya devam ediyor. 2024 yılında küresel petrol üretimi </w:t>
      </w:r>
      <w:r>
        <w:rPr>
          <w:rFonts w:ascii="Verdana" w:hAnsi="Verdana" w:cstheme="minorHAnsi"/>
          <w:bCs/>
          <w:sz w:val="20"/>
          <w:szCs w:val="20"/>
        </w:rPr>
        <w:t xml:space="preserve">yüzde </w:t>
      </w:r>
      <w:r w:rsidRPr="004558B3">
        <w:rPr>
          <w:rFonts w:ascii="Verdana" w:hAnsi="Verdana" w:cstheme="minorHAnsi"/>
          <w:bCs/>
          <w:sz w:val="20"/>
          <w:szCs w:val="20"/>
        </w:rPr>
        <w:t xml:space="preserve">0,6 artarak günlük 97 milyon varile ulaştı; bunun </w:t>
      </w:r>
      <w:r>
        <w:rPr>
          <w:rFonts w:ascii="Verdana" w:hAnsi="Verdana" w:cstheme="minorHAnsi"/>
          <w:bCs/>
          <w:sz w:val="20"/>
          <w:szCs w:val="20"/>
        </w:rPr>
        <w:t xml:space="preserve">yüzde </w:t>
      </w:r>
      <w:r w:rsidRPr="004558B3">
        <w:rPr>
          <w:rFonts w:ascii="Verdana" w:hAnsi="Verdana" w:cstheme="minorHAnsi"/>
          <w:bCs/>
          <w:sz w:val="20"/>
          <w:szCs w:val="20"/>
        </w:rPr>
        <w:t>66’sı OPEC dışındaki ülkelerden sağlandı. ABD ise tarihinde ilk kez günlük 20 milyon varilin üzerinde petrol üreterek Suudi Arabistan ve Rusya’nın toplam üretimini geride bıraktı.</w:t>
      </w:r>
    </w:p>
    <w:p w14:paraId="6175C2A0" w14:textId="77777777" w:rsidR="00D83776" w:rsidRPr="00D83776" w:rsidRDefault="00D83776" w:rsidP="00D83776">
      <w:pPr>
        <w:spacing w:after="0" w:line="300" w:lineRule="auto"/>
        <w:contextualSpacing/>
        <w:jc w:val="both"/>
        <w:rPr>
          <w:rFonts w:ascii="Verdana" w:hAnsi="Verdana" w:cstheme="minorHAnsi"/>
          <w:bCs/>
          <w:sz w:val="20"/>
          <w:szCs w:val="20"/>
        </w:rPr>
      </w:pPr>
    </w:p>
    <w:p w14:paraId="71153FAA" w14:textId="551D5D79" w:rsidR="00EA0F6F" w:rsidRDefault="007850A8" w:rsidP="00D83776">
      <w:pPr>
        <w:spacing w:after="0" w:line="300" w:lineRule="auto"/>
        <w:contextualSpacing/>
        <w:jc w:val="both"/>
        <w:rPr>
          <w:rFonts w:ascii="Verdana" w:hAnsi="Verdana" w:cstheme="minorHAnsi"/>
          <w:b/>
          <w:sz w:val="20"/>
          <w:szCs w:val="20"/>
        </w:rPr>
      </w:pPr>
      <w:r>
        <w:rPr>
          <w:rFonts w:ascii="Verdana" w:hAnsi="Verdana" w:cstheme="minorHAnsi"/>
          <w:b/>
          <w:sz w:val="20"/>
          <w:szCs w:val="20"/>
        </w:rPr>
        <w:t>Çin yenilenebilir enerjide liderliğini pekiştiriyor</w:t>
      </w:r>
    </w:p>
    <w:p w14:paraId="269E9FD9" w14:textId="38E43A37" w:rsidR="00D83776" w:rsidRPr="00D83776" w:rsidRDefault="007850A8" w:rsidP="00D83776">
      <w:pPr>
        <w:spacing w:after="0" w:line="300" w:lineRule="auto"/>
        <w:contextualSpacing/>
        <w:jc w:val="both"/>
        <w:rPr>
          <w:rFonts w:ascii="Verdana" w:hAnsi="Verdana" w:cstheme="minorHAnsi"/>
          <w:bCs/>
          <w:sz w:val="20"/>
          <w:szCs w:val="20"/>
        </w:rPr>
      </w:pPr>
      <w:r w:rsidRPr="007850A8">
        <w:rPr>
          <w:rFonts w:ascii="Verdana" w:hAnsi="Verdana" w:cstheme="minorHAnsi"/>
          <w:bCs/>
          <w:sz w:val="20"/>
          <w:szCs w:val="20"/>
        </w:rPr>
        <w:t xml:space="preserve">ABD ve Avrupa fosil yakıt kullanımında durağan </w:t>
      </w:r>
      <w:r>
        <w:rPr>
          <w:rFonts w:ascii="Verdana" w:hAnsi="Verdana" w:cstheme="minorHAnsi"/>
          <w:bCs/>
          <w:sz w:val="20"/>
          <w:szCs w:val="20"/>
        </w:rPr>
        <w:t xml:space="preserve">bir </w:t>
      </w:r>
      <w:r w:rsidRPr="007850A8">
        <w:rPr>
          <w:rFonts w:ascii="Verdana" w:hAnsi="Verdana" w:cstheme="minorHAnsi"/>
          <w:bCs/>
          <w:sz w:val="20"/>
          <w:szCs w:val="20"/>
        </w:rPr>
        <w:t>sürec</w:t>
      </w:r>
      <w:r>
        <w:rPr>
          <w:rFonts w:ascii="Verdana" w:hAnsi="Verdana" w:cstheme="minorHAnsi"/>
          <w:bCs/>
          <w:sz w:val="20"/>
          <w:szCs w:val="20"/>
        </w:rPr>
        <w:t>e</w:t>
      </w:r>
      <w:r w:rsidRPr="007850A8">
        <w:rPr>
          <w:rFonts w:ascii="Verdana" w:hAnsi="Verdana" w:cstheme="minorHAnsi"/>
          <w:bCs/>
          <w:sz w:val="20"/>
          <w:szCs w:val="20"/>
        </w:rPr>
        <w:t xml:space="preserve"> girmiş </w:t>
      </w:r>
      <w:r>
        <w:rPr>
          <w:rFonts w:ascii="Verdana" w:hAnsi="Verdana" w:cstheme="minorHAnsi"/>
          <w:bCs/>
          <w:sz w:val="20"/>
          <w:szCs w:val="20"/>
        </w:rPr>
        <w:t xml:space="preserve">görünse de </w:t>
      </w:r>
      <w:r w:rsidRPr="007850A8">
        <w:rPr>
          <w:rFonts w:ascii="Verdana" w:hAnsi="Verdana" w:cstheme="minorHAnsi"/>
          <w:bCs/>
          <w:sz w:val="20"/>
          <w:szCs w:val="20"/>
        </w:rPr>
        <w:t>Avrupa’daki yenilenebilir enerji yatırımları artan faiz oranları ve tedarik zinciri baskılarından dolayı yavaşladı. Öte yandan Çin</w:t>
      </w:r>
      <w:r>
        <w:rPr>
          <w:rFonts w:ascii="Verdana" w:hAnsi="Verdana" w:cstheme="minorHAnsi"/>
          <w:bCs/>
          <w:sz w:val="20"/>
          <w:szCs w:val="20"/>
        </w:rPr>
        <w:t>,</w:t>
      </w:r>
      <w:r w:rsidRPr="007850A8">
        <w:rPr>
          <w:rFonts w:ascii="Verdana" w:hAnsi="Verdana" w:cstheme="minorHAnsi"/>
          <w:bCs/>
          <w:sz w:val="20"/>
          <w:szCs w:val="20"/>
        </w:rPr>
        <w:t xml:space="preserve"> 2024 yılında ABD, Avrupa ve Hindistan’ın toplamından daha fazla yenilenebilir enerji kapasitesi</w:t>
      </w:r>
      <w:r>
        <w:rPr>
          <w:rFonts w:ascii="Verdana" w:hAnsi="Verdana" w:cstheme="minorHAnsi"/>
          <w:bCs/>
          <w:sz w:val="20"/>
          <w:szCs w:val="20"/>
        </w:rPr>
        <w:t>ni</w:t>
      </w:r>
      <w:r w:rsidRPr="007850A8">
        <w:rPr>
          <w:rFonts w:ascii="Verdana" w:hAnsi="Verdana" w:cstheme="minorHAnsi"/>
          <w:bCs/>
          <w:sz w:val="20"/>
          <w:szCs w:val="20"/>
        </w:rPr>
        <w:t xml:space="preserve"> devreye alarak küresel enerji dönüşümündeki liderliğini </w:t>
      </w:r>
      <w:r>
        <w:rPr>
          <w:rFonts w:ascii="Verdana" w:hAnsi="Verdana" w:cstheme="minorHAnsi"/>
          <w:bCs/>
          <w:sz w:val="20"/>
          <w:szCs w:val="20"/>
        </w:rPr>
        <w:t>güçlendirdi</w:t>
      </w:r>
      <w:r w:rsidRPr="007850A8">
        <w:rPr>
          <w:rFonts w:ascii="Verdana" w:hAnsi="Verdana" w:cstheme="minorHAnsi"/>
          <w:bCs/>
          <w:sz w:val="20"/>
          <w:szCs w:val="20"/>
        </w:rPr>
        <w:t>.</w:t>
      </w:r>
    </w:p>
    <w:p w14:paraId="2E670799" w14:textId="77777777" w:rsidR="00D83776" w:rsidRPr="00D83776" w:rsidRDefault="00D83776" w:rsidP="00D83776">
      <w:pPr>
        <w:spacing w:after="0" w:line="300" w:lineRule="auto"/>
        <w:contextualSpacing/>
        <w:jc w:val="both"/>
        <w:rPr>
          <w:rFonts w:ascii="Verdana" w:hAnsi="Verdana" w:cstheme="minorHAnsi"/>
          <w:bCs/>
          <w:sz w:val="20"/>
          <w:szCs w:val="20"/>
        </w:rPr>
      </w:pPr>
    </w:p>
    <w:p w14:paraId="419B4229" w14:textId="4301F37E" w:rsidR="00D83776" w:rsidRPr="00D83776" w:rsidRDefault="007850A8" w:rsidP="00D83776">
      <w:pPr>
        <w:spacing w:after="0" w:line="300" w:lineRule="auto"/>
        <w:contextualSpacing/>
        <w:jc w:val="both"/>
        <w:rPr>
          <w:rFonts w:ascii="Verdana" w:hAnsi="Verdana" w:cstheme="minorHAnsi"/>
          <w:b/>
          <w:sz w:val="20"/>
          <w:szCs w:val="20"/>
        </w:rPr>
      </w:pPr>
      <w:r w:rsidRPr="007850A8">
        <w:rPr>
          <w:rFonts w:ascii="Verdana" w:hAnsi="Verdana" w:cstheme="minorHAnsi"/>
          <w:b/>
          <w:sz w:val="20"/>
          <w:szCs w:val="20"/>
        </w:rPr>
        <w:t>Rüzg</w:t>
      </w:r>
      <w:r>
        <w:rPr>
          <w:rFonts w:ascii="Verdana" w:hAnsi="Verdana" w:cstheme="minorHAnsi"/>
          <w:b/>
          <w:sz w:val="20"/>
          <w:szCs w:val="20"/>
        </w:rPr>
        <w:t>â</w:t>
      </w:r>
      <w:r w:rsidRPr="007850A8">
        <w:rPr>
          <w:rFonts w:ascii="Verdana" w:hAnsi="Verdana" w:cstheme="minorHAnsi"/>
          <w:b/>
          <w:sz w:val="20"/>
          <w:szCs w:val="20"/>
        </w:rPr>
        <w:t>r ve güneş enerjisi büyümeye öncülük ediyor</w:t>
      </w:r>
    </w:p>
    <w:p w14:paraId="45A8951A" w14:textId="23820CAC" w:rsidR="007850A8" w:rsidRDefault="007850A8" w:rsidP="00D83776">
      <w:pPr>
        <w:spacing w:after="0" w:line="300" w:lineRule="auto"/>
        <w:contextualSpacing/>
        <w:jc w:val="both"/>
        <w:rPr>
          <w:rFonts w:ascii="Verdana" w:hAnsi="Verdana" w:cstheme="minorHAnsi"/>
          <w:bCs/>
          <w:sz w:val="20"/>
          <w:szCs w:val="20"/>
        </w:rPr>
      </w:pPr>
      <w:r w:rsidRPr="007850A8">
        <w:rPr>
          <w:rFonts w:ascii="Verdana" w:hAnsi="Verdana" w:cstheme="minorHAnsi"/>
          <w:bCs/>
          <w:sz w:val="20"/>
          <w:szCs w:val="20"/>
        </w:rPr>
        <w:t>Rüzg</w:t>
      </w:r>
      <w:r>
        <w:rPr>
          <w:rFonts w:ascii="Verdana" w:hAnsi="Verdana" w:cstheme="minorHAnsi"/>
          <w:bCs/>
          <w:sz w:val="20"/>
          <w:szCs w:val="20"/>
        </w:rPr>
        <w:t>â</w:t>
      </w:r>
      <w:r w:rsidRPr="007850A8">
        <w:rPr>
          <w:rFonts w:ascii="Verdana" w:hAnsi="Verdana" w:cstheme="minorHAnsi"/>
          <w:bCs/>
          <w:sz w:val="20"/>
          <w:szCs w:val="20"/>
        </w:rPr>
        <w:t>r</w:t>
      </w:r>
      <w:r>
        <w:rPr>
          <w:rFonts w:ascii="Verdana" w:hAnsi="Verdana" w:cstheme="minorHAnsi"/>
          <w:bCs/>
          <w:sz w:val="20"/>
          <w:szCs w:val="20"/>
        </w:rPr>
        <w:t xml:space="preserve"> </w:t>
      </w:r>
      <w:r w:rsidRPr="007850A8">
        <w:rPr>
          <w:rFonts w:ascii="Verdana" w:hAnsi="Verdana" w:cstheme="minorHAnsi"/>
          <w:bCs/>
          <w:sz w:val="20"/>
          <w:szCs w:val="20"/>
        </w:rPr>
        <w:t xml:space="preserve">ve güneş enerjisinin toplam üretimi 2024 yılında </w:t>
      </w:r>
      <w:r>
        <w:rPr>
          <w:rFonts w:ascii="Verdana" w:hAnsi="Verdana" w:cstheme="minorHAnsi"/>
          <w:bCs/>
          <w:sz w:val="20"/>
          <w:szCs w:val="20"/>
        </w:rPr>
        <w:t xml:space="preserve">yüzde </w:t>
      </w:r>
      <w:r w:rsidRPr="007850A8">
        <w:rPr>
          <w:rFonts w:ascii="Verdana" w:hAnsi="Verdana" w:cstheme="minorHAnsi"/>
          <w:bCs/>
          <w:sz w:val="20"/>
          <w:szCs w:val="20"/>
        </w:rPr>
        <w:t>16’nın üzerinde arttı</w:t>
      </w:r>
      <w:r>
        <w:rPr>
          <w:rFonts w:ascii="Verdana" w:hAnsi="Verdana" w:cstheme="minorHAnsi"/>
          <w:bCs/>
          <w:sz w:val="20"/>
          <w:szCs w:val="20"/>
        </w:rPr>
        <w:t>. B</w:t>
      </w:r>
      <w:r w:rsidRPr="007850A8">
        <w:rPr>
          <w:rFonts w:ascii="Verdana" w:hAnsi="Verdana" w:cstheme="minorHAnsi"/>
          <w:bCs/>
          <w:sz w:val="20"/>
          <w:szCs w:val="20"/>
        </w:rPr>
        <w:t>u oran, toplam enerji talebindeki artış hızının neredeyse dokuz katı. Ancak yenilenebilir enerji kaynakları, özellikle altyapı ve yatırım</w:t>
      </w:r>
      <w:r>
        <w:rPr>
          <w:rFonts w:ascii="Verdana" w:hAnsi="Verdana" w:cstheme="minorHAnsi"/>
          <w:bCs/>
          <w:sz w:val="20"/>
          <w:szCs w:val="20"/>
        </w:rPr>
        <w:t xml:space="preserve">ın yetersiz olduğu </w:t>
      </w:r>
      <w:r w:rsidRPr="007850A8">
        <w:rPr>
          <w:rFonts w:ascii="Verdana" w:hAnsi="Verdana" w:cstheme="minorHAnsi"/>
          <w:bCs/>
          <w:sz w:val="20"/>
          <w:szCs w:val="20"/>
        </w:rPr>
        <w:t>bölgelerde, hızla artan küresel enerji ihtiyacını tek başına karşılamak için hâlâ yetersiz.</w:t>
      </w:r>
    </w:p>
    <w:p w14:paraId="08125924" w14:textId="77777777" w:rsidR="007850A8" w:rsidRDefault="007850A8" w:rsidP="00D83776">
      <w:pPr>
        <w:spacing w:after="0" w:line="300" w:lineRule="auto"/>
        <w:contextualSpacing/>
        <w:jc w:val="both"/>
        <w:rPr>
          <w:rFonts w:ascii="Verdana" w:hAnsi="Verdana" w:cstheme="minorHAnsi"/>
          <w:b/>
          <w:sz w:val="20"/>
          <w:szCs w:val="20"/>
        </w:rPr>
      </w:pPr>
    </w:p>
    <w:p w14:paraId="29EE3BB6" w14:textId="38F41350" w:rsidR="00D83776" w:rsidRPr="00D83776" w:rsidRDefault="007850A8" w:rsidP="00D83776">
      <w:pPr>
        <w:spacing w:after="0" w:line="300" w:lineRule="auto"/>
        <w:contextualSpacing/>
        <w:jc w:val="both"/>
        <w:rPr>
          <w:rFonts w:ascii="Verdana" w:hAnsi="Verdana" w:cstheme="minorHAnsi"/>
          <w:b/>
          <w:sz w:val="20"/>
          <w:szCs w:val="20"/>
        </w:rPr>
      </w:pPr>
      <w:r w:rsidRPr="007850A8">
        <w:rPr>
          <w:rFonts w:ascii="Verdana" w:hAnsi="Verdana" w:cstheme="minorHAnsi"/>
          <w:b/>
          <w:sz w:val="20"/>
          <w:szCs w:val="20"/>
        </w:rPr>
        <w:t>Gelişmekte olan piyasalar, dönüşümün merkezin</w:t>
      </w:r>
      <w:r>
        <w:rPr>
          <w:rFonts w:ascii="Verdana" w:hAnsi="Verdana" w:cstheme="minorHAnsi"/>
          <w:b/>
          <w:sz w:val="20"/>
          <w:szCs w:val="20"/>
        </w:rPr>
        <w:t>de</w:t>
      </w:r>
      <w:r w:rsidRPr="007850A8">
        <w:rPr>
          <w:rFonts w:ascii="Verdana" w:hAnsi="Verdana" w:cstheme="minorHAnsi"/>
          <w:b/>
          <w:sz w:val="20"/>
          <w:szCs w:val="20"/>
        </w:rPr>
        <w:t xml:space="preserve"> </w:t>
      </w:r>
    </w:p>
    <w:p w14:paraId="33757DCC" w14:textId="184FBB67" w:rsidR="00D83776" w:rsidRPr="00D83776" w:rsidRDefault="004C0673" w:rsidP="00D83776">
      <w:pPr>
        <w:spacing w:after="0" w:line="300" w:lineRule="auto"/>
        <w:contextualSpacing/>
        <w:jc w:val="both"/>
        <w:rPr>
          <w:rFonts w:ascii="Verdana" w:hAnsi="Verdana" w:cstheme="minorHAnsi"/>
          <w:bCs/>
          <w:sz w:val="20"/>
          <w:szCs w:val="20"/>
        </w:rPr>
      </w:pPr>
      <w:r w:rsidRPr="004C0673">
        <w:rPr>
          <w:rFonts w:ascii="Verdana" w:hAnsi="Verdana" w:cstheme="minorHAnsi"/>
          <w:bCs/>
          <w:sz w:val="20"/>
          <w:szCs w:val="20"/>
        </w:rPr>
        <w:t>Son on yılda, OECD dışı ülkeler yenilenebilir enerji yatırımlarını OECD ülkelerine göre iki kat daha hızlı artırmaya devam ediyor. Enerji talebi ve yatırımlar da giderek bu hızlı büyüyen pazarlara yöneliyor.</w:t>
      </w:r>
    </w:p>
    <w:p w14:paraId="52090F18" w14:textId="77777777" w:rsidR="00A52F60" w:rsidRDefault="00A52F60" w:rsidP="00A52F60">
      <w:pPr>
        <w:spacing w:after="0" w:line="300" w:lineRule="auto"/>
        <w:contextualSpacing/>
        <w:jc w:val="both"/>
        <w:rPr>
          <w:rFonts w:ascii="Verdana" w:hAnsi="Verdana" w:cstheme="minorHAnsi"/>
          <w:bCs/>
          <w:sz w:val="20"/>
          <w:szCs w:val="20"/>
        </w:rPr>
      </w:pPr>
    </w:p>
    <w:p w14:paraId="69A8B256" w14:textId="085A55A2" w:rsidR="00076763" w:rsidRDefault="005A45D3" w:rsidP="00306B51">
      <w:pPr>
        <w:spacing w:after="0" w:line="300" w:lineRule="auto"/>
        <w:contextualSpacing/>
        <w:jc w:val="both"/>
        <w:rPr>
          <w:rFonts w:ascii="Verdana" w:hAnsi="Verdana" w:cs="Arial"/>
          <w:sz w:val="20"/>
          <w:szCs w:val="20"/>
        </w:rPr>
      </w:pPr>
      <w:r w:rsidRPr="003D42E8">
        <w:rPr>
          <w:rFonts w:ascii="Verdana" w:hAnsi="Verdana" w:cs="Arial"/>
          <w:sz w:val="20"/>
          <w:szCs w:val="20"/>
        </w:rPr>
        <w:t>Raporun</w:t>
      </w:r>
      <w:r w:rsidR="00FE5C3B" w:rsidRPr="003D42E8">
        <w:rPr>
          <w:rFonts w:ascii="Verdana" w:hAnsi="Verdana" w:cs="Arial"/>
          <w:sz w:val="20"/>
          <w:szCs w:val="20"/>
        </w:rPr>
        <w:t xml:space="preserve"> </w:t>
      </w:r>
      <w:r w:rsidR="00076763" w:rsidRPr="003D42E8">
        <w:rPr>
          <w:rFonts w:ascii="Verdana" w:hAnsi="Verdana" w:cs="Arial"/>
          <w:sz w:val="20"/>
          <w:szCs w:val="20"/>
        </w:rPr>
        <w:t xml:space="preserve">tamamına </w:t>
      </w:r>
      <w:hyperlink r:id="rId11" w:history="1">
        <w:r w:rsidR="00076763" w:rsidRPr="005A64FA">
          <w:rPr>
            <w:rStyle w:val="Kpr"/>
            <w:rFonts w:ascii="Verdana" w:hAnsi="Verdana" w:cs="Arial"/>
            <w:sz w:val="20"/>
            <w:szCs w:val="20"/>
          </w:rPr>
          <w:t>bura</w:t>
        </w:r>
        <w:r w:rsidR="00076763" w:rsidRPr="005A64FA">
          <w:rPr>
            <w:rStyle w:val="Kpr"/>
            <w:rFonts w:ascii="Verdana" w:hAnsi="Verdana" w:cs="Arial"/>
            <w:sz w:val="20"/>
            <w:szCs w:val="20"/>
          </w:rPr>
          <w:t>d</w:t>
        </w:r>
        <w:r w:rsidR="00076763" w:rsidRPr="005A64FA">
          <w:rPr>
            <w:rStyle w:val="Kpr"/>
            <w:rFonts w:ascii="Verdana" w:hAnsi="Verdana" w:cs="Arial"/>
            <w:sz w:val="20"/>
            <w:szCs w:val="20"/>
          </w:rPr>
          <w:t>an</w:t>
        </w:r>
      </w:hyperlink>
      <w:r w:rsidR="00076763" w:rsidRPr="003D42E8">
        <w:rPr>
          <w:rFonts w:ascii="Verdana" w:hAnsi="Verdana" w:cs="Arial"/>
          <w:sz w:val="20"/>
          <w:szCs w:val="20"/>
        </w:rPr>
        <w:t xml:space="preserve"> ulaşabilirsiniz.</w:t>
      </w:r>
    </w:p>
    <w:p w14:paraId="7C0BF5AE" w14:textId="77777777" w:rsidR="00F76289" w:rsidRPr="00C04F26" w:rsidRDefault="00F76289" w:rsidP="00C04F26">
      <w:pPr>
        <w:spacing w:after="0" w:line="300" w:lineRule="auto"/>
        <w:contextualSpacing/>
        <w:jc w:val="both"/>
        <w:rPr>
          <w:rFonts w:ascii="Verdana" w:hAnsi="Verdana" w:cstheme="minorHAnsi"/>
          <w:sz w:val="20"/>
          <w:szCs w:val="20"/>
        </w:rPr>
      </w:pPr>
    </w:p>
    <w:p w14:paraId="616FBB04" w14:textId="77777777" w:rsidR="00E370EB" w:rsidRPr="00DE1C30" w:rsidRDefault="00E370EB" w:rsidP="53978CCA">
      <w:pPr>
        <w:pStyle w:val="paragraph"/>
        <w:spacing w:before="0" w:beforeAutospacing="0" w:after="0" w:afterAutospacing="0"/>
        <w:jc w:val="both"/>
        <w:textAlignment w:val="baseline"/>
        <w:rPr>
          <w:rFonts w:asciiTheme="minorHAnsi" w:hAnsiTheme="minorHAnsi" w:cstheme="minorBidi"/>
          <w:sz w:val="18"/>
          <w:szCs w:val="18"/>
        </w:rPr>
      </w:pPr>
      <w:r w:rsidRPr="00DE1C30">
        <w:rPr>
          <w:rStyle w:val="normaltextrun"/>
          <w:rFonts w:asciiTheme="minorHAnsi" w:hAnsiTheme="minorHAnsi" w:cstheme="minorBidi"/>
          <w:b/>
          <w:bCs/>
          <w:sz w:val="18"/>
          <w:szCs w:val="18"/>
        </w:rPr>
        <w:t xml:space="preserve">Bilgi için: </w:t>
      </w:r>
      <w:r w:rsidRPr="00633D09">
        <w:tab/>
      </w:r>
      <w:r w:rsidRPr="00DE1C30">
        <w:rPr>
          <w:rStyle w:val="eop"/>
          <w:rFonts w:asciiTheme="minorHAnsi" w:hAnsiTheme="minorHAnsi" w:cstheme="minorBidi"/>
          <w:sz w:val="18"/>
          <w:szCs w:val="18"/>
        </w:rPr>
        <w:t> </w:t>
      </w:r>
    </w:p>
    <w:p w14:paraId="166662D2" w14:textId="77777777" w:rsidR="00E370EB" w:rsidRPr="00DE1C30" w:rsidRDefault="00E370EB" w:rsidP="53978CCA">
      <w:pPr>
        <w:pStyle w:val="paragraph"/>
        <w:spacing w:before="0" w:beforeAutospacing="0" w:after="0" w:afterAutospacing="0"/>
        <w:jc w:val="both"/>
        <w:textAlignment w:val="baseline"/>
        <w:rPr>
          <w:rFonts w:asciiTheme="minorHAnsi" w:hAnsiTheme="minorHAnsi" w:cstheme="minorBidi"/>
          <w:sz w:val="18"/>
          <w:szCs w:val="18"/>
        </w:rPr>
      </w:pPr>
      <w:r w:rsidRPr="00DE1C30">
        <w:rPr>
          <w:rStyle w:val="normaltextrun"/>
          <w:rFonts w:asciiTheme="minorHAnsi" w:hAnsiTheme="minorHAnsi"/>
          <w:color w:val="000000" w:themeColor="text1"/>
          <w:sz w:val="18"/>
        </w:rPr>
        <w:t>Ceren Moral Aru</w:t>
      </w:r>
      <w:r w:rsidRPr="00DE1C30">
        <w:rPr>
          <w:rStyle w:val="eop"/>
          <w:rFonts w:asciiTheme="minorHAnsi" w:hAnsiTheme="minorHAnsi"/>
          <w:color w:val="000000" w:themeColor="text1"/>
          <w:sz w:val="18"/>
        </w:rPr>
        <w:t> </w:t>
      </w:r>
    </w:p>
    <w:p w14:paraId="70E9C803" w14:textId="77777777" w:rsidR="00E370EB" w:rsidRPr="00DE1C30" w:rsidRDefault="00E370EB" w:rsidP="53978CCA">
      <w:pPr>
        <w:pStyle w:val="paragraph"/>
        <w:spacing w:before="0" w:beforeAutospacing="0" w:after="0" w:afterAutospacing="0"/>
        <w:jc w:val="both"/>
        <w:textAlignment w:val="baseline"/>
        <w:rPr>
          <w:rFonts w:asciiTheme="minorHAnsi" w:hAnsiTheme="minorHAnsi" w:cstheme="minorBidi"/>
          <w:sz w:val="18"/>
          <w:szCs w:val="18"/>
        </w:rPr>
      </w:pPr>
      <w:r w:rsidRPr="00DE1C30">
        <w:rPr>
          <w:rStyle w:val="normaltextrun"/>
          <w:rFonts w:asciiTheme="minorHAnsi" w:hAnsiTheme="minorHAnsi"/>
          <w:color w:val="000000" w:themeColor="text1"/>
          <w:sz w:val="18"/>
        </w:rPr>
        <w:t>0533 921 43 53</w:t>
      </w:r>
      <w:r w:rsidRPr="00DE1C30">
        <w:rPr>
          <w:rStyle w:val="eop"/>
          <w:rFonts w:asciiTheme="minorHAnsi" w:hAnsiTheme="minorHAnsi"/>
          <w:color w:val="000000" w:themeColor="text1"/>
          <w:sz w:val="18"/>
        </w:rPr>
        <w:t> </w:t>
      </w:r>
    </w:p>
    <w:p w14:paraId="53AAFDFF" w14:textId="77777777" w:rsidR="00E370EB" w:rsidRPr="00DE1C30" w:rsidRDefault="00E370EB" w:rsidP="53978CCA">
      <w:pPr>
        <w:pStyle w:val="paragraph"/>
        <w:spacing w:before="0" w:beforeAutospacing="0" w:after="0" w:afterAutospacing="0"/>
        <w:jc w:val="both"/>
        <w:textAlignment w:val="baseline"/>
        <w:rPr>
          <w:rFonts w:asciiTheme="minorHAnsi" w:hAnsiTheme="minorHAnsi" w:cstheme="minorBidi"/>
          <w:sz w:val="18"/>
          <w:szCs w:val="18"/>
        </w:rPr>
      </w:pPr>
      <w:r w:rsidRPr="00DE1C30">
        <w:rPr>
          <w:rStyle w:val="normaltextrun"/>
          <w:rFonts w:asciiTheme="minorHAnsi" w:hAnsiTheme="minorHAnsi"/>
          <w:color w:val="000000" w:themeColor="text1"/>
          <w:sz w:val="18"/>
        </w:rPr>
        <w:t>cerenm@marjinal.com.tr</w:t>
      </w:r>
      <w:r w:rsidRPr="00DE1C30">
        <w:rPr>
          <w:rStyle w:val="eop"/>
          <w:rFonts w:asciiTheme="minorHAnsi" w:hAnsiTheme="minorHAnsi"/>
          <w:color w:val="000000" w:themeColor="text1"/>
          <w:sz w:val="18"/>
        </w:rPr>
        <w:t> </w:t>
      </w:r>
    </w:p>
    <w:p w14:paraId="61DEF07C" w14:textId="77777777" w:rsidR="00E370EB" w:rsidRPr="00DE1C30" w:rsidRDefault="00E370EB" w:rsidP="53978CCA">
      <w:pPr>
        <w:pStyle w:val="paragraph"/>
        <w:spacing w:before="0" w:beforeAutospacing="0" w:after="0" w:afterAutospacing="0"/>
        <w:jc w:val="both"/>
        <w:textAlignment w:val="baseline"/>
        <w:rPr>
          <w:rFonts w:asciiTheme="minorHAnsi" w:hAnsiTheme="minorHAnsi" w:cstheme="minorBidi"/>
          <w:sz w:val="18"/>
          <w:szCs w:val="18"/>
        </w:rPr>
      </w:pPr>
      <w:r w:rsidRPr="00DE1C30">
        <w:rPr>
          <w:rStyle w:val="eop"/>
          <w:rFonts w:asciiTheme="minorHAnsi" w:hAnsiTheme="minorHAnsi" w:cstheme="minorBidi"/>
          <w:sz w:val="18"/>
          <w:szCs w:val="18"/>
        </w:rPr>
        <w:t> </w:t>
      </w:r>
    </w:p>
    <w:p w14:paraId="40BC9E83" w14:textId="77777777" w:rsidR="00E370EB" w:rsidRPr="00DE1C30" w:rsidRDefault="00E370EB" w:rsidP="53978CCA">
      <w:pPr>
        <w:pStyle w:val="paragraph"/>
        <w:spacing w:before="0" w:beforeAutospacing="0" w:after="0" w:afterAutospacing="0"/>
        <w:contextualSpacing/>
        <w:jc w:val="both"/>
        <w:textAlignment w:val="baseline"/>
        <w:rPr>
          <w:rFonts w:asciiTheme="minorHAnsi" w:hAnsiTheme="minorHAnsi" w:cstheme="minorBidi"/>
          <w:sz w:val="16"/>
          <w:szCs w:val="16"/>
        </w:rPr>
      </w:pPr>
      <w:r w:rsidRPr="00DE1C30">
        <w:rPr>
          <w:rStyle w:val="normaltextrun"/>
          <w:rFonts w:asciiTheme="minorHAnsi" w:hAnsiTheme="minorHAnsi" w:cstheme="minorBidi"/>
          <w:b/>
          <w:bCs/>
          <w:sz w:val="16"/>
          <w:szCs w:val="16"/>
        </w:rPr>
        <w:t>KPMG Hakkında</w:t>
      </w:r>
      <w:r w:rsidRPr="00DE1C30">
        <w:rPr>
          <w:rStyle w:val="eop"/>
          <w:rFonts w:asciiTheme="minorHAnsi" w:hAnsiTheme="minorHAnsi" w:cstheme="minorBidi"/>
          <w:sz w:val="16"/>
          <w:szCs w:val="16"/>
        </w:rPr>
        <w:t> </w:t>
      </w:r>
    </w:p>
    <w:p w14:paraId="2AB1866D" w14:textId="6A1EAFDD" w:rsidR="00376CAF" w:rsidRPr="00DE1C30" w:rsidRDefault="00E370EB" w:rsidP="53978CCA">
      <w:pPr>
        <w:pStyle w:val="paragraph"/>
        <w:spacing w:before="0" w:beforeAutospacing="0" w:after="0" w:afterAutospacing="0"/>
        <w:contextualSpacing/>
        <w:jc w:val="both"/>
        <w:textAlignment w:val="baseline"/>
        <w:rPr>
          <w:rFonts w:asciiTheme="minorHAnsi" w:hAnsiTheme="minorHAnsi"/>
          <w:sz w:val="16"/>
          <w:szCs w:val="16"/>
        </w:rPr>
      </w:pPr>
      <w:r w:rsidRPr="00DE1C30">
        <w:rPr>
          <w:rStyle w:val="normaltextrun"/>
          <w:rFonts w:asciiTheme="minorHAnsi" w:hAnsiTheme="minorHAnsi" w:cstheme="minorBidi"/>
          <w:color w:val="000000" w:themeColor="text1"/>
          <w:sz w:val="16"/>
          <w:szCs w:val="16"/>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yaklaşık 1.700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r:id="rId12">
        <w:r w:rsidRPr="00DE1C30">
          <w:rPr>
            <w:rStyle w:val="Kpr"/>
            <w:rFonts w:asciiTheme="minorHAnsi" w:hAnsiTheme="minorHAnsi" w:cstheme="minorBidi"/>
            <w:sz w:val="16"/>
            <w:szCs w:val="16"/>
          </w:rPr>
          <w:t>www.kpmg.com.tr</w:t>
        </w:r>
      </w:hyperlink>
      <w:r w:rsidRPr="00DE1C30">
        <w:rPr>
          <w:rStyle w:val="normaltextrun"/>
          <w:rFonts w:asciiTheme="minorHAnsi" w:hAnsiTheme="minorHAnsi" w:cstheme="minorBidi"/>
          <w:color w:val="000000" w:themeColor="text1"/>
          <w:sz w:val="16"/>
          <w:szCs w:val="16"/>
        </w:rPr>
        <w:t xml:space="preserve"> adresine başvurabilirsiniz.</w:t>
      </w:r>
    </w:p>
    <w:sectPr w:rsidR="00376CAF" w:rsidRPr="00DE1C30" w:rsidSect="00D322B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C08C" w14:textId="77777777" w:rsidR="00902006" w:rsidRDefault="00902006" w:rsidP="00D322B8">
      <w:pPr>
        <w:spacing w:after="0" w:line="240" w:lineRule="auto"/>
      </w:pPr>
      <w:r>
        <w:separator/>
      </w:r>
    </w:p>
  </w:endnote>
  <w:endnote w:type="continuationSeparator" w:id="0">
    <w:p w14:paraId="35A4932D" w14:textId="77777777" w:rsidR="00902006" w:rsidRDefault="00902006" w:rsidP="00D322B8">
      <w:pPr>
        <w:spacing w:after="0" w:line="240" w:lineRule="auto"/>
      </w:pPr>
      <w:r>
        <w:continuationSeparator/>
      </w:r>
    </w:p>
  </w:endnote>
  <w:endnote w:type="continuationNotice" w:id="1">
    <w:p w14:paraId="23B79AAD" w14:textId="77777777" w:rsidR="00902006" w:rsidRDefault="00902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98A8" w14:textId="77777777" w:rsidR="00292D84" w:rsidRDefault="00292D84" w:rsidP="00D965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A998" w14:textId="77777777" w:rsidR="00902006" w:rsidRDefault="00902006" w:rsidP="00D322B8">
      <w:pPr>
        <w:spacing w:after="0" w:line="240" w:lineRule="auto"/>
      </w:pPr>
      <w:r>
        <w:separator/>
      </w:r>
    </w:p>
  </w:footnote>
  <w:footnote w:type="continuationSeparator" w:id="0">
    <w:p w14:paraId="171C2007" w14:textId="77777777" w:rsidR="00902006" w:rsidRDefault="00902006" w:rsidP="00D322B8">
      <w:pPr>
        <w:spacing w:after="0" w:line="240" w:lineRule="auto"/>
      </w:pPr>
      <w:r>
        <w:continuationSeparator/>
      </w:r>
    </w:p>
  </w:footnote>
  <w:footnote w:type="continuationNotice" w:id="1">
    <w:p w14:paraId="4682E079" w14:textId="77777777" w:rsidR="00902006" w:rsidRDefault="00902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A12" w14:textId="4EEF8F9A" w:rsidR="00D322B8" w:rsidRDefault="00D322B8" w:rsidP="00D965F6">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B70"/>
    <w:multiLevelType w:val="hybridMultilevel"/>
    <w:tmpl w:val="DF9E6F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8167FB"/>
    <w:multiLevelType w:val="hybridMultilevel"/>
    <w:tmpl w:val="BFE8A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70178C"/>
    <w:multiLevelType w:val="hybridMultilevel"/>
    <w:tmpl w:val="A09AC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32588A"/>
    <w:multiLevelType w:val="hybridMultilevel"/>
    <w:tmpl w:val="3B441F80"/>
    <w:lvl w:ilvl="0" w:tplc="36444AA6">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AF61E9"/>
    <w:multiLevelType w:val="hybridMultilevel"/>
    <w:tmpl w:val="F558F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BE0279"/>
    <w:multiLevelType w:val="multilevel"/>
    <w:tmpl w:val="1732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BD7D5F"/>
    <w:multiLevelType w:val="hybridMultilevel"/>
    <w:tmpl w:val="D2243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935153"/>
    <w:multiLevelType w:val="hybridMultilevel"/>
    <w:tmpl w:val="330E15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674BD1"/>
    <w:multiLevelType w:val="hybridMultilevel"/>
    <w:tmpl w:val="C1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D7E72"/>
    <w:multiLevelType w:val="hybridMultilevel"/>
    <w:tmpl w:val="48C2B3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1C3991"/>
    <w:multiLevelType w:val="hybridMultilevel"/>
    <w:tmpl w:val="84E6D934"/>
    <w:lvl w:ilvl="0" w:tplc="5336ABE4">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01814707">
    <w:abstractNumId w:val="3"/>
  </w:num>
  <w:num w:numId="2" w16cid:durableId="1540901195">
    <w:abstractNumId w:val="9"/>
  </w:num>
  <w:num w:numId="3" w16cid:durableId="1335449055">
    <w:abstractNumId w:val="6"/>
  </w:num>
  <w:num w:numId="4" w16cid:durableId="2109348752">
    <w:abstractNumId w:val="10"/>
  </w:num>
  <w:num w:numId="5" w16cid:durableId="451247897">
    <w:abstractNumId w:val="0"/>
  </w:num>
  <w:num w:numId="6" w16cid:durableId="1246038660">
    <w:abstractNumId w:val="7"/>
  </w:num>
  <w:num w:numId="7" w16cid:durableId="1610502581">
    <w:abstractNumId w:val="4"/>
  </w:num>
  <w:num w:numId="8" w16cid:durableId="1959145466">
    <w:abstractNumId w:val="1"/>
  </w:num>
  <w:num w:numId="9" w16cid:durableId="585193425">
    <w:abstractNumId w:val="11"/>
  </w:num>
  <w:num w:numId="10" w16cid:durableId="731199045">
    <w:abstractNumId w:val="5"/>
  </w:num>
  <w:num w:numId="11" w16cid:durableId="1164971294">
    <w:abstractNumId w:val="2"/>
  </w:num>
  <w:num w:numId="12" w16cid:durableId="483158262">
    <w:abstractNumId w:val="12"/>
  </w:num>
  <w:num w:numId="13" w16cid:durableId="1212038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9A"/>
    <w:rsid w:val="00000CA7"/>
    <w:rsid w:val="00002E7D"/>
    <w:rsid w:val="000038BE"/>
    <w:rsid w:val="00006F4B"/>
    <w:rsid w:val="0001418C"/>
    <w:rsid w:val="00020014"/>
    <w:rsid w:val="00023B3D"/>
    <w:rsid w:val="00023B8A"/>
    <w:rsid w:val="00025DF6"/>
    <w:rsid w:val="000262E1"/>
    <w:rsid w:val="000271D2"/>
    <w:rsid w:val="00030845"/>
    <w:rsid w:val="00035179"/>
    <w:rsid w:val="0003571B"/>
    <w:rsid w:val="00042268"/>
    <w:rsid w:val="0004441C"/>
    <w:rsid w:val="000455F2"/>
    <w:rsid w:val="00050E84"/>
    <w:rsid w:val="000525E6"/>
    <w:rsid w:val="00054692"/>
    <w:rsid w:val="00061F52"/>
    <w:rsid w:val="000637E0"/>
    <w:rsid w:val="00065143"/>
    <w:rsid w:val="0007134F"/>
    <w:rsid w:val="000721F1"/>
    <w:rsid w:val="00076486"/>
    <w:rsid w:val="00076763"/>
    <w:rsid w:val="0008092A"/>
    <w:rsid w:val="000813A8"/>
    <w:rsid w:val="000859AF"/>
    <w:rsid w:val="000A0E1F"/>
    <w:rsid w:val="000C2492"/>
    <w:rsid w:val="000C46F9"/>
    <w:rsid w:val="000D158C"/>
    <w:rsid w:val="000D2BBF"/>
    <w:rsid w:val="000E41C5"/>
    <w:rsid w:val="000E4F33"/>
    <w:rsid w:val="000F2589"/>
    <w:rsid w:val="000F5F30"/>
    <w:rsid w:val="000F73F6"/>
    <w:rsid w:val="001007D9"/>
    <w:rsid w:val="001014F2"/>
    <w:rsid w:val="0010170A"/>
    <w:rsid w:val="00101FE8"/>
    <w:rsid w:val="00106B51"/>
    <w:rsid w:val="00113950"/>
    <w:rsid w:val="00113973"/>
    <w:rsid w:val="00122915"/>
    <w:rsid w:val="00123B47"/>
    <w:rsid w:val="001274BF"/>
    <w:rsid w:val="0013228F"/>
    <w:rsid w:val="00137590"/>
    <w:rsid w:val="00137DF4"/>
    <w:rsid w:val="00140595"/>
    <w:rsid w:val="001416D2"/>
    <w:rsid w:val="00141C6B"/>
    <w:rsid w:val="00142EE2"/>
    <w:rsid w:val="001476FD"/>
    <w:rsid w:val="0015493C"/>
    <w:rsid w:val="001579CE"/>
    <w:rsid w:val="00167911"/>
    <w:rsid w:val="001704EE"/>
    <w:rsid w:val="00171492"/>
    <w:rsid w:val="00173D11"/>
    <w:rsid w:val="00180982"/>
    <w:rsid w:val="00180E43"/>
    <w:rsid w:val="00183C09"/>
    <w:rsid w:val="00185CF6"/>
    <w:rsid w:val="0019044B"/>
    <w:rsid w:val="00192E66"/>
    <w:rsid w:val="001A229F"/>
    <w:rsid w:val="001B5421"/>
    <w:rsid w:val="001B55F3"/>
    <w:rsid w:val="001C19DE"/>
    <w:rsid w:val="001C2924"/>
    <w:rsid w:val="001C3825"/>
    <w:rsid w:val="001C522F"/>
    <w:rsid w:val="001C6269"/>
    <w:rsid w:val="001C63E9"/>
    <w:rsid w:val="001C7506"/>
    <w:rsid w:val="001D74CA"/>
    <w:rsid w:val="001E2363"/>
    <w:rsid w:val="001F682E"/>
    <w:rsid w:val="00206A2A"/>
    <w:rsid w:val="00206A57"/>
    <w:rsid w:val="00206D17"/>
    <w:rsid w:val="00217D1E"/>
    <w:rsid w:val="0022071C"/>
    <w:rsid w:val="002338D2"/>
    <w:rsid w:val="00235232"/>
    <w:rsid w:val="002404EB"/>
    <w:rsid w:val="00243BF5"/>
    <w:rsid w:val="002523A9"/>
    <w:rsid w:val="00262E73"/>
    <w:rsid w:val="00267E7B"/>
    <w:rsid w:val="002741B3"/>
    <w:rsid w:val="00274BAF"/>
    <w:rsid w:val="0027732E"/>
    <w:rsid w:val="00282CFD"/>
    <w:rsid w:val="0028412B"/>
    <w:rsid w:val="00290010"/>
    <w:rsid w:val="00292D84"/>
    <w:rsid w:val="00297019"/>
    <w:rsid w:val="002A64CA"/>
    <w:rsid w:val="002B1734"/>
    <w:rsid w:val="002B54BB"/>
    <w:rsid w:val="002B54EA"/>
    <w:rsid w:val="002C1784"/>
    <w:rsid w:val="002C69A1"/>
    <w:rsid w:val="002D51E3"/>
    <w:rsid w:val="002D6990"/>
    <w:rsid w:val="002E1634"/>
    <w:rsid w:val="002F15A5"/>
    <w:rsid w:val="00301CC8"/>
    <w:rsid w:val="003059E3"/>
    <w:rsid w:val="00306B51"/>
    <w:rsid w:val="003110F3"/>
    <w:rsid w:val="00314F2F"/>
    <w:rsid w:val="003151CA"/>
    <w:rsid w:val="00315ED0"/>
    <w:rsid w:val="00320E15"/>
    <w:rsid w:val="003224DE"/>
    <w:rsid w:val="00322814"/>
    <w:rsid w:val="00331070"/>
    <w:rsid w:val="00333132"/>
    <w:rsid w:val="00334000"/>
    <w:rsid w:val="00334ED3"/>
    <w:rsid w:val="00341068"/>
    <w:rsid w:val="00341BF4"/>
    <w:rsid w:val="003466C8"/>
    <w:rsid w:val="00347362"/>
    <w:rsid w:val="00350865"/>
    <w:rsid w:val="003527ED"/>
    <w:rsid w:val="00352D6F"/>
    <w:rsid w:val="00352DDA"/>
    <w:rsid w:val="003548AB"/>
    <w:rsid w:val="0035509A"/>
    <w:rsid w:val="0036311A"/>
    <w:rsid w:val="00363978"/>
    <w:rsid w:val="003652EE"/>
    <w:rsid w:val="003652F9"/>
    <w:rsid w:val="00373693"/>
    <w:rsid w:val="00373748"/>
    <w:rsid w:val="00376117"/>
    <w:rsid w:val="00376CAF"/>
    <w:rsid w:val="00377A44"/>
    <w:rsid w:val="00381052"/>
    <w:rsid w:val="00383BD3"/>
    <w:rsid w:val="0038513D"/>
    <w:rsid w:val="003910F7"/>
    <w:rsid w:val="00393F3B"/>
    <w:rsid w:val="003958C9"/>
    <w:rsid w:val="00396CB9"/>
    <w:rsid w:val="003A164D"/>
    <w:rsid w:val="003A3C32"/>
    <w:rsid w:val="003B10EA"/>
    <w:rsid w:val="003C0869"/>
    <w:rsid w:val="003C3038"/>
    <w:rsid w:val="003C4124"/>
    <w:rsid w:val="003C439A"/>
    <w:rsid w:val="003D2008"/>
    <w:rsid w:val="003D42E8"/>
    <w:rsid w:val="003D542A"/>
    <w:rsid w:val="003F0184"/>
    <w:rsid w:val="003F0D31"/>
    <w:rsid w:val="003F3B78"/>
    <w:rsid w:val="003F42D0"/>
    <w:rsid w:val="003F5B88"/>
    <w:rsid w:val="00401489"/>
    <w:rsid w:val="0040539D"/>
    <w:rsid w:val="00407E37"/>
    <w:rsid w:val="00410577"/>
    <w:rsid w:val="0041339A"/>
    <w:rsid w:val="004136C3"/>
    <w:rsid w:val="00414D83"/>
    <w:rsid w:val="004226D4"/>
    <w:rsid w:val="004234EA"/>
    <w:rsid w:val="004337F6"/>
    <w:rsid w:val="00442327"/>
    <w:rsid w:val="004539FD"/>
    <w:rsid w:val="004558B3"/>
    <w:rsid w:val="00471E94"/>
    <w:rsid w:val="00472A5D"/>
    <w:rsid w:val="00475166"/>
    <w:rsid w:val="00476EE4"/>
    <w:rsid w:val="004809A8"/>
    <w:rsid w:val="004846F7"/>
    <w:rsid w:val="004872C1"/>
    <w:rsid w:val="004907D6"/>
    <w:rsid w:val="00492AAA"/>
    <w:rsid w:val="00494F73"/>
    <w:rsid w:val="004962D3"/>
    <w:rsid w:val="004976EE"/>
    <w:rsid w:val="0049795D"/>
    <w:rsid w:val="004A01B2"/>
    <w:rsid w:val="004A0495"/>
    <w:rsid w:val="004A399D"/>
    <w:rsid w:val="004A411A"/>
    <w:rsid w:val="004A616E"/>
    <w:rsid w:val="004B4245"/>
    <w:rsid w:val="004B5793"/>
    <w:rsid w:val="004C0673"/>
    <w:rsid w:val="004C2AB0"/>
    <w:rsid w:val="004C2AC4"/>
    <w:rsid w:val="004C33EF"/>
    <w:rsid w:val="004E36C1"/>
    <w:rsid w:val="004E4F7E"/>
    <w:rsid w:val="004E5A7E"/>
    <w:rsid w:val="004E6140"/>
    <w:rsid w:val="004F1F31"/>
    <w:rsid w:val="004F250A"/>
    <w:rsid w:val="004F5FA9"/>
    <w:rsid w:val="004F7CC9"/>
    <w:rsid w:val="00502CA0"/>
    <w:rsid w:val="005068D9"/>
    <w:rsid w:val="00511A4F"/>
    <w:rsid w:val="005207FD"/>
    <w:rsid w:val="00534EC5"/>
    <w:rsid w:val="005360D7"/>
    <w:rsid w:val="00537581"/>
    <w:rsid w:val="00537C03"/>
    <w:rsid w:val="005477EE"/>
    <w:rsid w:val="0055667C"/>
    <w:rsid w:val="00561C9F"/>
    <w:rsid w:val="00565391"/>
    <w:rsid w:val="00565EEB"/>
    <w:rsid w:val="005660A5"/>
    <w:rsid w:val="0056640D"/>
    <w:rsid w:val="00566AB3"/>
    <w:rsid w:val="005707BC"/>
    <w:rsid w:val="00570F65"/>
    <w:rsid w:val="00574DA4"/>
    <w:rsid w:val="005751E4"/>
    <w:rsid w:val="00576452"/>
    <w:rsid w:val="00576FC3"/>
    <w:rsid w:val="00584D0A"/>
    <w:rsid w:val="005A0087"/>
    <w:rsid w:val="005A45D3"/>
    <w:rsid w:val="005A4F0F"/>
    <w:rsid w:val="005A5F60"/>
    <w:rsid w:val="005A64FA"/>
    <w:rsid w:val="005B1116"/>
    <w:rsid w:val="005B7BF1"/>
    <w:rsid w:val="005C0404"/>
    <w:rsid w:val="005C2D4B"/>
    <w:rsid w:val="005C2E52"/>
    <w:rsid w:val="005C4EEB"/>
    <w:rsid w:val="005C5755"/>
    <w:rsid w:val="005D19D2"/>
    <w:rsid w:val="005F0E8D"/>
    <w:rsid w:val="005F5368"/>
    <w:rsid w:val="005F6087"/>
    <w:rsid w:val="005F66E8"/>
    <w:rsid w:val="006015C1"/>
    <w:rsid w:val="006027DF"/>
    <w:rsid w:val="006035F1"/>
    <w:rsid w:val="00611493"/>
    <w:rsid w:val="006143FD"/>
    <w:rsid w:val="00622A06"/>
    <w:rsid w:val="00626D01"/>
    <w:rsid w:val="0062792E"/>
    <w:rsid w:val="00630DEA"/>
    <w:rsid w:val="00631420"/>
    <w:rsid w:val="00631E4B"/>
    <w:rsid w:val="00633D09"/>
    <w:rsid w:val="00635BA1"/>
    <w:rsid w:val="006408A4"/>
    <w:rsid w:val="006410CB"/>
    <w:rsid w:val="00644A94"/>
    <w:rsid w:val="00646447"/>
    <w:rsid w:val="00652CB8"/>
    <w:rsid w:val="00653B03"/>
    <w:rsid w:val="00655D5A"/>
    <w:rsid w:val="00661E7D"/>
    <w:rsid w:val="00664709"/>
    <w:rsid w:val="00686B0E"/>
    <w:rsid w:val="006878DC"/>
    <w:rsid w:val="00691774"/>
    <w:rsid w:val="00692E6C"/>
    <w:rsid w:val="00693178"/>
    <w:rsid w:val="006A32B3"/>
    <w:rsid w:val="006B0929"/>
    <w:rsid w:val="006B211B"/>
    <w:rsid w:val="006B7775"/>
    <w:rsid w:val="006C0A61"/>
    <w:rsid w:val="006C13F0"/>
    <w:rsid w:val="006C16FD"/>
    <w:rsid w:val="006C3E42"/>
    <w:rsid w:val="006C55C6"/>
    <w:rsid w:val="006C764C"/>
    <w:rsid w:val="006D0B7A"/>
    <w:rsid w:val="006D292B"/>
    <w:rsid w:val="006F270C"/>
    <w:rsid w:val="00700122"/>
    <w:rsid w:val="00700536"/>
    <w:rsid w:val="00701409"/>
    <w:rsid w:val="00702B53"/>
    <w:rsid w:val="00707C5D"/>
    <w:rsid w:val="007215C1"/>
    <w:rsid w:val="00726D6F"/>
    <w:rsid w:val="00727D29"/>
    <w:rsid w:val="00737D9D"/>
    <w:rsid w:val="00742C93"/>
    <w:rsid w:val="007433B0"/>
    <w:rsid w:val="00745D55"/>
    <w:rsid w:val="00745D87"/>
    <w:rsid w:val="00752520"/>
    <w:rsid w:val="00753880"/>
    <w:rsid w:val="00764548"/>
    <w:rsid w:val="007802C5"/>
    <w:rsid w:val="007835E5"/>
    <w:rsid w:val="007850A8"/>
    <w:rsid w:val="0078686F"/>
    <w:rsid w:val="007875BC"/>
    <w:rsid w:val="007946F7"/>
    <w:rsid w:val="0079581C"/>
    <w:rsid w:val="007A29E9"/>
    <w:rsid w:val="007B2B26"/>
    <w:rsid w:val="007B6677"/>
    <w:rsid w:val="007B6902"/>
    <w:rsid w:val="007C58B6"/>
    <w:rsid w:val="007D16C4"/>
    <w:rsid w:val="007D3441"/>
    <w:rsid w:val="007D364C"/>
    <w:rsid w:val="007E4B1A"/>
    <w:rsid w:val="007E5896"/>
    <w:rsid w:val="007E589B"/>
    <w:rsid w:val="007E64E9"/>
    <w:rsid w:val="007F19B8"/>
    <w:rsid w:val="007F3DAE"/>
    <w:rsid w:val="007F5194"/>
    <w:rsid w:val="007F606D"/>
    <w:rsid w:val="00802D02"/>
    <w:rsid w:val="00807DBA"/>
    <w:rsid w:val="00812B22"/>
    <w:rsid w:val="00817CEC"/>
    <w:rsid w:val="008200F7"/>
    <w:rsid w:val="008218F1"/>
    <w:rsid w:val="0082523D"/>
    <w:rsid w:val="00832759"/>
    <w:rsid w:val="008339D0"/>
    <w:rsid w:val="00842309"/>
    <w:rsid w:val="0085118C"/>
    <w:rsid w:val="00851FDE"/>
    <w:rsid w:val="00853419"/>
    <w:rsid w:val="00862266"/>
    <w:rsid w:val="00864569"/>
    <w:rsid w:val="00876B75"/>
    <w:rsid w:val="00880BB2"/>
    <w:rsid w:val="0088590D"/>
    <w:rsid w:val="00892EEA"/>
    <w:rsid w:val="008956E3"/>
    <w:rsid w:val="008978C6"/>
    <w:rsid w:val="008A011C"/>
    <w:rsid w:val="008A21D5"/>
    <w:rsid w:val="008A73BD"/>
    <w:rsid w:val="008B5E4D"/>
    <w:rsid w:val="008C3D6A"/>
    <w:rsid w:val="008C6B01"/>
    <w:rsid w:val="008C783B"/>
    <w:rsid w:val="008D0615"/>
    <w:rsid w:val="008D3CE1"/>
    <w:rsid w:val="008D68E5"/>
    <w:rsid w:val="008E3189"/>
    <w:rsid w:val="008F653F"/>
    <w:rsid w:val="009012C7"/>
    <w:rsid w:val="00902006"/>
    <w:rsid w:val="0090386B"/>
    <w:rsid w:val="00903A72"/>
    <w:rsid w:val="00905A9C"/>
    <w:rsid w:val="009073F9"/>
    <w:rsid w:val="009129B8"/>
    <w:rsid w:val="00912EF3"/>
    <w:rsid w:val="00914A45"/>
    <w:rsid w:val="0091655A"/>
    <w:rsid w:val="00917AD1"/>
    <w:rsid w:val="00921AC9"/>
    <w:rsid w:val="0092387A"/>
    <w:rsid w:val="0093489B"/>
    <w:rsid w:val="00934975"/>
    <w:rsid w:val="00944B70"/>
    <w:rsid w:val="00946E34"/>
    <w:rsid w:val="00954976"/>
    <w:rsid w:val="00955B7B"/>
    <w:rsid w:val="00960C64"/>
    <w:rsid w:val="00961F60"/>
    <w:rsid w:val="009642FA"/>
    <w:rsid w:val="0097526A"/>
    <w:rsid w:val="00976345"/>
    <w:rsid w:val="00980E07"/>
    <w:rsid w:val="00982219"/>
    <w:rsid w:val="00986FF9"/>
    <w:rsid w:val="00991FD6"/>
    <w:rsid w:val="00992875"/>
    <w:rsid w:val="009928FF"/>
    <w:rsid w:val="00994131"/>
    <w:rsid w:val="0099443A"/>
    <w:rsid w:val="009A2CAE"/>
    <w:rsid w:val="009B0B21"/>
    <w:rsid w:val="009D0CFB"/>
    <w:rsid w:val="009D10A7"/>
    <w:rsid w:val="009D7FA0"/>
    <w:rsid w:val="009E4533"/>
    <w:rsid w:val="009E6B5B"/>
    <w:rsid w:val="009E6FFD"/>
    <w:rsid w:val="009F5A51"/>
    <w:rsid w:val="009F603C"/>
    <w:rsid w:val="00A01B06"/>
    <w:rsid w:val="00A121B9"/>
    <w:rsid w:val="00A266D6"/>
    <w:rsid w:val="00A35829"/>
    <w:rsid w:val="00A36BE9"/>
    <w:rsid w:val="00A3740B"/>
    <w:rsid w:val="00A44D17"/>
    <w:rsid w:val="00A46AF4"/>
    <w:rsid w:val="00A50EE5"/>
    <w:rsid w:val="00A52F60"/>
    <w:rsid w:val="00A57E7B"/>
    <w:rsid w:val="00A61114"/>
    <w:rsid w:val="00A65E90"/>
    <w:rsid w:val="00A7163F"/>
    <w:rsid w:val="00A74201"/>
    <w:rsid w:val="00A74CB4"/>
    <w:rsid w:val="00A76CA9"/>
    <w:rsid w:val="00A96C6B"/>
    <w:rsid w:val="00A97117"/>
    <w:rsid w:val="00A97A31"/>
    <w:rsid w:val="00AA6061"/>
    <w:rsid w:val="00AA613B"/>
    <w:rsid w:val="00AB3C85"/>
    <w:rsid w:val="00AB60BF"/>
    <w:rsid w:val="00AD1559"/>
    <w:rsid w:val="00AD26C6"/>
    <w:rsid w:val="00AD337D"/>
    <w:rsid w:val="00AD6AFF"/>
    <w:rsid w:val="00AE25F2"/>
    <w:rsid w:val="00AE55A5"/>
    <w:rsid w:val="00AE7F28"/>
    <w:rsid w:val="00AF5D95"/>
    <w:rsid w:val="00B019FC"/>
    <w:rsid w:val="00B0467C"/>
    <w:rsid w:val="00B04BCD"/>
    <w:rsid w:val="00B05ECF"/>
    <w:rsid w:val="00B105C7"/>
    <w:rsid w:val="00B11516"/>
    <w:rsid w:val="00B247AC"/>
    <w:rsid w:val="00B24CF4"/>
    <w:rsid w:val="00B3484F"/>
    <w:rsid w:val="00B51289"/>
    <w:rsid w:val="00B513BD"/>
    <w:rsid w:val="00B51DA7"/>
    <w:rsid w:val="00B57F84"/>
    <w:rsid w:val="00B60EA7"/>
    <w:rsid w:val="00B638D0"/>
    <w:rsid w:val="00B63F87"/>
    <w:rsid w:val="00B647BD"/>
    <w:rsid w:val="00B67B87"/>
    <w:rsid w:val="00B7039C"/>
    <w:rsid w:val="00B74462"/>
    <w:rsid w:val="00B76D10"/>
    <w:rsid w:val="00B7703A"/>
    <w:rsid w:val="00B77BD9"/>
    <w:rsid w:val="00B83FA7"/>
    <w:rsid w:val="00B90A10"/>
    <w:rsid w:val="00B90EDD"/>
    <w:rsid w:val="00B927DB"/>
    <w:rsid w:val="00BA1F99"/>
    <w:rsid w:val="00BA2B2C"/>
    <w:rsid w:val="00BA52AB"/>
    <w:rsid w:val="00BA53D6"/>
    <w:rsid w:val="00BA64AC"/>
    <w:rsid w:val="00BB005D"/>
    <w:rsid w:val="00BB0308"/>
    <w:rsid w:val="00BB5BC7"/>
    <w:rsid w:val="00BC2D3D"/>
    <w:rsid w:val="00BC401F"/>
    <w:rsid w:val="00BC633C"/>
    <w:rsid w:val="00BC72CA"/>
    <w:rsid w:val="00BD5CA8"/>
    <w:rsid w:val="00BD5E0A"/>
    <w:rsid w:val="00BE2B9B"/>
    <w:rsid w:val="00BE73D6"/>
    <w:rsid w:val="00BF1241"/>
    <w:rsid w:val="00BF223E"/>
    <w:rsid w:val="00BF38C9"/>
    <w:rsid w:val="00BF5F40"/>
    <w:rsid w:val="00C04C9D"/>
    <w:rsid w:val="00C04F26"/>
    <w:rsid w:val="00C236AF"/>
    <w:rsid w:val="00C36A5F"/>
    <w:rsid w:val="00C37F49"/>
    <w:rsid w:val="00C42A2C"/>
    <w:rsid w:val="00C47DCE"/>
    <w:rsid w:val="00C505FC"/>
    <w:rsid w:val="00C569BE"/>
    <w:rsid w:val="00C638D7"/>
    <w:rsid w:val="00C63978"/>
    <w:rsid w:val="00C67015"/>
    <w:rsid w:val="00C74EC8"/>
    <w:rsid w:val="00C77633"/>
    <w:rsid w:val="00C8103E"/>
    <w:rsid w:val="00C8592D"/>
    <w:rsid w:val="00C85FCB"/>
    <w:rsid w:val="00C87767"/>
    <w:rsid w:val="00C87E24"/>
    <w:rsid w:val="00C91116"/>
    <w:rsid w:val="00C97089"/>
    <w:rsid w:val="00CA0915"/>
    <w:rsid w:val="00CA5AF5"/>
    <w:rsid w:val="00CA5D1F"/>
    <w:rsid w:val="00CA7EA5"/>
    <w:rsid w:val="00CB10E1"/>
    <w:rsid w:val="00CB3233"/>
    <w:rsid w:val="00CB3E84"/>
    <w:rsid w:val="00CB77CB"/>
    <w:rsid w:val="00CC1CFA"/>
    <w:rsid w:val="00CC789B"/>
    <w:rsid w:val="00CC7E8C"/>
    <w:rsid w:val="00CE0848"/>
    <w:rsid w:val="00CE1888"/>
    <w:rsid w:val="00CE1BD4"/>
    <w:rsid w:val="00CE7363"/>
    <w:rsid w:val="00CF3049"/>
    <w:rsid w:val="00D011F5"/>
    <w:rsid w:val="00D0130E"/>
    <w:rsid w:val="00D016FF"/>
    <w:rsid w:val="00D019E1"/>
    <w:rsid w:val="00D0748D"/>
    <w:rsid w:val="00D10D05"/>
    <w:rsid w:val="00D16F7C"/>
    <w:rsid w:val="00D21ABB"/>
    <w:rsid w:val="00D250C0"/>
    <w:rsid w:val="00D322B8"/>
    <w:rsid w:val="00D3349A"/>
    <w:rsid w:val="00D341E3"/>
    <w:rsid w:val="00D43EB1"/>
    <w:rsid w:val="00D50ADF"/>
    <w:rsid w:val="00D55420"/>
    <w:rsid w:val="00D56AFF"/>
    <w:rsid w:val="00D62DEC"/>
    <w:rsid w:val="00D778F5"/>
    <w:rsid w:val="00D82FA6"/>
    <w:rsid w:val="00D83776"/>
    <w:rsid w:val="00D84061"/>
    <w:rsid w:val="00D847B4"/>
    <w:rsid w:val="00D84E70"/>
    <w:rsid w:val="00D87DAF"/>
    <w:rsid w:val="00D87FE9"/>
    <w:rsid w:val="00D965F6"/>
    <w:rsid w:val="00D9763A"/>
    <w:rsid w:val="00D97F2B"/>
    <w:rsid w:val="00DA033B"/>
    <w:rsid w:val="00DB0FF4"/>
    <w:rsid w:val="00DB1A48"/>
    <w:rsid w:val="00DC1714"/>
    <w:rsid w:val="00DD1586"/>
    <w:rsid w:val="00DD1909"/>
    <w:rsid w:val="00DE175B"/>
    <w:rsid w:val="00DE1C30"/>
    <w:rsid w:val="00DE3378"/>
    <w:rsid w:val="00DE60C3"/>
    <w:rsid w:val="00E06C8A"/>
    <w:rsid w:val="00E10E91"/>
    <w:rsid w:val="00E1260F"/>
    <w:rsid w:val="00E1372F"/>
    <w:rsid w:val="00E13FB3"/>
    <w:rsid w:val="00E14E51"/>
    <w:rsid w:val="00E27C28"/>
    <w:rsid w:val="00E309F3"/>
    <w:rsid w:val="00E322E6"/>
    <w:rsid w:val="00E370EB"/>
    <w:rsid w:val="00E45178"/>
    <w:rsid w:val="00E52681"/>
    <w:rsid w:val="00E533B4"/>
    <w:rsid w:val="00E542B4"/>
    <w:rsid w:val="00E54515"/>
    <w:rsid w:val="00E609C2"/>
    <w:rsid w:val="00E675CE"/>
    <w:rsid w:val="00E70EAC"/>
    <w:rsid w:val="00E7785D"/>
    <w:rsid w:val="00E81847"/>
    <w:rsid w:val="00E83E4D"/>
    <w:rsid w:val="00E85355"/>
    <w:rsid w:val="00E87FCD"/>
    <w:rsid w:val="00E95096"/>
    <w:rsid w:val="00E96891"/>
    <w:rsid w:val="00EA0F6F"/>
    <w:rsid w:val="00EA2F44"/>
    <w:rsid w:val="00EA37E0"/>
    <w:rsid w:val="00EA3823"/>
    <w:rsid w:val="00EC1772"/>
    <w:rsid w:val="00EC1B1B"/>
    <w:rsid w:val="00EC2E27"/>
    <w:rsid w:val="00EC381D"/>
    <w:rsid w:val="00ED139D"/>
    <w:rsid w:val="00ED2882"/>
    <w:rsid w:val="00ED5A01"/>
    <w:rsid w:val="00ED793F"/>
    <w:rsid w:val="00EE6FC5"/>
    <w:rsid w:val="00EE7124"/>
    <w:rsid w:val="00EF06D3"/>
    <w:rsid w:val="00EF725F"/>
    <w:rsid w:val="00EF7D14"/>
    <w:rsid w:val="00F01CD1"/>
    <w:rsid w:val="00F02CCC"/>
    <w:rsid w:val="00F03DD6"/>
    <w:rsid w:val="00F0482C"/>
    <w:rsid w:val="00F0531C"/>
    <w:rsid w:val="00F061DB"/>
    <w:rsid w:val="00F072CD"/>
    <w:rsid w:val="00F13FAD"/>
    <w:rsid w:val="00F14548"/>
    <w:rsid w:val="00F16DA8"/>
    <w:rsid w:val="00F30FB9"/>
    <w:rsid w:val="00F35FA8"/>
    <w:rsid w:val="00F373C9"/>
    <w:rsid w:val="00F40295"/>
    <w:rsid w:val="00F41BA9"/>
    <w:rsid w:val="00F44E57"/>
    <w:rsid w:val="00F467BE"/>
    <w:rsid w:val="00F51ED0"/>
    <w:rsid w:val="00F51FDE"/>
    <w:rsid w:val="00F5364A"/>
    <w:rsid w:val="00F5644C"/>
    <w:rsid w:val="00F75F36"/>
    <w:rsid w:val="00F76289"/>
    <w:rsid w:val="00F81E0F"/>
    <w:rsid w:val="00F83BDD"/>
    <w:rsid w:val="00F91057"/>
    <w:rsid w:val="00F94054"/>
    <w:rsid w:val="00F94EEA"/>
    <w:rsid w:val="00F95E36"/>
    <w:rsid w:val="00FA04AD"/>
    <w:rsid w:val="00FA5052"/>
    <w:rsid w:val="00FB099A"/>
    <w:rsid w:val="00FB0B4C"/>
    <w:rsid w:val="00FB4C3E"/>
    <w:rsid w:val="00FC5710"/>
    <w:rsid w:val="00FC644F"/>
    <w:rsid w:val="00FC7F64"/>
    <w:rsid w:val="00FD1E58"/>
    <w:rsid w:val="00FD23D3"/>
    <w:rsid w:val="00FE5C3B"/>
    <w:rsid w:val="00FE7478"/>
    <w:rsid w:val="00FF21AC"/>
    <w:rsid w:val="00FF28C1"/>
    <w:rsid w:val="00FF51EE"/>
    <w:rsid w:val="00FF6C55"/>
    <w:rsid w:val="00FF79D8"/>
    <w:rsid w:val="00FF7D9C"/>
    <w:rsid w:val="04A32E60"/>
    <w:rsid w:val="0CCC2DFF"/>
    <w:rsid w:val="0F459D2F"/>
    <w:rsid w:val="19B7D296"/>
    <w:rsid w:val="1B5E6D40"/>
    <w:rsid w:val="27502C61"/>
    <w:rsid w:val="2C6853FD"/>
    <w:rsid w:val="2E4A3954"/>
    <w:rsid w:val="3F615886"/>
    <w:rsid w:val="53978CCA"/>
    <w:rsid w:val="54C9D657"/>
    <w:rsid w:val="5C042AE0"/>
    <w:rsid w:val="5D43A0FF"/>
    <w:rsid w:val="5F057CA2"/>
    <w:rsid w:val="6CFC590D"/>
    <w:rsid w:val="7CDF3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unhideWhenUsed/>
    <w:rsid w:val="00812B22"/>
    <w:pPr>
      <w:spacing w:line="240" w:lineRule="auto"/>
    </w:pPr>
    <w:rPr>
      <w:sz w:val="20"/>
      <w:szCs w:val="20"/>
    </w:rPr>
  </w:style>
  <w:style w:type="character" w:customStyle="1" w:styleId="AklamaMetniChar">
    <w:name w:val="Açıklama Metni Char"/>
    <w:basedOn w:val="VarsaylanParagrafYazTipi"/>
    <w:link w:val="AklamaMetni"/>
    <w:uiPriority w:val="99"/>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customStyle="1" w:styleId="UnresolvedMention1">
    <w:name w:val="Unresolved Mention1"/>
    <w:basedOn w:val="VarsaylanParagrafYazTipi"/>
    <w:uiPriority w:val="99"/>
    <w:semiHidden/>
    <w:unhideWhenUsed/>
    <w:rsid w:val="00BA1F99"/>
    <w:rPr>
      <w:color w:val="605E5C"/>
      <w:shd w:val="clear" w:color="auto" w:fill="E1DFDD"/>
    </w:rPr>
  </w:style>
  <w:style w:type="paragraph" w:customStyle="1" w:styleId="paragraph">
    <w:name w:val="paragraph"/>
    <w:basedOn w:val="Normal"/>
    <w:rsid w:val="001B55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55F3"/>
  </w:style>
  <w:style w:type="character" w:customStyle="1" w:styleId="tabchar">
    <w:name w:val="tabchar"/>
    <w:basedOn w:val="VarsaylanParagrafYazTipi"/>
    <w:rsid w:val="001B55F3"/>
  </w:style>
  <w:style w:type="character" w:customStyle="1" w:styleId="eop">
    <w:name w:val="eop"/>
    <w:basedOn w:val="VarsaylanParagrafYazTipi"/>
    <w:rsid w:val="001B55F3"/>
  </w:style>
  <w:style w:type="character" w:customStyle="1" w:styleId="spellingerror">
    <w:name w:val="spellingerror"/>
    <w:basedOn w:val="VarsaylanParagrafYazTipi"/>
    <w:rsid w:val="001B55F3"/>
  </w:style>
  <w:style w:type="character" w:styleId="zmlenmeyenBahsetme">
    <w:name w:val="Unresolved Mention"/>
    <w:basedOn w:val="VarsaylanParagrafYazTipi"/>
    <w:uiPriority w:val="99"/>
    <w:semiHidden/>
    <w:unhideWhenUsed/>
    <w:rsid w:val="001B55F3"/>
    <w:rPr>
      <w:color w:val="605E5C"/>
      <w:shd w:val="clear" w:color="auto" w:fill="E1DFDD"/>
    </w:rPr>
  </w:style>
  <w:style w:type="paragraph" w:styleId="NormalWeb">
    <w:name w:val="Normal (Web)"/>
    <w:basedOn w:val="Normal"/>
    <w:uiPriority w:val="99"/>
    <w:semiHidden/>
    <w:unhideWhenUsed/>
    <w:rsid w:val="00ED79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5B1116"/>
    <w:rPr>
      <w:color w:val="954F72" w:themeColor="followedHyperlink"/>
      <w:u w:val="single"/>
    </w:rPr>
  </w:style>
  <w:style w:type="table" w:styleId="TabloKlavuzu">
    <w:name w:val="Table Grid"/>
    <w:basedOn w:val="NormalTablo"/>
    <w:uiPriority w:val="39"/>
    <w:rsid w:val="00BA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VarsaylanParagrafYazTipi"/>
    <w:rsid w:val="00D9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136342195">
      <w:bodyDiv w:val="1"/>
      <w:marLeft w:val="0"/>
      <w:marRight w:val="0"/>
      <w:marTop w:val="0"/>
      <w:marBottom w:val="0"/>
      <w:divBdr>
        <w:top w:val="none" w:sz="0" w:space="0" w:color="auto"/>
        <w:left w:val="none" w:sz="0" w:space="0" w:color="auto"/>
        <w:bottom w:val="none" w:sz="0" w:space="0" w:color="auto"/>
        <w:right w:val="none" w:sz="0" w:space="0" w:color="auto"/>
      </w:divBdr>
    </w:div>
    <w:div w:id="186719564">
      <w:bodyDiv w:val="1"/>
      <w:marLeft w:val="0"/>
      <w:marRight w:val="0"/>
      <w:marTop w:val="0"/>
      <w:marBottom w:val="0"/>
      <w:divBdr>
        <w:top w:val="none" w:sz="0" w:space="0" w:color="auto"/>
        <w:left w:val="none" w:sz="0" w:space="0" w:color="auto"/>
        <w:bottom w:val="none" w:sz="0" w:space="0" w:color="auto"/>
        <w:right w:val="none" w:sz="0" w:space="0" w:color="auto"/>
      </w:divBdr>
    </w:div>
    <w:div w:id="234240312">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605767663">
      <w:bodyDiv w:val="1"/>
      <w:marLeft w:val="0"/>
      <w:marRight w:val="0"/>
      <w:marTop w:val="0"/>
      <w:marBottom w:val="0"/>
      <w:divBdr>
        <w:top w:val="none" w:sz="0" w:space="0" w:color="auto"/>
        <w:left w:val="none" w:sz="0" w:space="0" w:color="auto"/>
        <w:bottom w:val="none" w:sz="0" w:space="0" w:color="auto"/>
        <w:right w:val="none" w:sz="0" w:space="0" w:color="auto"/>
      </w:divBdr>
    </w:div>
    <w:div w:id="620260374">
      <w:bodyDiv w:val="1"/>
      <w:marLeft w:val="0"/>
      <w:marRight w:val="0"/>
      <w:marTop w:val="0"/>
      <w:marBottom w:val="0"/>
      <w:divBdr>
        <w:top w:val="none" w:sz="0" w:space="0" w:color="auto"/>
        <w:left w:val="none" w:sz="0" w:space="0" w:color="auto"/>
        <w:bottom w:val="none" w:sz="0" w:space="0" w:color="auto"/>
        <w:right w:val="none" w:sz="0" w:space="0" w:color="auto"/>
      </w:divBdr>
    </w:div>
    <w:div w:id="650869062">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950820913">
      <w:bodyDiv w:val="1"/>
      <w:marLeft w:val="0"/>
      <w:marRight w:val="0"/>
      <w:marTop w:val="0"/>
      <w:marBottom w:val="0"/>
      <w:divBdr>
        <w:top w:val="none" w:sz="0" w:space="0" w:color="auto"/>
        <w:left w:val="none" w:sz="0" w:space="0" w:color="auto"/>
        <w:bottom w:val="none" w:sz="0" w:space="0" w:color="auto"/>
        <w:right w:val="none" w:sz="0" w:space="0" w:color="auto"/>
      </w:divBdr>
    </w:div>
    <w:div w:id="952051450">
      <w:bodyDiv w:val="1"/>
      <w:marLeft w:val="0"/>
      <w:marRight w:val="0"/>
      <w:marTop w:val="0"/>
      <w:marBottom w:val="0"/>
      <w:divBdr>
        <w:top w:val="none" w:sz="0" w:space="0" w:color="auto"/>
        <w:left w:val="none" w:sz="0" w:space="0" w:color="auto"/>
        <w:bottom w:val="none" w:sz="0" w:space="0" w:color="auto"/>
        <w:right w:val="none" w:sz="0" w:space="0" w:color="auto"/>
      </w:divBdr>
    </w:div>
    <w:div w:id="958874280">
      <w:bodyDiv w:val="1"/>
      <w:marLeft w:val="0"/>
      <w:marRight w:val="0"/>
      <w:marTop w:val="0"/>
      <w:marBottom w:val="0"/>
      <w:divBdr>
        <w:top w:val="none" w:sz="0" w:space="0" w:color="auto"/>
        <w:left w:val="none" w:sz="0" w:space="0" w:color="auto"/>
        <w:bottom w:val="none" w:sz="0" w:space="0" w:color="auto"/>
        <w:right w:val="none" w:sz="0" w:space="0" w:color="auto"/>
      </w:divBdr>
    </w:div>
    <w:div w:id="1070737365">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220749014">
      <w:bodyDiv w:val="1"/>
      <w:marLeft w:val="0"/>
      <w:marRight w:val="0"/>
      <w:marTop w:val="0"/>
      <w:marBottom w:val="0"/>
      <w:divBdr>
        <w:top w:val="none" w:sz="0" w:space="0" w:color="auto"/>
        <w:left w:val="none" w:sz="0" w:space="0" w:color="auto"/>
        <w:bottom w:val="none" w:sz="0" w:space="0" w:color="auto"/>
        <w:right w:val="none" w:sz="0" w:space="0" w:color="auto"/>
      </w:divBdr>
    </w:div>
    <w:div w:id="1293905085">
      <w:bodyDiv w:val="1"/>
      <w:marLeft w:val="0"/>
      <w:marRight w:val="0"/>
      <w:marTop w:val="0"/>
      <w:marBottom w:val="0"/>
      <w:divBdr>
        <w:top w:val="none" w:sz="0" w:space="0" w:color="auto"/>
        <w:left w:val="none" w:sz="0" w:space="0" w:color="auto"/>
        <w:bottom w:val="none" w:sz="0" w:space="0" w:color="auto"/>
        <w:right w:val="none" w:sz="0" w:space="0" w:color="auto"/>
      </w:divBdr>
      <w:divsChild>
        <w:div w:id="2082099716">
          <w:marLeft w:val="0"/>
          <w:marRight w:val="0"/>
          <w:marTop w:val="0"/>
          <w:marBottom w:val="0"/>
          <w:divBdr>
            <w:top w:val="none" w:sz="0" w:space="0" w:color="auto"/>
            <w:left w:val="none" w:sz="0" w:space="0" w:color="auto"/>
            <w:bottom w:val="none" w:sz="0" w:space="0" w:color="auto"/>
            <w:right w:val="none" w:sz="0" w:space="0" w:color="auto"/>
          </w:divBdr>
        </w:div>
        <w:div w:id="238291473">
          <w:marLeft w:val="0"/>
          <w:marRight w:val="0"/>
          <w:marTop w:val="0"/>
          <w:marBottom w:val="0"/>
          <w:divBdr>
            <w:top w:val="none" w:sz="0" w:space="0" w:color="auto"/>
            <w:left w:val="none" w:sz="0" w:space="0" w:color="auto"/>
            <w:bottom w:val="none" w:sz="0" w:space="0" w:color="auto"/>
            <w:right w:val="none" w:sz="0" w:space="0" w:color="auto"/>
          </w:divBdr>
        </w:div>
        <w:div w:id="1036854505">
          <w:marLeft w:val="0"/>
          <w:marRight w:val="0"/>
          <w:marTop w:val="0"/>
          <w:marBottom w:val="0"/>
          <w:divBdr>
            <w:top w:val="none" w:sz="0" w:space="0" w:color="auto"/>
            <w:left w:val="none" w:sz="0" w:space="0" w:color="auto"/>
            <w:bottom w:val="none" w:sz="0" w:space="0" w:color="auto"/>
            <w:right w:val="none" w:sz="0" w:space="0" w:color="auto"/>
          </w:divBdr>
        </w:div>
        <w:div w:id="162203053">
          <w:marLeft w:val="0"/>
          <w:marRight w:val="0"/>
          <w:marTop w:val="0"/>
          <w:marBottom w:val="0"/>
          <w:divBdr>
            <w:top w:val="none" w:sz="0" w:space="0" w:color="auto"/>
            <w:left w:val="none" w:sz="0" w:space="0" w:color="auto"/>
            <w:bottom w:val="none" w:sz="0" w:space="0" w:color="auto"/>
            <w:right w:val="none" w:sz="0" w:space="0" w:color="auto"/>
          </w:divBdr>
        </w:div>
        <w:div w:id="927734067">
          <w:marLeft w:val="0"/>
          <w:marRight w:val="0"/>
          <w:marTop w:val="0"/>
          <w:marBottom w:val="0"/>
          <w:divBdr>
            <w:top w:val="none" w:sz="0" w:space="0" w:color="auto"/>
            <w:left w:val="none" w:sz="0" w:space="0" w:color="auto"/>
            <w:bottom w:val="none" w:sz="0" w:space="0" w:color="auto"/>
            <w:right w:val="none" w:sz="0" w:space="0" w:color="auto"/>
          </w:divBdr>
        </w:div>
        <w:div w:id="1390347504">
          <w:marLeft w:val="0"/>
          <w:marRight w:val="0"/>
          <w:marTop w:val="0"/>
          <w:marBottom w:val="0"/>
          <w:divBdr>
            <w:top w:val="none" w:sz="0" w:space="0" w:color="auto"/>
            <w:left w:val="none" w:sz="0" w:space="0" w:color="auto"/>
            <w:bottom w:val="none" w:sz="0" w:space="0" w:color="auto"/>
            <w:right w:val="none" w:sz="0" w:space="0" w:color="auto"/>
          </w:divBdr>
        </w:div>
        <w:div w:id="100731223">
          <w:marLeft w:val="0"/>
          <w:marRight w:val="0"/>
          <w:marTop w:val="0"/>
          <w:marBottom w:val="0"/>
          <w:divBdr>
            <w:top w:val="none" w:sz="0" w:space="0" w:color="auto"/>
            <w:left w:val="none" w:sz="0" w:space="0" w:color="auto"/>
            <w:bottom w:val="none" w:sz="0" w:space="0" w:color="auto"/>
            <w:right w:val="none" w:sz="0" w:space="0" w:color="auto"/>
          </w:divBdr>
        </w:div>
      </w:divsChild>
    </w:div>
    <w:div w:id="1696341748">
      <w:bodyDiv w:val="1"/>
      <w:marLeft w:val="0"/>
      <w:marRight w:val="0"/>
      <w:marTop w:val="0"/>
      <w:marBottom w:val="0"/>
      <w:divBdr>
        <w:top w:val="none" w:sz="0" w:space="0" w:color="auto"/>
        <w:left w:val="none" w:sz="0" w:space="0" w:color="auto"/>
        <w:bottom w:val="none" w:sz="0" w:space="0" w:color="auto"/>
        <w:right w:val="none" w:sz="0" w:space="0" w:color="auto"/>
      </w:divBdr>
    </w:div>
    <w:div w:id="1830631239">
      <w:bodyDiv w:val="1"/>
      <w:marLeft w:val="0"/>
      <w:marRight w:val="0"/>
      <w:marTop w:val="0"/>
      <w:marBottom w:val="0"/>
      <w:divBdr>
        <w:top w:val="none" w:sz="0" w:space="0" w:color="auto"/>
        <w:left w:val="none" w:sz="0" w:space="0" w:color="auto"/>
        <w:bottom w:val="none" w:sz="0" w:space="0" w:color="auto"/>
        <w:right w:val="none" w:sz="0" w:space="0" w:color="auto"/>
      </w:divBdr>
    </w:div>
    <w:div w:id="1862624054">
      <w:bodyDiv w:val="1"/>
      <w:marLeft w:val="0"/>
      <w:marRight w:val="0"/>
      <w:marTop w:val="0"/>
      <w:marBottom w:val="0"/>
      <w:divBdr>
        <w:top w:val="none" w:sz="0" w:space="0" w:color="auto"/>
        <w:left w:val="none" w:sz="0" w:space="0" w:color="auto"/>
        <w:bottom w:val="none" w:sz="0" w:space="0" w:color="auto"/>
        <w:right w:val="none" w:sz="0" w:space="0" w:color="auto"/>
      </w:divBdr>
    </w:div>
    <w:div w:id="1925842038">
      <w:bodyDiv w:val="1"/>
      <w:marLeft w:val="0"/>
      <w:marRight w:val="0"/>
      <w:marTop w:val="0"/>
      <w:marBottom w:val="0"/>
      <w:divBdr>
        <w:top w:val="none" w:sz="0" w:space="0" w:color="auto"/>
        <w:left w:val="none" w:sz="0" w:space="0" w:color="auto"/>
        <w:bottom w:val="none" w:sz="0" w:space="0" w:color="auto"/>
        <w:right w:val="none" w:sz="0" w:space="0" w:color="auto"/>
      </w:divBdr>
    </w:div>
    <w:div w:id="1939822788">
      <w:bodyDiv w:val="1"/>
      <w:marLeft w:val="0"/>
      <w:marRight w:val="0"/>
      <w:marTop w:val="0"/>
      <w:marBottom w:val="0"/>
      <w:divBdr>
        <w:top w:val="none" w:sz="0" w:space="0" w:color="auto"/>
        <w:left w:val="none" w:sz="0" w:space="0" w:color="auto"/>
        <w:bottom w:val="none" w:sz="0" w:space="0" w:color="auto"/>
        <w:right w:val="none" w:sz="0" w:space="0" w:color="auto"/>
      </w:divBdr>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 w:id="20935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pmg.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pmg.com/xx/en/our-insights/esg/statistical-review-of-world-energy.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BBCCAE49-8258-4EC7-9AA0-48CC87A98F92}">
  <ds:schemaRefs>
    <ds:schemaRef ds:uri="http://schemas.openxmlformats.org/officeDocument/2006/bibliography"/>
  </ds:schemaRefs>
</ds:datastoreItem>
</file>

<file path=customXml/itemProps2.xml><?xml version="1.0" encoding="utf-8"?>
<ds:datastoreItem xmlns:ds="http://schemas.openxmlformats.org/officeDocument/2006/customXml" ds:itemID="{50827116-3D40-4705-9BA9-A3CEE5EB1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A5539-B5DB-4264-8B7E-5662E82D2C61}">
  <ds:schemaRefs>
    <ds:schemaRef ds:uri="http://schemas.microsoft.com/sharepoint/v3/contenttype/forms"/>
  </ds:schemaRefs>
</ds:datastoreItem>
</file>

<file path=customXml/itemProps4.xml><?xml version="1.0" encoding="utf-8"?>
<ds:datastoreItem xmlns:ds="http://schemas.openxmlformats.org/officeDocument/2006/customXml" ds:itemID="{09B7EEE9-E2CC-4F9D-B4C2-870F3A1B06B1}">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Metadata/LabelInfo.xml><?xml version="1.0" encoding="utf-8"?>
<clbl:labelList xmlns:clbl="http://schemas.microsoft.com/office/2020/mipLabelMetadata">
  <clbl:label id="{4ed8881d-4062-46d6-b0ca-1cc939420954}"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800</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KPMG</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 Ege</dc:creator>
  <cp:keywords/>
  <dc:description/>
  <cp:lastModifiedBy>Ceren Moral</cp:lastModifiedBy>
  <cp:revision>12</cp:revision>
  <dcterms:created xsi:type="dcterms:W3CDTF">2025-07-21T07:39:00Z</dcterms:created>
  <dcterms:modified xsi:type="dcterms:W3CDTF">2025-07-21T07:51:00Z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