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03C3" w14:textId="77777777" w:rsidR="004207C7" w:rsidRPr="004207C7" w:rsidRDefault="004207C7" w:rsidP="004207C7">
      <w:pPr>
        <w:pBdr>
          <w:top w:val="nil"/>
          <w:left w:val="nil"/>
          <w:bottom w:val="nil"/>
          <w:right w:val="nil"/>
          <w:between w:val="nil"/>
        </w:pBdr>
        <w:shd w:val="clear" w:color="auto" w:fill="FFFFFF"/>
        <w:tabs>
          <w:tab w:val="left" w:pos="6804"/>
        </w:tabs>
        <w:ind w:right="480"/>
        <w:jc w:val="center"/>
        <w:rPr>
          <w:b/>
          <w:bCs/>
          <w:color w:val="0E101A"/>
          <w:sz w:val="48"/>
          <w:szCs w:val="48"/>
          <w:lang w:val="tr-TR"/>
        </w:rPr>
      </w:pPr>
      <w:proofErr w:type="spellStart"/>
      <w:r w:rsidRPr="004207C7">
        <w:rPr>
          <w:b/>
          <w:bCs/>
          <w:color w:val="0E101A"/>
          <w:sz w:val="48"/>
          <w:szCs w:val="48"/>
          <w:lang w:val="tr-TR"/>
        </w:rPr>
        <w:t>EuroBasket</w:t>
      </w:r>
      <w:proofErr w:type="spellEnd"/>
      <w:r w:rsidRPr="004207C7">
        <w:rPr>
          <w:b/>
          <w:bCs/>
          <w:color w:val="0E101A"/>
          <w:sz w:val="48"/>
          <w:szCs w:val="48"/>
          <w:lang w:val="tr-TR"/>
        </w:rPr>
        <w:t xml:space="preserve"> 2022 başlıyor!</w:t>
      </w:r>
    </w:p>
    <w:p w14:paraId="6BBEECAA" w14:textId="3C05157F" w:rsidR="00BD0E17" w:rsidRPr="004207C7" w:rsidRDefault="004207C7" w:rsidP="00DE537A">
      <w:pPr>
        <w:pBdr>
          <w:top w:val="nil"/>
          <w:left w:val="nil"/>
          <w:bottom w:val="nil"/>
          <w:right w:val="nil"/>
          <w:between w:val="nil"/>
        </w:pBdr>
        <w:shd w:val="clear" w:color="auto" w:fill="FFFFFF"/>
        <w:tabs>
          <w:tab w:val="left" w:pos="6804"/>
        </w:tabs>
        <w:ind w:right="480"/>
        <w:jc w:val="center"/>
        <w:rPr>
          <w:b/>
          <w:bCs/>
          <w:color w:val="0E101A"/>
          <w:sz w:val="48"/>
          <w:szCs w:val="48"/>
          <w:lang w:val="tr-TR"/>
        </w:rPr>
      </w:pPr>
      <w:r w:rsidRPr="004207C7">
        <w:rPr>
          <w:b/>
          <w:bCs/>
          <w:color w:val="0E101A"/>
          <w:sz w:val="48"/>
          <w:szCs w:val="48"/>
          <w:lang w:val="tr-TR"/>
        </w:rPr>
        <w:t xml:space="preserve">TCL NXTPAPER 10s ile FIBA </w:t>
      </w:r>
      <w:proofErr w:type="spellStart"/>
      <w:r w:rsidRPr="004207C7">
        <w:rPr>
          <w:b/>
          <w:bCs/>
          <w:color w:val="0E101A"/>
          <w:sz w:val="48"/>
          <w:szCs w:val="48"/>
          <w:lang w:val="tr-TR"/>
        </w:rPr>
        <w:t>Eurobasket</w:t>
      </w:r>
      <w:proofErr w:type="spellEnd"/>
      <w:r w:rsidRPr="004207C7">
        <w:rPr>
          <w:b/>
          <w:bCs/>
          <w:color w:val="0E101A"/>
          <w:sz w:val="48"/>
          <w:szCs w:val="48"/>
          <w:lang w:val="tr-TR"/>
        </w:rPr>
        <w:t xml:space="preserve"> 2022 maçlarını izleme keyfini yaşayın</w:t>
      </w:r>
    </w:p>
    <w:p w14:paraId="2A168F0A" w14:textId="77777777" w:rsidR="004207C7" w:rsidRPr="004207C7" w:rsidRDefault="004207C7" w:rsidP="00DE537A">
      <w:pPr>
        <w:pBdr>
          <w:top w:val="nil"/>
          <w:left w:val="nil"/>
          <w:bottom w:val="nil"/>
          <w:right w:val="nil"/>
          <w:between w:val="nil"/>
        </w:pBdr>
        <w:shd w:val="clear" w:color="auto" w:fill="FFFFFF"/>
        <w:tabs>
          <w:tab w:val="left" w:pos="6804"/>
        </w:tabs>
        <w:ind w:right="480"/>
        <w:jc w:val="center"/>
        <w:rPr>
          <w:b/>
          <w:bCs/>
          <w:color w:val="0E101A"/>
          <w:sz w:val="48"/>
          <w:szCs w:val="48"/>
          <w:highlight w:val="yellow"/>
          <w:lang w:val="tr-TR"/>
        </w:rPr>
      </w:pPr>
    </w:p>
    <w:p w14:paraId="59D0ADDF" w14:textId="42ED8440" w:rsidR="00F717E9" w:rsidRPr="00830C4F" w:rsidRDefault="00DE537A" w:rsidP="00DE537A">
      <w:pPr>
        <w:pBdr>
          <w:top w:val="nil"/>
          <w:left w:val="nil"/>
          <w:bottom w:val="nil"/>
          <w:right w:val="nil"/>
          <w:between w:val="nil"/>
        </w:pBdr>
        <w:shd w:val="clear" w:color="auto" w:fill="FFFFFF"/>
        <w:tabs>
          <w:tab w:val="left" w:pos="6804"/>
        </w:tabs>
        <w:ind w:right="480"/>
        <w:jc w:val="center"/>
        <w:rPr>
          <w:rFonts w:ascii="Lato" w:eastAsia="Lato" w:hAnsi="Lato" w:cs="Lato"/>
          <w:b/>
          <w:color w:val="FF0000"/>
          <w:sz w:val="34"/>
          <w:szCs w:val="34"/>
          <w:lang w:val="tr-TR"/>
        </w:rPr>
      </w:pPr>
      <w:r w:rsidRPr="00830C4F">
        <w:rPr>
          <w:rFonts w:ascii="Lato" w:eastAsia="Lato" w:hAnsi="Lato" w:cs="Lato"/>
          <w:b/>
          <w:color w:val="FF0000"/>
          <w:sz w:val="34"/>
          <w:szCs w:val="34"/>
          <w:lang w:val="tr-TR"/>
        </w:rPr>
        <w:t>FIBA Uluslararası Basketbol Federasyonu Küresel Ortağı</w:t>
      </w:r>
    </w:p>
    <w:p w14:paraId="5AF31462" w14:textId="77777777" w:rsidR="000013D1" w:rsidRPr="00830C4F" w:rsidRDefault="000013D1" w:rsidP="00242F46">
      <w:pPr>
        <w:pBdr>
          <w:top w:val="nil"/>
          <w:left w:val="nil"/>
          <w:bottom w:val="nil"/>
          <w:right w:val="nil"/>
          <w:between w:val="nil"/>
        </w:pBdr>
        <w:shd w:val="clear" w:color="auto" w:fill="FFFFFF"/>
        <w:tabs>
          <w:tab w:val="left" w:pos="6804"/>
        </w:tabs>
        <w:ind w:right="480"/>
        <w:jc w:val="center"/>
        <w:rPr>
          <w:rFonts w:ascii="Lato" w:eastAsia="Lato" w:hAnsi="Lato" w:cs="Lato"/>
          <w:b/>
          <w:color w:val="FF0000"/>
          <w:sz w:val="34"/>
          <w:szCs w:val="34"/>
          <w:lang w:val="tr-TR"/>
        </w:rPr>
      </w:pPr>
    </w:p>
    <w:p w14:paraId="3992AC89" w14:textId="3A61D7C8" w:rsidR="00F501FA" w:rsidRPr="00830C4F" w:rsidRDefault="000013D1" w:rsidP="00242F46">
      <w:pPr>
        <w:pBdr>
          <w:top w:val="nil"/>
          <w:left w:val="nil"/>
          <w:bottom w:val="nil"/>
          <w:right w:val="nil"/>
          <w:between w:val="nil"/>
        </w:pBdr>
        <w:shd w:val="clear" w:color="auto" w:fill="FFFFFF"/>
        <w:tabs>
          <w:tab w:val="left" w:pos="6804"/>
        </w:tabs>
        <w:ind w:right="480"/>
        <w:jc w:val="center"/>
        <w:rPr>
          <w:rFonts w:ascii="Lato" w:eastAsia="Lato" w:hAnsi="Lato" w:cs="Lato"/>
          <w:b/>
          <w:color w:val="FF0000"/>
          <w:sz w:val="34"/>
          <w:szCs w:val="34"/>
          <w:lang w:val="tr-TR"/>
        </w:rPr>
      </w:pPr>
      <w:r w:rsidRPr="00830C4F">
        <w:rPr>
          <w:rFonts w:ascii="Lato" w:eastAsia="Lato" w:hAnsi="Lato" w:cs="Lato"/>
          <w:b/>
          <w:noProof/>
          <w:color w:val="FF0000"/>
          <w:sz w:val="34"/>
          <w:szCs w:val="34"/>
          <w:lang w:val="tr-TR"/>
        </w:rPr>
        <w:drawing>
          <wp:inline distT="0" distB="0" distL="0" distR="0" wp14:anchorId="55C55000" wp14:editId="4B7ECCC5">
            <wp:extent cx="5727700" cy="2638425"/>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2638425"/>
                    </a:xfrm>
                    <a:prstGeom prst="rect">
                      <a:avLst/>
                    </a:prstGeom>
                  </pic:spPr>
                </pic:pic>
              </a:graphicData>
            </a:graphic>
          </wp:inline>
        </w:drawing>
      </w:r>
    </w:p>
    <w:p w14:paraId="569FE7E0" w14:textId="77777777" w:rsidR="000013D1" w:rsidRPr="00830C4F" w:rsidRDefault="000013D1" w:rsidP="00242F46">
      <w:pPr>
        <w:pBdr>
          <w:top w:val="nil"/>
          <w:left w:val="nil"/>
          <w:bottom w:val="nil"/>
          <w:right w:val="nil"/>
          <w:between w:val="nil"/>
        </w:pBdr>
        <w:shd w:val="clear" w:color="auto" w:fill="FFFFFF"/>
        <w:tabs>
          <w:tab w:val="left" w:pos="6804"/>
        </w:tabs>
        <w:ind w:right="480"/>
        <w:jc w:val="center"/>
        <w:rPr>
          <w:rFonts w:ascii="Lato" w:eastAsia="Lato" w:hAnsi="Lato" w:cs="Lato"/>
          <w:b/>
          <w:color w:val="FF0000"/>
          <w:sz w:val="34"/>
          <w:szCs w:val="34"/>
          <w:lang w:val="tr-TR"/>
        </w:rPr>
      </w:pPr>
    </w:p>
    <w:tbl>
      <w:tblPr>
        <w:tblStyle w:val="a"/>
        <w:tblW w:w="962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24"/>
      </w:tblGrid>
      <w:tr w:rsidR="006E5255" w:rsidRPr="00830C4F" w14:paraId="17AE9BA3" w14:textId="77777777" w:rsidTr="03C722CE">
        <w:trPr>
          <w:trHeight w:val="100"/>
        </w:trPr>
        <w:tc>
          <w:tcPr>
            <w:tcW w:w="9624" w:type="dxa"/>
            <w:vAlign w:val="center"/>
          </w:tcPr>
          <w:p w14:paraId="59B1F11A" w14:textId="1C0372DA" w:rsidR="00541F0F" w:rsidRPr="00830C4F" w:rsidRDefault="00181060" w:rsidP="00CD47C6">
            <w:pPr>
              <w:shd w:val="clear" w:color="auto" w:fill="FFFFFF"/>
              <w:spacing w:line="276" w:lineRule="auto"/>
              <w:jc w:val="both"/>
              <w:rPr>
                <w:rFonts w:ascii="Lato Light" w:eastAsia="Lato Light" w:hAnsi="Lato Light" w:cs="Lato Light"/>
                <w:lang w:val="tr-TR"/>
              </w:rPr>
            </w:pPr>
            <w:r w:rsidRPr="00454D85">
              <w:rPr>
                <w:rFonts w:ascii="Lato Light" w:eastAsia="Lato Light" w:hAnsi="Lato Light" w:cs="Lato Light"/>
                <w:lang w:val="tr-TR"/>
              </w:rPr>
              <w:t>Almanya, Çekya, Gürcistan ve İtalya’nın ev sahipliğinde 1 - 18 Eylül 2022 tarihlerinde düzenlenecek FIBA</w:t>
            </w:r>
            <w:r w:rsidRPr="00830C4F">
              <w:rPr>
                <w:rFonts w:ascii="Lato Light" w:eastAsia="Lato Light" w:hAnsi="Lato Light" w:cs="Lato Light"/>
                <w:lang w:val="tr-TR"/>
              </w:rPr>
              <w:t xml:space="preserve"> 2022 Avrupa Şampiyonası'na (EuroBasket 2022) sayılı günler kaldı. </w:t>
            </w:r>
            <w:r w:rsidR="00541F0F" w:rsidRPr="00830C4F">
              <w:rPr>
                <w:rFonts w:ascii="Lato Light" w:eastAsia="Lato Light" w:hAnsi="Lato Light" w:cs="Lato Light"/>
                <w:lang w:val="tr-TR"/>
              </w:rPr>
              <w:t>H</w:t>
            </w:r>
            <w:r w:rsidR="00264B74" w:rsidRPr="00830C4F">
              <w:rPr>
                <w:rFonts w:ascii="Lato Light" w:eastAsia="Lato Light" w:hAnsi="Lato Light" w:cs="Lato Light"/>
                <w:lang w:val="tr-TR"/>
              </w:rPr>
              <w:t>eyecanla bekle</w:t>
            </w:r>
            <w:r w:rsidR="00541F0F" w:rsidRPr="00830C4F">
              <w:rPr>
                <w:rFonts w:ascii="Lato Light" w:eastAsia="Lato Light" w:hAnsi="Lato Light" w:cs="Lato Light"/>
                <w:lang w:val="tr-TR"/>
              </w:rPr>
              <w:t xml:space="preserve">nen </w:t>
            </w:r>
            <w:r w:rsidR="00264B74" w:rsidRPr="00830C4F">
              <w:rPr>
                <w:rFonts w:ascii="Lato Light" w:eastAsia="Lato Light" w:hAnsi="Lato Light" w:cs="Lato Light"/>
                <w:lang w:val="tr-TR"/>
              </w:rPr>
              <w:t>turnuvada</w:t>
            </w:r>
            <w:r w:rsidR="00541F0F" w:rsidRPr="00830C4F">
              <w:rPr>
                <w:rFonts w:ascii="Lato Light" w:eastAsia="Lato Light" w:hAnsi="Lato Light" w:cs="Lato Light"/>
                <w:lang w:val="tr-TR"/>
              </w:rPr>
              <w:t>,</w:t>
            </w:r>
            <w:r w:rsidR="00264B74" w:rsidRPr="00830C4F">
              <w:rPr>
                <w:rFonts w:ascii="Lato Light" w:eastAsia="Lato Light" w:hAnsi="Lato Light" w:cs="Lato Light"/>
                <w:lang w:val="tr-TR"/>
              </w:rPr>
              <w:t xml:space="preserve"> FIBA Uluslararası Basketbol Federasyonu Küresel Ortağı TCL de</w:t>
            </w:r>
            <w:r w:rsidR="00541F0F" w:rsidRPr="00830C4F">
              <w:rPr>
                <w:rFonts w:ascii="Lato Light" w:eastAsia="Lato Light" w:hAnsi="Lato Light" w:cs="Lato Light"/>
                <w:lang w:val="tr-TR"/>
              </w:rPr>
              <w:t xml:space="preserve"> sadece basketbol severlerin değil tüm spor severlerin bu etkinlikte en iyi deneyimi yaşamalarını amaçlıyor. </w:t>
            </w:r>
          </w:p>
          <w:p w14:paraId="06CE6255" w14:textId="77777777" w:rsidR="00541F0F" w:rsidRPr="00830C4F" w:rsidRDefault="00541F0F" w:rsidP="00CD47C6">
            <w:pPr>
              <w:shd w:val="clear" w:color="auto" w:fill="FFFFFF"/>
              <w:spacing w:line="276" w:lineRule="auto"/>
              <w:jc w:val="both"/>
              <w:rPr>
                <w:rFonts w:ascii="Lato Light" w:eastAsia="Lato Light" w:hAnsi="Lato Light" w:cs="Lato Light"/>
                <w:lang w:val="tr-TR"/>
              </w:rPr>
            </w:pPr>
          </w:p>
          <w:p w14:paraId="30A64A0B" w14:textId="77777777" w:rsidR="007B2783" w:rsidRDefault="0008149A" w:rsidP="0008149A">
            <w:pPr>
              <w:shd w:val="clear" w:color="auto" w:fill="FFFFFF"/>
              <w:spacing w:line="276" w:lineRule="auto"/>
              <w:jc w:val="both"/>
              <w:rPr>
                <w:rFonts w:ascii="Lato Light" w:eastAsia="Lato Light" w:hAnsi="Lato Light" w:cs="Lato Light"/>
                <w:lang w:val="tr-TR"/>
              </w:rPr>
            </w:pPr>
            <w:r w:rsidRPr="00830C4F">
              <w:rPr>
                <w:rFonts w:ascii="Lato Light" w:eastAsia="Lato Light" w:hAnsi="Lato Light" w:cs="Lato Light"/>
                <w:lang w:val="tr-TR"/>
              </w:rPr>
              <w:t xml:space="preserve">Müsabakalarda “TCL Maçın Oyuncusu” adı altında yapılan karşılaşmaların en iyi oyuncusunu sunma rolünü de üstlenecek olan </w:t>
            </w:r>
            <w:r w:rsidR="00683900" w:rsidRPr="00830C4F">
              <w:rPr>
                <w:rFonts w:ascii="Lato Light" w:eastAsia="Lato Light" w:hAnsi="Lato Light" w:cs="Lato Light"/>
                <w:lang w:val="tr-TR"/>
              </w:rPr>
              <w:t>TCL</w:t>
            </w:r>
            <w:r w:rsidRPr="00830C4F">
              <w:rPr>
                <w:rFonts w:ascii="Lato Light" w:eastAsia="Lato Light" w:hAnsi="Lato Light" w:cs="Lato Light"/>
                <w:lang w:val="tr-TR"/>
              </w:rPr>
              <w:t xml:space="preserve">, ayrıca </w:t>
            </w:r>
            <w:r w:rsidR="00683900" w:rsidRPr="00830C4F">
              <w:rPr>
                <w:rFonts w:ascii="Lato Light" w:eastAsia="Lato Light" w:hAnsi="Lato Light" w:cs="Lato Light"/>
                <w:lang w:val="tr-TR"/>
              </w:rPr>
              <w:t xml:space="preserve">İtalya'nın Milano kentindeki FIBA Fan </w:t>
            </w:r>
            <w:proofErr w:type="spellStart"/>
            <w:r w:rsidR="00683900" w:rsidRPr="00830C4F">
              <w:rPr>
                <w:rFonts w:ascii="Lato Light" w:eastAsia="Lato Light" w:hAnsi="Lato Light" w:cs="Lato Light"/>
                <w:lang w:val="tr-TR"/>
              </w:rPr>
              <w:t>Zone'da</w:t>
            </w:r>
            <w:proofErr w:type="spellEnd"/>
            <w:r w:rsidR="00683900" w:rsidRPr="00830C4F">
              <w:rPr>
                <w:rFonts w:ascii="Lato Light" w:eastAsia="Lato Light" w:hAnsi="Lato Light" w:cs="Lato Light"/>
                <w:lang w:val="tr-TR"/>
              </w:rPr>
              <w:t xml:space="preserve"> </w:t>
            </w:r>
            <w:r w:rsidRPr="00830C4F">
              <w:rPr>
                <w:rFonts w:ascii="Lato Light" w:eastAsia="Lato Light" w:hAnsi="Lato Light" w:cs="Lato Light"/>
                <w:lang w:val="tr-TR"/>
              </w:rPr>
              <w:t xml:space="preserve">turnuvanın </w:t>
            </w:r>
            <w:r w:rsidR="00683900" w:rsidRPr="00830C4F">
              <w:rPr>
                <w:rFonts w:ascii="Lato Light" w:eastAsia="Lato Light" w:hAnsi="Lato Light" w:cs="Lato Light"/>
                <w:lang w:val="tr-TR"/>
              </w:rPr>
              <w:t xml:space="preserve">keyfini çıkarmak isteyenler için </w:t>
            </w:r>
            <w:r w:rsidRPr="00830C4F">
              <w:rPr>
                <w:rFonts w:ascii="Lato Light" w:eastAsia="Lato Light" w:hAnsi="Lato Light" w:cs="Lato Light"/>
                <w:lang w:val="tr-TR"/>
              </w:rPr>
              <w:t xml:space="preserve">sunduğu </w:t>
            </w:r>
            <w:r w:rsidR="00683900" w:rsidRPr="00830C4F">
              <w:rPr>
                <w:rFonts w:ascii="Lato Light" w:eastAsia="Lato Light" w:hAnsi="Lato Light" w:cs="Lato Light"/>
                <w:lang w:val="tr-TR"/>
              </w:rPr>
              <w:t xml:space="preserve">yenilikçi TV, tablet, </w:t>
            </w:r>
            <w:r w:rsidRPr="00830C4F">
              <w:rPr>
                <w:rFonts w:ascii="Lato Light" w:eastAsia="Lato Light" w:hAnsi="Lato Light" w:cs="Lato Light"/>
                <w:lang w:val="tr-TR"/>
              </w:rPr>
              <w:t xml:space="preserve">soundbar, </w:t>
            </w:r>
            <w:r w:rsidR="00683900" w:rsidRPr="00830C4F">
              <w:rPr>
                <w:rFonts w:ascii="Lato Light" w:eastAsia="Lato Light" w:hAnsi="Lato Light" w:cs="Lato Light"/>
                <w:lang w:val="tr-TR"/>
              </w:rPr>
              <w:t xml:space="preserve">ev aletleri ve bağlanabilirlik ürün ekosistemini </w:t>
            </w:r>
            <w:r w:rsidRPr="00830C4F">
              <w:rPr>
                <w:rFonts w:ascii="Lato Light" w:eastAsia="Lato Light" w:hAnsi="Lato Light" w:cs="Lato Light"/>
                <w:lang w:val="tr-TR"/>
              </w:rPr>
              <w:t xml:space="preserve">de </w:t>
            </w:r>
            <w:r w:rsidR="00683900" w:rsidRPr="00830C4F">
              <w:rPr>
                <w:rFonts w:ascii="Lato Light" w:eastAsia="Lato Light" w:hAnsi="Lato Light" w:cs="Lato Light"/>
                <w:lang w:val="tr-TR"/>
              </w:rPr>
              <w:t>sergileyecek.</w:t>
            </w:r>
            <w:r w:rsidRPr="00830C4F">
              <w:rPr>
                <w:rFonts w:ascii="Lato Light" w:eastAsia="Lato Light" w:hAnsi="Lato Light" w:cs="Lato Light"/>
                <w:lang w:val="tr-TR"/>
              </w:rPr>
              <w:t xml:space="preserve"> </w:t>
            </w:r>
          </w:p>
          <w:p w14:paraId="1D80B0A7" w14:textId="77777777" w:rsidR="007B2783" w:rsidRDefault="007B2783" w:rsidP="0008149A">
            <w:pPr>
              <w:shd w:val="clear" w:color="auto" w:fill="FFFFFF"/>
              <w:spacing w:line="276" w:lineRule="auto"/>
              <w:jc w:val="both"/>
              <w:rPr>
                <w:rFonts w:ascii="Lato Light" w:eastAsia="Lato Light" w:hAnsi="Lato Light" w:cs="Lato Light"/>
                <w:lang w:val="tr-TR"/>
              </w:rPr>
            </w:pPr>
          </w:p>
          <w:p w14:paraId="329B10A0" w14:textId="3515759A" w:rsidR="007B2783" w:rsidRPr="007B2783" w:rsidRDefault="0008149A" w:rsidP="00320F27">
            <w:pPr>
              <w:shd w:val="clear" w:color="auto" w:fill="FFFFFF"/>
              <w:spacing w:line="276" w:lineRule="auto"/>
              <w:jc w:val="both"/>
              <w:rPr>
                <w:rFonts w:ascii="Lato Light" w:eastAsia="Lato Light" w:hAnsi="Lato Light" w:cs="Lato Light"/>
                <w:lang w:val="tr-TR"/>
              </w:rPr>
            </w:pPr>
            <w:r w:rsidRPr="00830C4F">
              <w:rPr>
                <w:rFonts w:ascii="Lato Light" w:eastAsia="Lato Light" w:hAnsi="Lato Light" w:cs="Lato Light"/>
                <w:lang w:val="tr-TR"/>
              </w:rPr>
              <w:t xml:space="preserve">Bu ürünler içerisinde yer alan </w:t>
            </w:r>
            <w:r w:rsidR="00830C4F">
              <w:rPr>
                <w:rFonts w:ascii="Lato Light" w:eastAsia="Lato Light" w:hAnsi="Lato Light" w:cs="Lato Light"/>
                <w:lang w:val="tr-TR"/>
              </w:rPr>
              <w:t>k</w:t>
            </w:r>
            <w:r w:rsidRPr="00830C4F">
              <w:rPr>
                <w:rFonts w:ascii="Lato Light" w:eastAsia="Lato Light" w:hAnsi="Lato Light" w:cs="Lato Light"/>
                <w:lang w:val="tr-TR"/>
              </w:rPr>
              <w:t>âğıt benzeri bir ekran deneyimi sunan NXTPAPER görüntüleme teknolojisine sahip TCL NXTPAPER 10s basketbol izlemeyi de oynamak kadar güzelleştirecek bir ürün olarak öne çıkıyor.</w:t>
            </w:r>
            <w:r w:rsidR="007B2783">
              <w:rPr>
                <w:rFonts w:ascii="Lato Light" w:eastAsia="Lato Light" w:hAnsi="Lato Light" w:cs="Lato Light"/>
                <w:lang w:val="tr-TR"/>
              </w:rPr>
              <w:t xml:space="preserve"> </w:t>
            </w:r>
            <w:r w:rsidRPr="00830C4F">
              <w:rPr>
                <w:rFonts w:ascii="Lato Light" w:eastAsia="Lato Light" w:hAnsi="Lato Light" w:cs="Lato Light"/>
                <w:lang w:val="tr-TR"/>
              </w:rPr>
              <w:t>NXTPAPER 10s tabletin 10,1 inç IPS ekranı, özellikle göz korumasına odaklanılarak tasarlandı. Kâğıt benzeri ekran tasarımı, renklerin doğallığı için 10 kat koruma kullanarak bir endüstri standardı oluşturuyor. TÜV sertifikalı ekranı mavi ışığı %50'nin üzerinde azaltması ile dikkat çekiyor.</w:t>
            </w:r>
            <w:r w:rsidR="007B2783">
              <w:rPr>
                <w:rFonts w:ascii="Lato Light" w:eastAsia="Lato Light" w:hAnsi="Lato Light" w:cs="Lato Light"/>
                <w:lang w:val="tr-TR"/>
              </w:rPr>
              <w:t xml:space="preserve"> </w:t>
            </w:r>
            <w:r w:rsidR="007B2783" w:rsidRPr="007B2783">
              <w:rPr>
                <w:rFonts w:ascii="Lato Light" w:eastAsia="Lato Light" w:hAnsi="Lato Light" w:cs="Lato Light"/>
                <w:lang w:val="tr-TR"/>
              </w:rPr>
              <w:t>TCL NXTPAPER 10s</w:t>
            </w:r>
            <w:r w:rsidR="007B2783">
              <w:rPr>
                <w:rFonts w:ascii="Lato Light" w:eastAsia="Lato Light" w:hAnsi="Lato Light" w:cs="Lato Light"/>
                <w:lang w:val="tr-TR"/>
              </w:rPr>
              <w:t>,</w:t>
            </w:r>
            <w:r w:rsidR="007B2783" w:rsidRPr="007B2783">
              <w:rPr>
                <w:rFonts w:ascii="Lato Light" w:eastAsia="Lato Light" w:hAnsi="Lato Light" w:cs="Lato Light"/>
                <w:lang w:val="tr-TR"/>
              </w:rPr>
              <w:t xml:space="preserve"> CES 2022'de tanıtıl</w:t>
            </w:r>
            <w:r w:rsidR="007B2783">
              <w:rPr>
                <w:rFonts w:ascii="Lato Light" w:eastAsia="Lato Light" w:hAnsi="Lato Light" w:cs="Lato Light"/>
                <w:lang w:val="tr-TR"/>
              </w:rPr>
              <w:t>mış</w:t>
            </w:r>
            <w:r w:rsidR="007B2783" w:rsidRPr="007B2783">
              <w:rPr>
                <w:rFonts w:ascii="Lato Light" w:eastAsia="Lato Light" w:hAnsi="Lato Light" w:cs="Lato Light"/>
                <w:lang w:val="tr-TR"/>
              </w:rPr>
              <w:t xml:space="preserve"> ve burada "Yılın Göz Koruma İnovasyon Ödülü"nü kazan</w:t>
            </w:r>
            <w:r w:rsidR="007B2783">
              <w:rPr>
                <w:rFonts w:ascii="Lato Light" w:eastAsia="Lato Light" w:hAnsi="Lato Light" w:cs="Lato Light"/>
                <w:lang w:val="tr-TR"/>
              </w:rPr>
              <w:t xml:space="preserve">mıştı. </w:t>
            </w:r>
            <w:r w:rsidR="007B2783" w:rsidRPr="007B2783">
              <w:rPr>
                <w:rFonts w:ascii="Lato Light" w:eastAsia="Lato Light" w:hAnsi="Lato Light" w:cs="Lato Light"/>
                <w:lang w:val="tr-TR"/>
              </w:rPr>
              <w:t xml:space="preserve">TCL son olarak TCL NXTPAPER 10s </w:t>
            </w:r>
            <w:r w:rsidR="007B2783">
              <w:rPr>
                <w:rFonts w:ascii="Lato Light" w:eastAsia="Lato Light" w:hAnsi="Lato Light" w:cs="Lato Light"/>
                <w:lang w:val="tr-TR"/>
              </w:rPr>
              <w:t xml:space="preserve">tablet </w:t>
            </w:r>
            <w:r w:rsidR="007B2783" w:rsidRPr="007B2783">
              <w:rPr>
                <w:rFonts w:ascii="Lato Light" w:eastAsia="Lato Light" w:hAnsi="Lato Light" w:cs="Lato Light"/>
                <w:lang w:val="tr-TR"/>
              </w:rPr>
              <w:t xml:space="preserve">ile Avrupa Görüntüleme ve Ses Birliği (EISA) tarafından "2022 - 2023 </w:t>
            </w:r>
            <w:r w:rsidR="007B2783">
              <w:rPr>
                <w:rFonts w:ascii="Lato Light" w:eastAsia="Lato Light" w:hAnsi="Lato Light" w:cs="Lato Light"/>
                <w:lang w:val="tr-TR"/>
              </w:rPr>
              <w:t xml:space="preserve">Yılı </w:t>
            </w:r>
            <w:r w:rsidR="007B2783" w:rsidRPr="007B2783">
              <w:rPr>
                <w:rFonts w:ascii="Lato Light" w:eastAsia="Lato Light" w:hAnsi="Lato Light" w:cs="Lato Light"/>
                <w:lang w:val="tr-TR"/>
              </w:rPr>
              <w:t>Tablet İnovasyonu" ödülünün de sahibi oldu</w:t>
            </w:r>
            <w:r w:rsidR="007B2783">
              <w:rPr>
                <w:rFonts w:ascii="Lato Light" w:eastAsia="Lato Light" w:hAnsi="Lato Light" w:cs="Lato Light"/>
                <w:lang w:val="tr-TR"/>
              </w:rPr>
              <w:t>.</w:t>
            </w:r>
          </w:p>
          <w:p w14:paraId="0B868E1D" w14:textId="3E7A4DAC" w:rsidR="00CD47C6" w:rsidRDefault="0008149A" w:rsidP="00CD47C6">
            <w:pPr>
              <w:shd w:val="clear" w:color="auto" w:fill="FFFFFF"/>
              <w:spacing w:line="276" w:lineRule="auto"/>
              <w:jc w:val="both"/>
              <w:rPr>
                <w:rFonts w:ascii="Lato Light" w:eastAsia="Lato Light" w:hAnsi="Lato Light" w:cs="Lato Light"/>
                <w:lang w:val="tr-TR"/>
              </w:rPr>
            </w:pPr>
            <w:r w:rsidRPr="00830C4F">
              <w:rPr>
                <w:rFonts w:ascii="Lato Light" w:eastAsia="Lato Light" w:hAnsi="Lato Light" w:cs="Lato Light"/>
                <w:lang w:val="tr-TR"/>
              </w:rPr>
              <w:t xml:space="preserve"> </w:t>
            </w:r>
          </w:p>
          <w:p w14:paraId="6EFDB6BF" w14:textId="339AA2B5" w:rsidR="00057E04" w:rsidRPr="00057E04" w:rsidRDefault="00057E04" w:rsidP="00CD47C6">
            <w:pPr>
              <w:shd w:val="clear" w:color="auto" w:fill="FFFFFF"/>
              <w:spacing w:line="276" w:lineRule="auto"/>
              <w:jc w:val="both"/>
              <w:rPr>
                <w:rFonts w:ascii="Lato Light" w:eastAsia="Lato Light" w:hAnsi="Lato Light" w:cs="Lato Light"/>
                <w:b/>
                <w:bCs/>
                <w:lang w:val="tr-TR"/>
              </w:rPr>
            </w:pPr>
            <w:r w:rsidRPr="00057E04">
              <w:rPr>
                <w:rFonts w:ascii="Lato Light" w:eastAsia="Lato Light" w:hAnsi="Lato Light" w:cs="Lato Light"/>
                <w:b/>
                <w:bCs/>
                <w:lang w:val="tr-TR"/>
              </w:rPr>
              <w:lastRenderedPageBreak/>
              <w:t>“Sporun birleştirici gücünün fakındayız”</w:t>
            </w:r>
          </w:p>
          <w:p w14:paraId="300C2DA5" w14:textId="12375942" w:rsidR="00644424" w:rsidRDefault="00644424" w:rsidP="00057E04">
            <w:pPr>
              <w:shd w:val="clear" w:color="auto" w:fill="FFFFFF"/>
              <w:spacing w:line="276" w:lineRule="auto"/>
              <w:jc w:val="both"/>
              <w:rPr>
                <w:rFonts w:ascii="Lato Light" w:eastAsia="Lato Light" w:hAnsi="Lato Light" w:cs="Lato Light"/>
                <w:lang w:val="tr-TR"/>
              </w:rPr>
            </w:pPr>
            <w:r>
              <w:rPr>
                <w:rFonts w:ascii="Lato Light" w:eastAsia="Lato Light" w:hAnsi="Lato Light" w:cs="Lato Light"/>
                <w:lang w:val="tr-TR"/>
              </w:rPr>
              <w:t xml:space="preserve">Konuyla ilgili açıklamada </w:t>
            </w:r>
            <w:r w:rsidRPr="004207C7">
              <w:rPr>
                <w:rFonts w:ascii="Lato Light" w:eastAsia="Lato Light" w:hAnsi="Lato Light" w:cs="Lato Light"/>
                <w:lang w:val="tr-TR"/>
              </w:rPr>
              <w:t xml:space="preserve">bulunan </w:t>
            </w:r>
            <w:r w:rsidRPr="004207C7">
              <w:rPr>
                <w:rFonts w:ascii="Lato Light" w:eastAsia="Lato Light" w:hAnsi="Lato Light" w:cs="Lato Light"/>
                <w:b/>
                <w:bCs/>
                <w:lang w:val="tr-TR"/>
              </w:rPr>
              <w:t>TCL Türkiye</w:t>
            </w:r>
            <w:r w:rsidR="00454D85" w:rsidRPr="004207C7">
              <w:rPr>
                <w:rFonts w:ascii="Lato Light" w:eastAsia="Lato Light" w:hAnsi="Lato Light" w:cs="Lato Light"/>
                <w:b/>
                <w:bCs/>
                <w:lang w:val="tr-TR"/>
              </w:rPr>
              <w:t xml:space="preserve"> Ülke Müdürü</w:t>
            </w:r>
            <w:r w:rsidRPr="004207C7">
              <w:rPr>
                <w:rFonts w:ascii="Lato Light" w:eastAsia="Lato Light" w:hAnsi="Lato Light" w:cs="Lato Light"/>
                <w:b/>
                <w:bCs/>
                <w:lang w:val="tr-TR"/>
              </w:rPr>
              <w:t xml:space="preserve"> </w:t>
            </w:r>
            <w:r w:rsidR="00454D85" w:rsidRPr="004207C7">
              <w:rPr>
                <w:rFonts w:ascii="Lato Light" w:eastAsia="Lato Light" w:hAnsi="Lato Light" w:cs="Lato Light"/>
                <w:b/>
                <w:bCs/>
                <w:lang w:val="tr-TR"/>
              </w:rPr>
              <w:t>Serhan Tunca</w:t>
            </w:r>
            <w:r w:rsidRPr="004207C7">
              <w:rPr>
                <w:rFonts w:ascii="Lato Light" w:eastAsia="Lato Light" w:hAnsi="Lato Light" w:cs="Lato Light"/>
                <w:b/>
                <w:bCs/>
                <w:lang w:val="tr-TR"/>
              </w:rPr>
              <w:t>,</w:t>
            </w:r>
            <w:r w:rsidRPr="004207C7">
              <w:rPr>
                <w:rFonts w:ascii="Lato Light" w:eastAsia="Lato Light" w:hAnsi="Lato Light" w:cs="Lato Light"/>
                <w:lang w:val="tr-TR"/>
              </w:rPr>
              <w:t xml:space="preserve"> “FIBA</w:t>
            </w:r>
            <w:r w:rsidRPr="00644424">
              <w:rPr>
                <w:rFonts w:ascii="Lato Light" w:eastAsia="Lato Light" w:hAnsi="Lato Light" w:cs="Lato Light"/>
                <w:lang w:val="tr-TR"/>
              </w:rPr>
              <w:t xml:space="preserve"> Uluslararası Basketbol Federasyonu'nun </w:t>
            </w:r>
            <w:r>
              <w:rPr>
                <w:rFonts w:ascii="Lato Light" w:eastAsia="Lato Light" w:hAnsi="Lato Light" w:cs="Lato Light"/>
                <w:lang w:val="tr-TR"/>
              </w:rPr>
              <w:t xml:space="preserve">küresel ortağı </w:t>
            </w:r>
            <w:r w:rsidRPr="00644424">
              <w:rPr>
                <w:rFonts w:ascii="Lato Light" w:eastAsia="Lato Light" w:hAnsi="Lato Light" w:cs="Lato Light"/>
                <w:lang w:val="tr-TR"/>
              </w:rPr>
              <w:t xml:space="preserve">olarak dört </w:t>
            </w:r>
            <w:r>
              <w:rPr>
                <w:rFonts w:ascii="Lato Light" w:eastAsia="Lato Light" w:hAnsi="Lato Light" w:cs="Lato Light"/>
                <w:lang w:val="tr-TR"/>
              </w:rPr>
              <w:t xml:space="preserve">ülkede </w:t>
            </w:r>
            <w:r w:rsidRPr="00644424">
              <w:rPr>
                <w:rFonts w:ascii="Lato Light" w:eastAsia="Lato Light" w:hAnsi="Lato Light" w:cs="Lato Light"/>
                <w:lang w:val="tr-TR"/>
              </w:rPr>
              <w:t>böyle</w:t>
            </w:r>
            <w:r>
              <w:rPr>
                <w:rFonts w:ascii="Lato Light" w:eastAsia="Lato Light" w:hAnsi="Lato Light" w:cs="Lato Light"/>
                <w:lang w:val="tr-TR"/>
              </w:rPr>
              <w:t xml:space="preserve">sine önemli </w:t>
            </w:r>
            <w:r w:rsidRPr="00644424">
              <w:rPr>
                <w:rFonts w:ascii="Lato Light" w:eastAsia="Lato Light" w:hAnsi="Lato Light" w:cs="Lato Light"/>
                <w:lang w:val="tr-TR"/>
              </w:rPr>
              <w:t>bir rekabete tanık olmak ilham verici. TCL</w:t>
            </w:r>
            <w:r w:rsidR="00057E04">
              <w:rPr>
                <w:rFonts w:ascii="Lato Light" w:eastAsia="Lato Light" w:hAnsi="Lato Light" w:cs="Lato Light"/>
                <w:lang w:val="tr-TR"/>
              </w:rPr>
              <w:t xml:space="preserve"> olarak </w:t>
            </w:r>
            <w:r w:rsidRPr="00644424">
              <w:rPr>
                <w:rFonts w:ascii="Lato Light" w:eastAsia="Lato Light" w:hAnsi="Lato Light" w:cs="Lato Light"/>
                <w:lang w:val="tr-TR"/>
              </w:rPr>
              <w:t xml:space="preserve">sporun oyuncular, taraftarlar ve </w:t>
            </w:r>
            <w:r w:rsidR="00057E04">
              <w:rPr>
                <w:rFonts w:ascii="Lato Light" w:eastAsia="Lato Light" w:hAnsi="Lato Light" w:cs="Lato Light"/>
                <w:lang w:val="tr-TR"/>
              </w:rPr>
              <w:t xml:space="preserve">toplumlar </w:t>
            </w:r>
            <w:r w:rsidRPr="00644424">
              <w:rPr>
                <w:rFonts w:ascii="Lato Light" w:eastAsia="Lato Light" w:hAnsi="Lato Light" w:cs="Lato Light"/>
                <w:lang w:val="tr-TR"/>
              </w:rPr>
              <w:t xml:space="preserve">arasındaki birleştirici </w:t>
            </w:r>
            <w:r w:rsidR="00057E04" w:rsidRPr="00644424">
              <w:rPr>
                <w:rFonts w:ascii="Lato Light" w:eastAsia="Lato Light" w:hAnsi="Lato Light" w:cs="Lato Light"/>
                <w:lang w:val="tr-TR"/>
              </w:rPr>
              <w:t>gücünü</w:t>
            </w:r>
            <w:r w:rsidR="00057E04">
              <w:rPr>
                <w:rFonts w:ascii="Lato Light" w:eastAsia="Lato Light" w:hAnsi="Lato Light" w:cs="Lato Light"/>
                <w:lang w:val="tr-TR"/>
              </w:rPr>
              <w:t>n</w:t>
            </w:r>
            <w:r w:rsidR="00057E04" w:rsidRPr="00644424">
              <w:rPr>
                <w:rFonts w:ascii="Lato Light" w:eastAsia="Lato Light" w:hAnsi="Lato Light" w:cs="Lato Light"/>
                <w:lang w:val="tr-TR"/>
              </w:rPr>
              <w:t xml:space="preserve"> </w:t>
            </w:r>
            <w:r w:rsidR="00057E04">
              <w:rPr>
                <w:rFonts w:ascii="Lato Light" w:eastAsia="Lato Light" w:hAnsi="Lato Light" w:cs="Lato Light"/>
                <w:lang w:val="tr-TR"/>
              </w:rPr>
              <w:t xml:space="preserve">fakındayız. </w:t>
            </w:r>
            <w:r w:rsidRPr="00644424">
              <w:rPr>
                <w:rFonts w:ascii="Lato Light" w:eastAsia="Lato Light" w:hAnsi="Lato Light" w:cs="Lato Light"/>
                <w:lang w:val="tr-TR"/>
              </w:rPr>
              <w:t xml:space="preserve">Bu </w:t>
            </w:r>
            <w:r w:rsidR="00057E04">
              <w:rPr>
                <w:rFonts w:ascii="Lato Light" w:eastAsia="Lato Light" w:hAnsi="Lato Light" w:cs="Lato Light"/>
                <w:lang w:val="tr-TR"/>
              </w:rPr>
              <w:t>heyecan dolu turnuvada bir</w:t>
            </w:r>
            <w:r w:rsidRPr="00644424">
              <w:rPr>
                <w:rFonts w:ascii="Lato Light" w:eastAsia="Lato Light" w:hAnsi="Lato Light" w:cs="Lato Light"/>
                <w:lang w:val="tr-TR"/>
              </w:rPr>
              <w:t xml:space="preserve">çok yeteneği </w:t>
            </w:r>
            <w:r w:rsidR="00057E04">
              <w:rPr>
                <w:rFonts w:ascii="Lato Light" w:eastAsia="Lato Light" w:hAnsi="Lato Light" w:cs="Lato Light"/>
                <w:lang w:val="tr-TR"/>
              </w:rPr>
              <w:t xml:space="preserve">bir arada </w:t>
            </w:r>
            <w:r w:rsidRPr="00644424">
              <w:rPr>
                <w:rFonts w:ascii="Lato Light" w:eastAsia="Lato Light" w:hAnsi="Lato Light" w:cs="Lato Light"/>
                <w:lang w:val="tr-TR"/>
              </w:rPr>
              <w:t>görmek harika</w:t>
            </w:r>
            <w:r w:rsidR="00057E04">
              <w:rPr>
                <w:rFonts w:ascii="Lato Light" w:eastAsia="Lato Light" w:hAnsi="Lato Light" w:cs="Lato Light"/>
                <w:lang w:val="tr-TR"/>
              </w:rPr>
              <w:t xml:space="preserve"> bir deneyim olacak</w:t>
            </w:r>
            <w:r w:rsidRPr="00644424">
              <w:rPr>
                <w:rFonts w:ascii="Lato Light" w:eastAsia="Lato Light" w:hAnsi="Lato Light" w:cs="Lato Light"/>
                <w:lang w:val="tr-TR"/>
              </w:rPr>
              <w:t xml:space="preserve">. </w:t>
            </w:r>
            <w:r w:rsidR="00057E04">
              <w:rPr>
                <w:rFonts w:ascii="Lato Light" w:eastAsia="Lato Light" w:hAnsi="Lato Light" w:cs="Lato Light"/>
                <w:lang w:val="tr-TR"/>
              </w:rPr>
              <w:t xml:space="preserve">Spora ve spor severlere verdiğimiz destek </w:t>
            </w:r>
            <w:r w:rsidRPr="00644424">
              <w:rPr>
                <w:rFonts w:ascii="Lato Light" w:eastAsia="Lato Light" w:hAnsi="Lato Light" w:cs="Lato Light"/>
                <w:lang w:val="tr-TR"/>
              </w:rPr>
              <w:t xml:space="preserve">TCL'in akıllı ve sağlıklı yaşamı teşvik eden ürün </w:t>
            </w:r>
            <w:r w:rsidR="00057E04">
              <w:rPr>
                <w:rFonts w:ascii="Lato Light" w:eastAsia="Lato Light" w:hAnsi="Lato Light" w:cs="Lato Light"/>
                <w:lang w:val="tr-TR"/>
              </w:rPr>
              <w:t>e</w:t>
            </w:r>
            <w:r w:rsidRPr="00644424">
              <w:rPr>
                <w:rFonts w:ascii="Lato Light" w:eastAsia="Lato Light" w:hAnsi="Lato Light" w:cs="Lato Light"/>
                <w:lang w:val="tr-TR"/>
              </w:rPr>
              <w:t xml:space="preserve">kosistemi yaratma vizyonuyla </w:t>
            </w:r>
            <w:r w:rsidR="00057E04">
              <w:rPr>
                <w:rFonts w:ascii="Lato Light" w:eastAsia="Lato Light" w:hAnsi="Lato Light" w:cs="Lato Light"/>
                <w:lang w:val="tr-TR"/>
              </w:rPr>
              <w:t xml:space="preserve">da </w:t>
            </w:r>
            <w:r w:rsidRPr="00644424">
              <w:rPr>
                <w:rFonts w:ascii="Lato Light" w:eastAsia="Lato Light" w:hAnsi="Lato Light" w:cs="Lato Light"/>
                <w:lang w:val="tr-TR"/>
              </w:rPr>
              <w:t>uyumludur.</w:t>
            </w:r>
            <w:r w:rsidR="00057E04">
              <w:rPr>
                <w:rFonts w:ascii="Lato Light" w:eastAsia="Lato Light" w:hAnsi="Lato Light" w:cs="Lato Light"/>
                <w:lang w:val="tr-TR"/>
              </w:rPr>
              <w:t>” dedi.</w:t>
            </w:r>
          </w:p>
          <w:p w14:paraId="6B2618A2" w14:textId="77777777" w:rsidR="00644424" w:rsidRPr="00830C4F" w:rsidRDefault="00644424" w:rsidP="00CD47C6">
            <w:pPr>
              <w:shd w:val="clear" w:color="auto" w:fill="FFFFFF"/>
              <w:spacing w:line="276" w:lineRule="auto"/>
              <w:jc w:val="both"/>
              <w:rPr>
                <w:rFonts w:ascii="Lato Light" w:eastAsia="Lato Light" w:hAnsi="Lato Light" w:cs="Lato Light"/>
                <w:lang w:val="tr-TR"/>
              </w:rPr>
            </w:pPr>
          </w:p>
          <w:p w14:paraId="5942981D" w14:textId="44583090" w:rsidR="00F102A8" w:rsidRPr="00830C4F" w:rsidRDefault="00F102A8" w:rsidP="00F102A8">
            <w:pPr>
              <w:shd w:val="clear" w:color="auto" w:fill="FFFFFF"/>
              <w:spacing w:line="276" w:lineRule="auto"/>
              <w:jc w:val="both"/>
              <w:rPr>
                <w:rFonts w:ascii="Lato Light" w:eastAsia="Lato Light" w:hAnsi="Lato Light" w:cs="Lato Light"/>
                <w:lang w:val="tr-TR"/>
              </w:rPr>
            </w:pPr>
            <w:r w:rsidRPr="00830C4F">
              <w:rPr>
                <w:rFonts w:ascii="Lato Light" w:eastAsia="Lato Light" w:hAnsi="Lato Light" w:cs="Lato Light"/>
                <w:lang w:val="tr-TR"/>
              </w:rPr>
              <w:t xml:space="preserve">TCL’in Uluslararası Basketbol Federasyonu FIBA ile yaptığı iş birliği dört yıllık iş birliği, ilk olarak 2018'de imzalanmış olup 31 Aralık 2023'e kadar sürecek küresel ortaklık anlaşmasını kapsıyor. Yeni ve genişletilmiş anlaşma, TCL’e FIBA’nın tüm müsabakalarında geçerli olmak üzere önemli ticari haklar sağlıyor. Kapsam dahilinde erkekler ve kadınlar Olimpiyat Eleme Turnuvaları, FIBA Kıta Kupaları, FIBA Gençler Dünya Kupaları, FIBA Kadınlar Basketbol Dünya Kupası 2022 ve FIBA'nın en önemli etkinliği olan 2023'teki FIBA Basketbol Dünya Kupası bulunuyor.  </w:t>
            </w:r>
          </w:p>
          <w:p w14:paraId="064BD5C3" w14:textId="26545E54" w:rsidR="00830C4F" w:rsidRPr="00830C4F" w:rsidRDefault="00830C4F" w:rsidP="00F102A8">
            <w:pPr>
              <w:shd w:val="clear" w:color="auto" w:fill="FFFFFF"/>
              <w:spacing w:line="276" w:lineRule="auto"/>
              <w:jc w:val="both"/>
              <w:rPr>
                <w:rFonts w:ascii="Lato Light" w:eastAsia="Lato Light" w:hAnsi="Lato Light" w:cs="Lato Light"/>
                <w:lang w:val="tr-TR"/>
              </w:rPr>
            </w:pPr>
          </w:p>
          <w:p w14:paraId="37F8F3A7" w14:textId="77777777" w:rsidR="00830C4F" w:rsidRPr="00830C4F" w:rsidRDefault="00830C4F" w:rsidP="00830C4F">
            <w:pPr>
              <w:pStyle w:val="paragraph"/>
              <w:spacing w:before="0" w:beforeAutospacing="0" w:after="0" w:afterAutospacing="0"/>
              <w:textAlignment w:val="baseline"/>
              <w:rPr>
                <w:rFonts w:asciiTheme="majorHAnsi" w:hAnsiTheme="majorHAnsi" w:cstheme="majorHAnsi"/>
                <w:color w:val="000000"/>
                <w:sz w:val="18"/>
                <w:szCs w:val="18"/>
              </w:rPr>
            </w:pPr>
            <w:r w:rsidRPr="00830C4F">
              <w:rPr>
                <w:rStyle w:val="normaltextrun"/>
                <w:rFonts w:asciiTheme="majorHAnsi" w:hAnsiTheme="majorHAnsi" w:cstheme="majorHAnsi"/>
                <w:b/>
                <w:bCs/>
                <w:color w:val="00A0E3"/>
                <w:sz w:val="18"/>
                <w:szCs w:val="18"/>
              </w:rPr>
              <w:t>İletişim</w:t>
            </w:r>
            <w:r w:rsidRPr="00830C4F">
              <w:rPr>
                <w:rStyle w:val="eop"/>
                <w:rFonts w:asciiTheme="majorHAnsi" w:hAnsiTheme="majorHAnsi" w:cstheme="majorHAnsi"/>
                <w:color w:val="00A0E3"/>
                <w:sz w:val="18"/>
                <w:szCs w:val="18"/>
              </w:rPr>
              <w:t> </w:t>
            </w:r>
          </w:p>
          <w:p w14:paraId="64A82435" w14:textId="77777777" w:rsidR="00830C4F" w:rsidRPr="00830C4F" w:rsidRDefault="00830C4F" w:rsidP="00830C4F">
            <w:pPr>
              <w:pStyle w:val="paragraph"/>
              <w:spacing w:before="0" w:beforeAutospacing="0" w:after="0" w:afterAutospacing="0"/>
              <w:textAlignment w:val="baseline"/>
              <w:rPr>
                <w:rFonts w:asciiTheme="majorHAnsi" w:hAnsiTheme="majorHAnsi" w:cstheme="majorHAnsi"/>
                <w:sz w:val="18"/>
                <w:szCs w:val="18"/>
              </w:rPr>
            </w:pPr>
            <w:r w:rsidRPr="00830C4F">
              <w:rPr>
                <w:rStyle w:val="normaltextrun"/>
                <w:rFonts w:asciiTheme="majorHAnsi" w:hAnsiTheme="majorHAnsi" w:cstheme="majorHAnsi"/>
                <w:b/>
                <w:bCs/>
                <w:sz w:val="18"/>
                <w:szCs w:val="18"/>
              </w:rPr>
              <w:t>Önder Kalkancı – Bordo PR</w:t>
            </w:r>
            <w:r w:rsidRPr="00830C4F">
              <w:rPr>
                <w:rStyle w:val="eop"/>
                <w:rFonts w:asciiTheme="majorHAnsi" w:hAnsiTheme="majorHAnsi" w:cstheme="majorHAnsi"/>
                <w:sz w:val="18"/>
                <w:szCs w:val="18"/>
              </w:rPr>
              <w:t> </w:t>
            </w:r>
          </w:p>
          <w:p w14:paraId="2181FD97" w14:textId="77777777" w:rsidR="00830C4F" w:rsidRPr="00830C4F" w:rsidRDefault="00830C4F" w:rsidP="00830C4F">
            <w:pPr>
              <w:pStyle w:val="paragraph"/>
              <w:spacing w:before="0" w:beforeAutospacing="0" w:after="0" w:afterAutospacing="0"/>
              <w:textAlignment w:val="baseline"/>
              <w:rPr>
                <w:rFonts w:asciiTheme="majorHAnsi" w:hAnsiTheme="majorHAnsi" w:cstheme="majorHAnsi"/>
                <w:sz w:val="18"/>
                <w:szCs w:val="18"/>
              </w:rPr>
            </w:pPr>
            <w:r w:rsidRPr="00830C4F">
              <w:rPr>
                <w:rStyle w:val="normaltextrun"/>
                <w:rFonts w:asciiTheme="majorHAnsi" w:hAnsiTheme="majorHAnsi" w:cstheme="majorHAnsi"/>
                <w:b/>
                <w:bCs/>
                <w:color w:val="00A0E3"/>
                <w:sz w:val="18"/>
                <w:szCs w:val="18"/>
              </w:rPr>
              <w:t>Tel</w:t>
            </w:r>
            <w:r w:rsidRPr="00830C4F">
              <w:rPr>
                <w:rStyle w:val="normaltextrun"/>
                <w:rFonts w:asciiTheme="majorHAnsi" w:hAnsiTheme="majorHAnsi" w:cstheme="majorHAnsi"/>
                <w:sz w:val="18"/>
                <w:szCs w:val="18"/>
              </w:rPr>
              <w:t xml:space="preserve">: 0533 927 23 95 </w:t>
            </w:r>
            <w:r w:rsidRPr="00830C4F">
              <w:rPr>
                <w:rStyle w:val="normaltextrun"/>
                <w:rFonts w:asciiTheme="majorHAnsi" w:hAnsiTheme="majorHAnsi" w:cstheme="majorHAnsi"/>
                <w:color w:val="7F7F7F"/>
                <w:sz w:val="18"/>
                <w:szCs w:val="18"/>
              </w:rPr>
              <w:t xml:space="preserve">– </w:t>
            </w:r>
            <w:hyperlink r:id="rId11" w:tgtFrame="_blank" w:history="1">
              <w:r w:rsidRPr="00830C4F">
                <w:rPr>
                  <w:rStyle w:val="normaltextrun"/>
                  <w:rFonts w:asciiTheme="majorHAnsi" w:hAnsiTheme="majorHAnsi" w:cstheme="majorHAnsi"/>
                  <w:color w:val="0000FF"/>
                  <w:sz w:val="18"/>
                  <w:szCs w:val="18"/>
                  <w:u w:val="single"/>
                </w:rPr>
                <w:t>onderk@bordopr.com</w:t>
              </w:r>
            </w:hyperlink>
            <w:r w:rsidRPr="00830C4F">
              <w:rPr>
                <w:rStyle w:val="eop"/>
                <w:rFonts w:asciiTheme="majorHAnsi" w:hAnsiTheme="majorHAnsi" w:cstheme="majorHAnsi"/>
                <w:color w:val="0000FF"/>
              </w:rPr>
              <w:t> </w:t>
            </w:r>
          </w:p>
          <w:p w14:paraId="12EA58C2" w14:textId="77777777" w:rsidR="00830C4F" w:rsidRPr="00830C4F" w:rsidRDefault="00830C4F" w:rsidP="00830C4F">
            <w:pPr>
              <w:pStyle w:val="paragraph"/>
              <w:spacing w:before="0" w:beforeAutospacing="0" w:after="0" w:afterAutospacing="0"/>
              <w:textAlignment w:val="baseline"/>
              <w:rPr>
                <w:rFonts w:asciiTheme="majorHAnsi" w:hAnsiTheme="majorHAnsi" w:cstheme="majorHAnsi"/>
                <w:sz w:val="18"/>
                <w:szCs w:val="18"/>
              </w:rPr>
            </w:pPr>
            <w:r w:rsidRPr="00830C4F">
              <w:rPr>
                <w:rStyle w:val="eop"/>
                <w:rFonts w:asciiTheme="majorHAnsi" w:hAnsiTheme="majorHAnsi" w:cstheme="majorHAnsi"/>
                <w:color w:val="0000FF"/>
              </w:rPr>
              <w:t> </w:t>
            </w:r>
          </w:p>
          <w:p w14:paraId="435BC838" w14:textId="77777777" w:rsidR="00830C4F" w:rsidRPr="00830C4F" w:rsidRDefault="00830C4F" w:rsidP="00830C4F">
            <w:pPr>
              <w:pStyle w:val="paragraph"/>
              <w:spacing w:before="0" w:beforeAutospacing="0" w:after="0" w:afterAutospacing="0"/>
              <w:jc w:val="both"/>
              <w:textAlignment w:val="baseline"/>
              <w:rPr>
                <w:rFonts w:asciiTheme="majorHAnsi" w:hAnsiTheme="majorHAnsi" w:cstheme="majorHAnsi"/>
                <w:sz w:val="16"/>
                <w:szCs w:val="16"/>
              </w:rPr>
            </w:pPr>
            <w:r w:rsidRPr="00830C4F">
              <w:rPr>
                <w:rStyle w:val="normaltextrun"/>
                <w:rFonts w:asciiTheme="majorHAnsi" w:hAnsiTheme="majorHAnsi" w:cstheme="majorHAnsi"/>
                <w:b/>
                <w:bCs/>
                <w:sz w:val="16"/>
                <w:szCs w:val="16"/>
              </w:rPr>
              <w:t xml:space="preserve">TCL </w:t>
            </w:r>
            <w:r w:rsidRPr="00830C4F">
              <w:rPr>
                <w:rStyle w:val="spellingerror"/>
                <w:rFonts w:asciiTheme="majorHAnsi" w:hAnsiTheme="majorHAnsi" w:cstheme="majorHAnsi"/>
                <w:b/>
                <w:bCs/>
                <w:sz w:val="16"/>
                <w:szCs w:val="16"/>
              </w:rPr>
              <w:t>Electronics</w:t>
            </w:r>
            <w:r w:rsidRPr="00830C4F">
              <w:rPr>
                <w:rStyle w:val="normaltextrun"/>
                <w:rFonts w:asciiTheme="majorHAnsi" w:hAnsiTheme="majorHAnsi" w:cstheme="majorHAnsi"/>
                <w:b/>
                <w:bCs/>
                <w:sz w:val="16"/>
                <w:szCs w:val="16"/>
              </w:rPr>
              <w:t xml:space="preserve"> hakkında</w:t>
            </w:r>
            <w:r w:rsidRPr="00830C4F">
              <w:rPr>
                <w:rStyle w:val="eop"/>
                <w:rFonts w:asciiTheme="majorHAnsi" w:hAnsiTheme="majorHAnsi" w:cstheme="majorHAnsi"/>
                <w:sz w:val="16"/>
                <w:szCs w:val="16"/>
              </w:rPr>
              <w:t> </w:t>
            </w:r>
          </w:p>
          <w:p w14:paraId="331CD999" w14:textId="77777777" w:rsidR="00830C4F" w:rsidRPr="00830C4F" w:rsidRDefault="00830C4F" w:rsidP="00830C4F">
            <w:pPr>
              <w:pStyle w:val="paragraph"/>
              <w:spacing w:before="0" w:beforeAutospacing="0" w:after="0" w:afterAutospacing="0"/>
              <w:jc w:val="both"/>
              <w:textAlignment w:val="baseline"/>
              <w:rPr>
                <w:rFonts w:asciiTheme="majorHAnsi" w:hAnsiTheme="majorHAnsi" w:cstheme="majorHAnsi"/>
                <w:sz w:val="16"/>
                <w:szCs w:val="16"/>
              </w:rPr>
            </w:pPr>
            <w:r w:rsidRPr="00830C4F">
              <w:rPr>
                <w:rStyle w:val="normaltextrun"/>
                <w:rFonts w:asciiTheme="majorHAnsi" w:hAnsiTheme="majorHAnsi" w:cstheme="majorHAnsi"/>
                <w:sz w:val="16"/>
                <w:szCs w:val="16"/>
              </w:rPr>
              <w:t xml:space="preserve">TCL </w:t>
            </w:r>
            <w:r w:rsidRPr="00830C4F">
              <w:rPr>
                <w:rStyle w:val="spellingerror"/>
                <w:rFonts w:asciiTheme="majorHAnsi" w:hAnsiTheme="majorHAnsi" w:cstheme="majorHAnsi"/>
                <w:sz w:val="16"/>
                <w:szCs w:val="16"/>
              </w:rPr>
              <w:t>Electronics</w:t>
            </w:r>
            <w:r w:rsidRPr="00830C4F">
              <w:rPr>
                <w:rStyle w:val="normaltextrun"/>
                <w:rFonts w:asciiTheme="majorHAnsi" w:hAnsiTheme="majorHAnsi" w:cstheme="majorHAnsi"/>
                <w:sz w:val="16"/>
                <w:szCs w:val="16"/>
              </w:rPr>
              <w:t xml:space="preserve"> (1070.HK), dünyanın en hızlı büyüyen tüketici elektroniği şirketlerinden, dünyanın öncü televizyon ve mobil cihaz üreticilerinden birisidir (TCL </w:t>
            </w:r>
            <w:r w:rsidRPr="00830C4F">
              <w:rPr>
                <w:rStyle w:val="spellingerror"/>
                <w:rFonts w:asciiTheme="majorHAnsi" w:hAnsiTheme="majorHAnsi" w:cstheme="majorHAnsi"/>
                <w:sz w:val="16"/>
                <w:szCs w:val="16"/>
              </w:rPr>
              <w:t>Communication</w:t>
            </w:r>
            <w:r w:rsidRPr="00830C4F">
              <w:rPr>
                <w:rStyle w:val="normaltextrun"/>
                <w:rFonts w:asciiTheme="majorHAnsi" w:hAnsiTheme="majorHAnsi" w:cstheme="majorHAnsi"/>
                <w:sz w:val="16"/>
                <w:szCs w:val="16"/>
              </w:rPr>
              <w:t xml:space="preserve">, TCL </w:t>
            </w:r>
            <w:r w:rsidRPr="00830C4F">
              <w:rPr>
                <w:rStyle w:val="spellingerror"/>
                <w:rFonts w:asciiTheme="majorHAnsi" w:hAnsiTheme="majorHAnsi" w:cstheme="majorHAnsi"/>
                <w:sz w:val="16"/>
                <w:szCs w:val="16"/>
              </w:rPr>
              <w:t>Electronics’in</w:t>
            </w:r>
            <w:r w:rsidRPr="00830C4F">
              <w:rPr>
                <w:rStyle w:val="normaltextrun"/>
                <w:rFonts w:asciiTheme="majorHAnsi" w:hAnsiTheme="majorHAnsi" w:cstheme="majorHAnsi"/>
                <w:sz w:val="16"/>
                <w:szCs w:val="16"/>
              </w:rPr>
              <w:t xml:space="preserve"> yüzde yüz iştirakidir). Yaklaşık 40 yıldır dünya çapında kendi üretim ve Ar-</w:t>
            </w:r>
            <w:r w:rsidRPr="00830C4F">
              <w:rPr>
                <w:rStyle w:val="spellingerror"/>
                <w:rFonts w:asciiTheme="majorHAnsi" w:hAnsiTheme="majorHAnsi" w:cstheme="majorHAnsi"/>
                <w:sz w:val="16"/>
                <w:szCs w:val="16"/>
              </w:rPr>
              <w:t>Ge</w:t>
            </w:r>
            <w:r w:rsidRPr="00830C4F">
              <w:rPr>
                <w:rStyle w:val="normaltextrun"/>
                <w:rFonts w:asciiTheme="majorHAnsi" w:hAnsiTheme="majorHAnsi" w:cstheme="majorHAnsi"/>
                <w:sz w:val="16"/>
                <w:szCs w:val="16"/>
              </w:rPr>
              <w:t xml:space="preserve"> merkezlerini yöneten TCL, Kuzey Amerika, Latin Amerika, Avrupa, Orta Doğu, Afrika ve Asya Pasifik’teki 160’dan fazla ülkede ürünlerini satmaktadır. TCL, “AI x </w:t>
            </w:r>
            <w:r w:rsidRPr="00830C4F">
              <w:rPr>
                <w:rStyle w:val="spellingerror"/>
                <w:rFonts w:asciiTheme="majorHAnsi" w:hAnsiTheme="majorHAnsi" w:cstheme="majorHAnsi"/>
                <w:sz w:val="16"/>
                <w:szCs w:val="16"/>
              </w:rPr>
              <w:t>IoT</w:t>
            </w:r>
            <w:r w:rsidRPr="00830C4F">
              <w:rPr>
                <w:rStyle w:val="normaltextrun"/>
                <w:rFonts w:asciiTheme="majorHAnsi" w:hAnsiTheme="majorHAnsi" w:cstheme="majorHAnsi"/>
                <w:sz w:val="16"/>
                <w:szCs w:val="16"/>
              </w:rPr>
              <w:t xml:space="preserve">” stratejisi kapsamında televizyon, akıllı telefon, ses cihazları ve akıllı ev ürünleri gibi tüketici ürünlerinin araştırılmasında, geliştirilmesinde ve üretilmesinde uzmanlaşmaktadır. TCL mobil cihazları hakkında daha fazla bilgi için </w:t>
            </w:r>
            <w:hyperlink r:id="rId12" w:tgtFrame="_blank" w:history="1">
              <w:r w:rsidRPr="00830C4F">
                <w:rPr>
                  <w:rStyle w:val="normaltextrun"/>
                  <w:rFonts w:asciiTheme="majorHAnsi" w:hAnsiTheme="majorHAnsi" w:cstheme="majorHAnsi"/>
                  <w:color w:val="0000FF"/>
                  <w:sz w:val="16"/>
                  <w:szCs w:val="16"/>
                  <w:u w:val="single"/>
                </w:rPr>
                <w:t>http://www.tcl.com/global/en.html</w:t>
              </w:r>
            </w:hyperlink>
            <w:r w:rsidRPr="00830C4F">
              <w:rPr>
                <w:rStyle w:val="normaltextrun"/>
                <w:rFonts w:asciiTheme="majorHAnsi" w:hAnsiTheme="majorHAnsi" w:cstheme="majorHAnsi"/>
                <w:sz w:val="16"/>
                <w:szCs w:val="16"/>
              </w:rPr>
              <w:t>. </w:t>
            </w:r>
            <w:r w:rsidRPr="00830C4F">
              <w:rPr>
                <w:rStyle w:val="eop"/>
                <w:rFonts w:asciiTheme="majorHAnsi" w:hAnsiTheme="majorHAnsi" w:cstheme="majorHAnsi"/>
                <w:sz w:val="16"/>
                <w:szCs w:val="16"/>
              </w:rPr>
              <w:t> </w:t>
            </w:r>
          </w:p>
          <w:p w14:paraId="74D48078" w14:textId="77777777" w:rsidR="00830C4F" w:rsidRPr="00830C4F" w:rsidRDefault="00830C4F" w:rsidP="00830C4F">
            <w:pPr>
              <w:pStyle w:val="paragraph"/>
              <w:spacing w:before="0" w:beforeAutospacing="0" w:after="0" w:afterAutospacing="0"/>
              <w:jc w:val="both"/>
              <w:textAlignment w:val="baseline"/>
              <w:rPr>
                <w:rFonts w:asciiTheme="majorHAnsi" w:hAnsiTheme="majorHAnsi" w:cstheme="majorHAnsi"/>
                <w:sz w:val="16"/>
                <w:szCs w:val="16"/>
              </w:rPr>
            </w:pPr>
            <w:r w:rsidRPr="00830C4F">
              <w:rPr>
                <w:rStyle w:val="eop"/>
                <w:rFonts w:asciiTheme="majorHAnsi" w:hAnsiTheme="majorHAnsi" w:cstheme="majorHAnsi"/>
                <w:sz w:val="16"/>
                <w:szCs w:val="16"/>
              </w:rPr>
              <w:t> </w:t>
            </w:r>
          </w:p>
          <w:p w14:paraId="0DB370BE" w14:textId="0F81436F" w:rsidR="00830C4F" w:rsidRPr="00830C4F" w:rsidRDefault="00830C4F" w:rsidP="00830C4F">
            <w:pPr>
              <w:shd w:val="clear" w:color="auto" w:fill="FFFFFF"/>
              <w:spacing w:line="276" w:lineRule="auto"/>
              <w:jc w:val="both"/>
              <w:rPr>
                <w:rFonts w:ascii="Lato Light" w:eastAsia="Lato Light" w:hAnsi="Lato Light" w:cs="Lato Light"/>
                <w:lang w:val="tr-TR"/>
              </w:rPr>
            </w:pPr>
            <w:r w:rsidRPr="00830C4F">
              <w:rPr>
                <w:rStyle w:val="normaltextrun"/>
                <w:rFonts w:asciiTheme="majorHAnsi" w:hAnsiTheme="majorHAnsi" w:cstheme="majorHAnsi"/>
                <w:sz w:val="16"/>
                <w:szCs w:val="16"/>
                <w:lang w:val="tr-TR"/>
              </w:rPr>
              <w:t xml:space="preserve">TCL, TCL </w:t>
            </w:r>
            <w:r w:rsidRPr="00830C4F">
              <w:rPr>
                <w:rStyle w:val="spellingerror"/>
                <w:rFonts w:asciiTheme="majorHAnsi" w:hAnsiTheme="majorHAnsi" w:cstheme="majorHAnsi"/>
                <w:sz w:val="16"/>
                <w:szCs w:val="16"/>
                <w:lang w:val="tr-TR"/>
              </w:rPr>
              <w:t>Corporation'ın</w:t>
            </w:r>
            <w:r w:rsidRPr="00830C4F">
              <w:rPr>
                <w:rStyle w:val="normaltextrun"/>
                <w:rFonts w:asciiTheme="majorHAnsi" w:hAnsiTheme="majorHAnsi" w:cstheme="majorHAnsi"/>
                <w:sz w:val="16"/>
                <w:szCs w:val="16"/>
                <w:lang w:val="tr-TR"/>
              </w:rPr>
              <w:t xml:space="preserve"> tescilli ticari markasıdır. Diğer tüm ticari markalar ilgili sahiplerinin mülkiyetindedir. Alcatel, Nokia'nın TCL </w:t>
            </w:r>
            <w:r w:rsidRPr="00830C4F">
              <w:rPr>
                <w:rStyle w:val="spellingerror"/>
                <w:rFonts w:asciiTheme="majorHAnsi" w:hAnsiTheme="majorHAnsi" w:cstheme="majorHAnsi"/>
                <w:sz w:val="16"/>
                <w:szCs w:val="16"/>
                <w:lang w:val="tr-TR"/>
              </w:rPr>
              <w:t>Communication</w:t>
            </w:r>
            <w:r w:rsidRPr="00830C4F">
              <w:rPr>
                <w:rStyle w:val="normaltextrun"/>
                <w:rFonts w:asciiTheme="majorHAnsi" w:hAnsiTheme="majorHAnsi" w:cstheme="majorHAnsi"/>
                <w:sz w:val="16"/>
                <w:szCs w:val="16"/>
                <w:lang w:val="tr-TR"/>
              </w:rPr>
              <w:t xml:space="preserve"> lisansı altında kullanılan bir ticari markasıdır.</w:t>
            </w:r>
            <w:r w:rsidRPr="00830C4F">
              <w:rPr>
                <w:rStyle w:val="eop"/>
                <w:rFonts w:ascii="Arial" w:hAnsi="Arial" w:cs="Arial"/>
                <w:lang w:val="tr-TR"/>
              </w:rPr>
              <w:t> </w:t>
            </w:r>
          </w:p>
          <w:p w14:paraId="2877D18B" w14:textId="06CA9B78" w:rsidR="00CD47C6" w:rsidRPr="00830C4F" w:rsidRDefault="00CD47C6" w:rsidP="00F102A8">
            <w:pPr>
              <w:shd w:val="clear" w:color="auto" w:fill="FFFFFF"/>
              <w:spacing w:line="276" w:lineRule="auto"/>
              <w:jc w:val="both"/>
              <w:rPr>
                <w:rFonts w:ascii="Lato Light" w:eastAsia="Lato Light" w:hAnsi="Lato Light" w:cs="Lato Light"/>
                <w:lang w:val="tr-TR"/>
              </w:rPr>
            </w:pPr>
          </w:p>
        </w:tc>
      </w:tr>
    </w:tbl>
    <w:p w14:paraId="1DB04C11" w14:textId="77777777" w:rsidR="00FC726B" w:rsidRPr="00830C4F" w:rsidRDefault="00FC726B" w:rsidP="00B25FFD">
      <w:pPr>
        <w:jc w:val="center"/>
        <w:rPr>
          <w:rFonts w:ascii="Lato" w:eastAsia="Lato" w:hAnsi="Lato" w:cs="Lato"/>
          <w:color w:val="212121"/>
          <w:sz w:val="20"/>
          <w:szCs w:val="20"/>
          <w:lang w:val="tr-TR"/>
        </w:rPr>
      </w:pPr>
    </w:p>
    <w:p w14:paraId="33452E2C" w14:textId="2B92B7F7" w:rsidR="001C5009" w:rsidRPr="00830C4F" w:rsidRDefault="001C5009">
      <w:pPr>
        <w:rPr>
          <w:rFonts w:ascii="Lato Light" w:eastAsia="Lato Light" w:hAnsi="Lato Light" w:cs="Lato Light"/>
          <w:b/>
          <w:sz w:val="20"/>
          <w:szCs w:val="20"/>
          <w:lang w:val="tr-TR"/>
        </w:rPr>
      </w:pPr>
    </w:p>
    <w:sectPr w:rsidR="001C5009" w:rsidRPr="00830C4F">
      <w:headerReference w:type="defaul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801D" w14:textId="77777777" w:rsidR="00A86DA1" w:rsidRDefault="00A86DA1">
      <w:r>
        <w:separator/>
      </w:r>
    </w:p>
  </w:endnote>
  <w:endnote w:type="continuationSeparator" w:id="0">
    <w:p w14:paraId="5CC6EC1C" w14:textId="77777777" w:rsidR="00A86DA1" w:rsidRDefault="00A8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38F9" w14:textId="77777777" w:rsidR="00A86DA1" w:rsidRDefault="00A86DA1">
      <w:r>
        <w:separator/>
      </w:r>
    </w:p>
  </w:footnote>
  <w:footnote w:type="continuationSeparator" w:id="0">
    <w:p w14:paraId="57EF5C8B" w14:textId="77777777" w:rsidR="00A86DA1" w:rsidRDefault="00A8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F3C" w14:textId="77777777" w:rsidR="006E5255" w:rsidRDefault="00A3071B">
    <w:pPr>
      <w:pBdr>
        <w:top w:val="nil"/>
        <w:left w:val="nil"/>
        <w:bottom w:val="nil"/>
        <w:right w:val="nil"/>
        <w:between w:val="nil"/>
      </w:pBdr>
      <w:tabs>
        <w:tab w:val="center" w:pos="4513"/>
        <w:tab w:val="right" w:pos="9026"/>
      </w:tabs>
    </w:pPr>
    <w:r>
      <w:rPr>
        <w:color w:val="000000"/>
      </w:rPr>
      <w:t xml:space="preserve">                      </w:t>
    </w:r>
    <w:r>
      <w:rPr>
        <w:noProof/>
        <w:lang w:val="fr-FR"/>
      </w:rPr>
      <mc:AlternateContent>
        <mc:Choice Requires="wps">
          <w:drawing>
            <wp:anchor distT="0" distB="0" distL="114300" distR="114300" simplePos="0" relativeHeight="251658240" behindDoc="0" locked="0" layoutInCell="1" hidden="0" allowOverlap="1" wp14:anchorId="2968FF68" wp14:editId="3C1B1205">
              <wp:simplePos x="0" y="0"/>
              <wp:positionH relativeFrom="column">
                <wp:posOffset>-126999</wp:posOffset>
              </wp:positionH>
              <wp:positionV relativeFrom="paragraph">
                <wp:posOffset>342900</wp:posOffset>
              </wp:positionV>
              <wp:extent cx="2874010" cy="365125"/>
              <wp:effectExtent l="0" t="0" r="0" b="0"/>
              <wp:wrapNone/>
              <wp:docPr id="1" name="Forme libre 1"/>
              <wp:cNvGraphicFramePr/>
              <a:graphic xmlns:a="http://schemas.openxmlformats.org/drawingml/2006/main">
                <a:graphicData uri="http://schemas.microsoft.com/office/word/2010/wordprocessingShape">
                  <wps:wsp>
                    <wps:cNvSpPr/>
                    <wps:spPr>
                      <a:xfrm>
                        <a:off x="3918520" y="3606963"/>
                        <a:ext cx="2854960" cy="346075"/>
                      </a:xfrm>
                      <a:custGeom>
                        <a:avLst/>
                        <a:gdLst/>
                        <a:ahLst/>
                        <a:cxnLst/>
                        <a:rect l="l" t="t" r="r" b="b"/>
                        <a:pathLst>
                          <a:path w="2022404" h="346593" extrusionOk="0">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a:noFill/>
                      </a:ln>
                    </wps:spPr>
                    <wps:txbx>
                      <w:txbxContent>
                        <w:p w14:paraId="5BEB4F28" w14:textId="14522794" w:rsidR="006E5255" w:rsidRPr="00D82DB3" w:rsidRDefault="00D82DB3">
                          <w:pPr>
                            <w:textDirection w:val="btLr"/>
                            <w:rPr>
                              <w:lang w:val="tr-TR"/>
                            </w:rPr>
                          </w:pPr>
                          <w:r w:rsidRPr="00D82DB3">
                            <w:rPr>
                              <w:rFonts w:ascii="Lato" w:eastAsia="Lato" w:hAnsi="Lato" w:cs="Lato"/>
                              <w:color w:val="7F7F7F"/>
                              <w:sz w:val="36"/>
                              <w:lang w:val="tr-TR"/>
                            </w:rPr>
                            <w:t>BASIN BÜLTENİ</w:t>
                          </w:r>
                        </w:p>
                      </w:txbxContent>
                    </wps:txbx>
                    <wps:bodyPr spcFirstLastPara="1" wrap="square" lIns="91425" tIns="45700" rIns="91425" bIns="45700" anchor="t" anchorCtr="0">
                      <a:noAutofit/>
                    </wps:bodyPr>
                  </wps:wsp>
                </a:graphicData>
              </a:graphic>
            </wp:anchor>
          </w:drawing>
        </mc:Choice>
        <mc:Fallback>
          <w:pict>
            <v:shape w14:anchorId="2968FF68" id="Forme libre 1" o:spid="_x0000_s1026" style="position:absolute;margin-left:-10pt;margin-top:27pt;width:226.3pt;height:28.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022404,346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" adj="-11796480,,5400" path="m,57767c,25863,25863,,57767,l2022404,r,346593l57767,346593c25863,346593,,320730,,288826l,57767xe" filled="f" stroked="f">
              <v:stroke joinstyle="miter"/>
              <v:formulas/>
              <v:path arrowok="t" o:extrusionok="f" o:connecttype="custom" textboxrect="0,0,2022404,346593"/>
              <v:textbox inset="2.53958mm,1.2694mm,2.53958mm,1.2694mm">
                <w:txbxContent>
                  <w:p w14:paraId="5BEB4F28" w14:textId="14522794" w:rsidR="006E5255" w:rsidRPr="00D82DB3" w:rsidRDefault="00D82DB3">
                    <w:pPr>
                      <w:textDirection w:val="btLr"/>
                      <w:rPr>
                        <w:lang w:val="tr-TR"/>
                      </w:rPr>
                    </w:pPr>
                    <w:r w:rsidRPr="00D82DB3">
                      <w:rPr>
                        <w:rFonts w:ascii="Lato" w:eastAsia="Lato" w:hAnsi="Lato" w:cs="Lato"/>
                        <w:color w:val="7F7F7F"/>
                        <w:sz w:val="36"/>
                        <w:lang w:val="tr-TR"/>
                      </w:rPr>
                      <w:t>BASIN BÜLTENİ</w:t>
                    </w:r>
                  </w:p>
                </w:txbxContent>
              </v:textbox>
            </v:shape>
          </w:pict>
        </mc:Fallback>
      </mc:AlternateContent>
    </w:r>
    <w:r>
      <w:rPr>
        <w:noProof/>
        <w:lang w:val="fr-FR"/>
      </w:rPr>
      <w:drawing>
        <wp:anchor distT="0" distB="0" distL="114300" distR="114300" simplePos="0" relativeHeight="251659264" behindDoc="0" locked="0" layoutInCell="1" hidden="0" allowOverlap="1" wp14:anchorId="758F3077" wp14:editId="11433F97">
          <wp:simplePos x="0" y="0"/>
          <wp:positionH relativeFrom="column">
            <wp:posOffset>4822825</wp:posOffset>
          </wp:positionH>
          <wp:positionV relativeFrom="paragraph">
            <wp:posOffset>-451483</wp:posOffset>
          </wp:positionV>
          <wp:extent cx="913130" cy="54673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3130" cy="546735"/>
                  </a:xfrm>
                  <a:prstGeom prst="rect">
                    <a:avLst/>
                  </a:prstGeom>
                  <a:ln/>
                </pic:spPr>
              </pic:pic>
            </a:graphicData>
          </a:graphic>
        </wp:anchor>
      </w:drawing>
    </w:r>
  </w:p>
  <w:p w14:paraId="504F78F2" w14:textId="77777777" w:rsidR="006E5255" w:rsidRDefault="006E5255">
    <w:pPr>
      <w:tabs>
        <w:tab w:val="center" w:pos="4513"/>
        <w:tab w:val="right" w:pos="9026"/>
      </w:tabs>
    </w:pPr>
  </w:p>
  <w:p w14:paraId="13DFC830" w14:textId="77777777" w:rsidR="006E5255" w:rsidRDefault="00A3071B">
    <w:pPr>
      <w:pBdr>
        <w:top w:val="nil"/>
        <w:left w:val="nil"/>
        <w:bottom w:val="nil"/>
        <w:right w:val="nil"/>
        <w:between w:val="nil"/>
      </w:pBdr>
      <w:tabs>
        <w:tab w:val="center" w:pos="4513"/>
        <w:tab w:val="right" w:pos="9026"/>
      </w:tabs>
      <w:rPr>
        <w:color w:val="000000"/>
      </w:rPr>
    </w:pPr>
    <w:r>
      <w:rPr>
        <w:color w:val="000000"/>
      </w:rPr>
      <w:t xml:space="preserve">                                                                                                           </w:t>
    </w:r>
  </w:p>
  <w:p w14:paraId="0B0F9EF9" w14:textId="77777777" w:rsidR="006E5255" w:rsidRDefault="006E5255">
    <w:pPr>
      <w:pBdr>
        <w:top w:val="nil"/>
        <w:left w:val="nil"/>
        <w:bottom w:val="nil"/>
        <w:right w:val="nil"/>
        <w:between w:val="nil"/>
      </w:pBdr>
      <w:tabs>
        <w:tab w:val="center" w:pos="4513"/>
        <w:tab w:val="right" w:pos="9026"/>
      </w:tabs>
      <w:rPr>
        <w:color w:val="000000"/>
      </w:rPr>
    </w:pPr>
  </w:p>
  <w:p w14:paraId="71527F82" w14:textId="77777777" w:rsidR="006E5255" w:rsidRDefault="006E525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55"/>
    <w:rsid w:val="00000960"/>
    <w:rsid w:val="000013D1"/>
    <w:rsid w:val="00011AA4"/>
    <w:rsid w:val="00025FAD"/>
    <w:rsid w:val="000454F0"/>
    <w:rsid w:val="000522A2"/>
    <w:rsid w:val="00057BA5"/>
    <w:rsid w:val="00057E04"/>
    <w:rsid w:val="0006327A"/>
    <w:rsid w:val="00064200"/>
    <w:rsid w:val="00067000"/>
    <w:rsid w:val="0008149A"/>
    <w:rsid w:val="00081BBE"/>
    <w:rsid w:val="000A1BAF"/>
    <w:rsid w:val="000A1FD3"/>
    <w:rsid w:val="000A2902"/>
    <w:rsid w:val="000A4136"/>
    <w:rsid w:val="000A42AA"/>
    <w:rsid w:val="000A7B47"/>
    <w:rsid w:val="000C13D3"/>
    <w:rsid w:val="000C19EC"/>
    <w:rsid w:val="000C51A0"/>
    <w:rsid w:val="000C6401"/>
    <w:rsid w:val="000E3A62"/>
    <w:rsid w:val="000E58C4"/>
    <w:rsid w:val="000F5C74"/>
    <w:rsid w:val="00102557"/>
    <w:rsid w:val="00107B2A"/>
    <w:rsid w:val="00125FAC"/>
    <w:rsid w:val="00130CC6"/>
    <w:rsid w:val="0015639D"/>
    <w:rsid w:val="001650D8"/>
    <w:rsid w:val="00181060"/>
    <w:rsid w:val="0018501F"/>
    <w:rsid w:val="00192AFB"/>
    <w:rsid w:val="00193687"/>
    <w:rsid w:val="00193B30"/>
    <w:rsid w:val="001A0070"/>
    <w:rsid w:val="001B69E2"/>
    <w:rsid w:val="001C0F4E"/>
    <w:rsid w:val="001C5009"/>
    <w:rsid w:val="001D4670"/>
    <w:rsid w:val="001D5810"/>
    <w:rsid w:val="001E384E"/>
    <w:rsid w:val="001E60DD"/>
    <w:rsid w:val="001E6174"/>
    <w:rsid w:val="001E74DE"/>
    <w:rsid w:val="001E772C"/>
    <w:rsid w:val="002005EC"/>
    <w:rsid w:val="0020636B"/>
    <w:rsid w:val="002079EB"/>
    <w:rsid w:val="00227B70"/>
    <w:rsid w:val="00230DF9"/>
    <w:rsid w:val="00231C25"/>
    <w:rsid w:val="00241FEE"/>
    <w:rsid w:val="00242F46"/>
    <w:rsid w:val="002433FD"/>
    <w:rsid w:val="00251C17"/>
    <w:rsid w:val="00262E6D"/>
    <w:rsid w:val="002649F2"/>
    <w:rsid w:val="00264B74"/>
    <w:rsid w:val="002701EC"/>
    <w:rsid w:val="002844DE"/>
    <w:rsid w:val="00286369"/>
    <w:rsid w:val="0028693A"/>
    <w:rsid w:val="002962FC"/>
    <w:rsid w:val="002A0DC3"/>
    <w:rsid w:val="002A4D7B"/>
    <w:rsid w:val="002C2A48"/>
    <w:rsid w:val="002C7D8E"/>
    <w:rsid w:val="002D2057"/>
    <w:rsid w:val="002E0030"/>
    <w:rsid w:val="002E028C"/>
    <w:rsid w:val="002E20E0"/>
    <w:rsid w:val="002E57D5"/>
    <w:rsid w:val="00320F27"/>
    <w:rsid w:val="00330D33"/>
    <w:rsid w:val="00351A38"/>
    <w:rsid w:val="00354B48"/>
    <w:rsid w:val="003603AB"/>
    <w:rsid w:val="003749F4"/>
    <w:rsid w:val="003803E9"/>
    <w:rsid w:val="00384597"/>
    <w:rsid w:val="00387400"/>
    <w:rsid w:val="0039133C"/>
    <w:rsid w:val="003A15E4"/>
    <w:rsid w:val="003A5D0D"/>
    <w:rsid w:val="003B4C72"/>
    <w:rsid w:val="003B5753"/>
    <w:rsid w:val="003C2B2E"/>
    <w:rsid w:val="003E1CB7"/>
    <w:rsid w:val="003E2670"/>
    <w:rsid w:val="003E5766"/>
    <w:rsid w:val="003F0E99"/>
    <w:rsid w:val="00404384"/>
    <w:rsid w:val="00407966"/>
    <w:rsid w:val="0041048B"/>
    <w:rsid w:val="004207C7"/>
    <w:rsid w:val="00420AE2"/>
    <w:rsid w:val="004229C7"/>
    <w:rsid w:val="00425999"/>
    <w:rsid w:val="004414D8"/>
    <w:rsid w:val="00441DAE"/>
    <w:rsid w:val="00452E60"/>
    <w:rsid w:val="00454D85"/>
    <w:rsid w:val="004559DA"/>
    <w:rsid w:val="00460504"/>
    <w:rsid w:val="004629DA"/>
    <w:rsid w:val="0046454D"/>
    <w:rsid w:val="00472711"/>
    <w:rsid w:val="00475745"/>
    <w:rsid w:val="004822BA"/>
    <w:rsid w:val="004913BE"/>
    <w:rsid w:val="00492797"/>
    <w:rsid w:val="004A59A0"/>
    <w:rsid w:val="004B0749"/>
    <w:rsid w:val="004B3B27"/>
    <w:rsid w:val="004C4B6B"/>
    <w:rsid w:val="004C589A"/>
    <w:rsid w:val="004D1C08"/>
    <w:rsid w:val="004D20FE"/>
    <w:rsid w:val="004D277C"/>
    <w:rsid w:val="004F13DD"/>
    <w:rsid w:val="004F5DC2"/>
    <w:rsid w:val="00502006"/>
    <w:rsid w:val="00514E8A"/>
    <w:rsid w:val="0051504A"/>
    <w:rsid w:val="00522CAD"/>
    <w:rsid w:val="00526BF7"/>
    <w:rsid w:val="00536622"/>
    <w:rsid w:val="00536781"/>
    <w:rsid w:val="00541F0F"/>
    <w:rsid w:val="00542671"/>
    <w:rsid w:val="00544DCD"/>
    <w:rsid w:val="00551AF0"/>
    <w:rsid w:val="00566036"/>
    <w:rsid w:val="005667D0"/>
    <w:rsid w:val="00566FF2"/>
    <w:rsid w:val="0057194D"/>
    <w:rsid w:val="00574E7C"/>
    <w:rsid w:val="00576330"/>
    <w:rsid w:val="00576BEE"/>
    <w:rsid w:val="00581AC1"/>
    <w:rsid w:val="005847F9"/>
    <w:rsid w:val="00584A59"/>
    <w:rsid w:val="00587364"/>
    <w:rsid w:val="00596A90"/>
    <w:rsid w:val="005A2B51"/>
    <w:rsid w:val="005A60C3"/>
    <w:rsid w:val="005D57E7"/>
    <w:rsid w:val="005F05AB"/>
    <w:rsid w:val="005F1320"/>
    <w:rsid w:val="005F46DA"/>
    <w:rsid w:val="005F746E"/>
    <w:rsid w:val="00601FE7"/>
    <w:rsid w:val="00606518"/>
    <w:rsid w:val="00617DD2"/>
    <w:rsid w:val="00623A32"/>
    <w:rsid w:val="006403C7"/>
    <w:rsid w:val="00642D01"/>
    <w:rsid w:val="00644424"/>
    <w:rsid w:val="0066685C"/>
    <w:rsid w:val="00683900"/>
    <w:rsid w:val="006854EB"/>
    <w:rsid w:val="006909E9"/>
    <w:rsid w:val="006C3239"/>
    <w:rsid w:val="006C3AD2"/>
    <w:rsid w:val="006C6259"/>
    <w:rsid w:val="006C64FF"/>
    <w:rsid w:val="006E5255"/>
    <w:rsid w:val="006E6497"/>
    <w:rsid w:val="006F4788"/>
    <w:rsid w:val="0070242F"/>
    <w:rsid w:val="00704351"/>
    <w:rsid w:val="00714942"/>
    <w:rsid w:val="00726C8E"/>
    <w:rsid w:val="00730221"/>
    <w:rsid w:val="007322EE"/>
    <w:rsid w:val="00736C57"/>
    <w:rsid w:val="00742AD3"/>
    <w:rsid w:val="0075784B"/>
    <w:rsid w:val="00757B4F"/>
    <w:rsid w:val="007659BD"/>
    <w:rsid w:val="00771161"/>
    <w:rsid w:val="00773DA9"/>
    <w:rsid w:val="00774D30"/>
    <w:rsid w:val="00781791"/>
    <w:rsid w:val="00781CC6"/>
    <w:rsid w:val="007832F4"/>
    <w:rsid w:val="007845A1"/>
    <w:rsid w:val="0078776D"/>
    <w:rsid w:val="007A415C"/>
    <w:rsid w:val="007B19D4"/>
    <w:rsid w:val="007B2783"/>
    <w:rsid w:val="007B4D22"/>
    <w:rsid w:val="007B563B"/>
    <w:rsid w:val="007C6E4E"/>
    <w:rsid w:val="007D4A86"/>
    <w:rsid w:val="007E1869"/>
    <w:rsid w:val="007E3816"/>
    <w:rsid w:val="007E4DBB"/>
    <w:rsid w:val="007E5866"/>
    <w:rsid w:val="007E7D38"/>
    <w:rsid w:val="007F1895"/>
    <w:rsid w:val="00815A2A"/>
    <w:rsid w:val="00821F80"/>
    <w:rsid w:val="008244B8"/>
    <w:rsid w:val="00830C4F"/>
    <w:rsid w:val="00845051"/>
    <w:rsid w:val="008479C1"/>
    <w:rsid w:val="00856213"/>
    <w:rsid w:val="00875629"/>
    <w:rsid w:val="00875C10"/>
    <w:rsid w:val="00883C94"/>
    <w:rsid w:val="00895BF1"/>
    <w:rsid w:val="00895C35"/>
    <w:rsid w:val="008961BC"/>
    <w:rsid w:val="008A1F4A"/>
    <w:rsid w:val="008A2BFD"/>
    <w:rsid w:val="008A48F8"/>
    <w:rsid w:val="008D4ED8"/>
    <w:rsid w:val="008E0A83"/>
    <w:rsid w:val="008E430A"/>
    <w:rsid w:val="008F606C"/>
    <w:rsid w:val="00900215"/>
    <w:rsid w:val="00902638"/>
    <w:rsid w:val="009176FA"/>
    <w:rsid w:val="009216F2"/>
    <w:rsid w:val="009224BF"/>
    <w:rsid w:val="00937350"/>
    <w:rsid w:val="009417DD"/>
    <w:rsid w:val="00944734"/>
    <w:rsid w:val="00945BB4"/>
    <w:rsid w:val="00967F64"/>
    <w:rsid w:val="00976A46"/>
    <w:rsid w:val="009819AA"/>
    <w:rsid w:val="009903A4"/>
    <w:rsid w:val="009A6656"/>
    <w:rsid w:val="009A7BA6"/>
    <w:rsid w:val="009B1C3E"/>
    <w:rsid w:val="009C27B2"/>
    <w:rsid w:val="009C37A4"/>
    <w:rsid w:val="009C5902"/>
    <w:rsid w:val="009D0C4D"/>
    <w:rsid w:val="009D39D1"/>
    <w:rsid w:val="009D4595"/>
    <w:rsid w:val="009D592D"/>
    <w:rsid w:val="009F0CE1"/>
    <w:rsid w:val="00A21D83"/>
    <w:rsid w:val="00A304E2"/>
    <w:rsid w:val="00A3071B"/>
    <w:rsid w:val="00A4608F"/>
    <w:rsid w:val="00A577C0"/>
    <w:rsid w:val="00A76B8E"/>
    <w:rsid w:val="00A777A8"/>
    <w:rsid w:val="00A8144D"/>
    <w:rsid w:val="00A83D73"/>
    <w:rsid w:val="00A86DA1"/>
    <w:rsid w:val="00A87B51"/>
    <w:rsid w:val="00A908B4"/>
    <w:rsid w:val="00A91019"/>
    <w:rsid w:val="00A9166E"/>
    <w:rsid w:val="00A95CB6"/>
    <w:rsid w:val="00A96E1F"/>
    <w:rsid w:val="00AA5D63"/>
    <w:rsid w:val="00AB1EFE"/>
    <w:rsid w:val="00AB48BF"/>
    <w:rsid w:val="00AD191E"/>
    <w:rsid w:val="00AD1FB4"/>
    <w:rsid w:val="00AD2997"/>
    <w:rsid w:val="00AD6AA1"/>
    <w:rsid w:val="00AF36E6"/>
    <w:rsid w:val="00AF3ABC"/>
    <w:rsid w:val="00AF6794"/>
    <w:rsid w:val="00B07E3A"/>
    <w:rsid w:val="00B21266"/>
    <w:rsid w:val="00B25EDF"/>
    <w:rsid w:val="00B25FFD"/>
    <w:rsid w:val="00B31E13"/>
    <w:rsid w:val="00B33A91"/>
    <w:rsid w:val="00B36275"/>
    <w:rsid w:val="00B5059A"/>
    <w:rsid w:val="00B55FA1"/>
    <w:rsid w:val="00B65988"/>
    <w:rsid w:val="00B775D4"/>
    <w:rsid w:val="00BA2158"/>
    <w:rsid w:val="00BA5D5D"/>
    <w:rsid w:val="00BB31B0"/>
    <w:rsid w:val="00BB412F"/>
    <w:rsid w:val="00BC7DC6"/>
    <w:rsid w:val="00BD0E17"/>
    <w:rsid w:val="00BF3580"/>
    <w:rsid w:val="00C35B90"/>
    <w:rsid w:val="00C5192E"/>
    <w:rsid w:val="00C61D8D"/>
    <w:rsid w:val="00C63EDB"/>
    <w:rsid w:val="00C677D5"/>
    <w:rsid w:val="00C80C55"/>
    <w:rsid w:val="00C80D8E"/>
    <w:rsid w:val="00C852E6"/>
    <w:rsid w:val="00CB4CED"/>
    <w:rsid w:val="00CD47C6"/>
    <w:rsid w:val="00CD4DC4"/>
    <w:rsid w:val="00CE6D82"/>
    <w:rsid w:val="00CF238A"/>
    <w:rsid w:val="00CF6D65"/>
    <w:rsid w:val="00CF76F8"/>
    <w:rsid w:val="00CF7E38"/>
    <w:rsid w:val="00D14B82"/>
    <w:rsid w:val="00D176D2"/>
    <w:rsid w:val="00D25084"/>
    <w:rsid w:val="00D5109F"/>
    <w:rsid w:val="00D5401D"/>
    <w:rsid w:val="00D64B94"/>
    <w:rsid w:val="00D66AA8"/>
    <w:rsid w:val="00D7481F"/>
    <w:rsid w:val="00D80A2A"/>
    <w:rsid w:val="00D82DB3"/>
    <w:rsid w:val="00D87BDA"/>
    <w:rsid w:val="00DA67EE"/>
    <w:rsid w:val="00DB0C08"/>
    <w:rsid w:val="00DC29C3"/>
    <w:rsid w:val="00DC3BCF"/>
    <w:rsid w:val="00DE506B"/>
    <w:rsid w:val="00DE537A"/>
    <w:rsid w:val="00DF3414"/>
    <w:rsid w:val="00E0113D"/>
    <w:rsid w:val="00E13DC2"/>
    <w:rsid w:val="00E15080"/>
    <w:rsid w:val="00E17C1F"/>
    <w:rsid w:val="00E23A01"/>
    <w:rsid w:val="00E30119"/>
    <w:rsid w:val="00E32D01"/>
    <w:rsid w:val="00E369C0"/>
    <w:rsid w:val="00E37733"/>
    <w:rsid w:val="00E65A12"/>
    <w:rsid w:val="00E80817"/>
    <w:rsid w:val="00E82CF0"/>
    <w:rsid w:val="00E877B5"/>
    <w:rsid w:val="00E9637A"/>
    <w:rsid w:val="00E97BA7"/>
    <w:rsid w:val="00EA352C"/>
    <w:rsid w:val="00EA3B7E"/>
    <w:rsid w:val="00EB2F9F"/>
    <w:rsid w:val="00EC26EE"/>
    <w:rsid w:val="00EC439F"/>
    <w:rsid w:val="00EC4E81"/>
    <w:rsid w:val="00EC7E7B"/>
    <w:rsid w:val="00ED170D"/>
    <w:rsid w:val="00EF1D6C"/>
    <w:rsid w:val="00F018E6"/>
    <w:rsid w:val="00F102A8"/>
    <w:rsid w:val="00F117C2"/>
    <w:rsid w:val="00F25D1D"/>
    <w:rsid w:val="00F3251F"/>
    <w:rsid w:val="00F4712E"/>
    <w:rsid w:val="00F47202"/>
    <w:rsid w:val="00F501FA"/>
    <w:rsid w:val="00F52947"/>
    <w:rsid w:val="00F63D54"/>
    <w:rsid w:val="00F64857"/>
    <w:rsid w:val="00F71350"/>
    <w:rsid w:val="00F717E9"/>
    <w:rsid w:val="00F7351B"/>
    <w:rsid w:val="00F76D04"/>
    <w:rsid w:val="00F801B4"/>
    <w:rsid w:val="00FC14EE"/>
    <w:rsid w:val="00FC3819"/>
    <w:rsid w:val="00FC726B"/>
    <w:rsid w:val="00FF1629"/>
    <w:rsid w:val="00FF4D51"/>
    <w:rsid w:val="03C722CE"/>
    <w:rsid w:val="54A8917D"/>
    <w:rsid w:val="579B780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154E"/>
  <w15:docId w15:val="{E132DF2B-6516-4447-BB52-13C3F9DC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character" w:styleId="AklamaBavurusu">
    <w:name w:val="annotation reference"/>
    <w:basedOn w:val="VarsaylanParagrafYazTipi"/>
    <w:uiPriority w:val="99"/>
    <w:semiHidden/>
    <w:unhideWhenUsed/>
    <w:rsid w:val="00C80D8E"/>
    <w:rPr>
      <w:sz w:val="16"/>
      <w:szCs w:val="16"/>
    </w:rPr>
  </w:style>
  <w:style w:type="paragraph" w:styleId="AklamaMetni">
    <w:name w:val="annotation text"/>
    <w:basedOn w:val="Normal"/>
    <w:link w:val="AklamaMetniChar"/>
    <w:uiPriority w:val="99"/>
    <w:semiHidden/>
    <w:unhideWhenUsed/>
    <w:rsid w:val="00C80D8E"/>
    <w:rPr>
      <w:sz w:val="20"/>
      <w:szCs w:val="20"/>
    </w:rPr>
  </w:style>
  <w:style w:type="character" w:customStyle="1" w:styleId="AklamaMetniChar">
    <w:name w:val="Açıklama Metni Char"/>
    <w:basedOn w:val="VarsaylanParagrafYazTipi"/>
    <w:link w:val="AklamaMetni"/>
    <w:uiPriority w:val="99"/>
    <w:semiHidden/>
    <w:rsid w:val="00C80D8E"/>
    <w:rPr>
      <w:sz w:val="20"/>
      <w:szCs w:val="20"/>
    </w:rPr>
  </w:style>
  <w:style w:type="paragraph" w:styleId="BalonMetni">
    <w:name w:val="Balloon Text"/>
    <w:basedOn w:val="Normal"/>
    <w:link w:val="BalonMetniChar"/>
    <w:uiPriority w:val="99"/>
    <w:semiHidden/>
    <w:unhideWhenUsed/>
    <w:rsid w:val="00C80D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D8E"/>
    <w:rPr>
      <w:rFonts w:ascii="Segoe UI" w:hAnsi="Segoe UI" w:cs="Segoe UI"/>
      <w:sz w:val="18"/>
      <w:szCs w:val="18"/>
    </w:rPr>
  </w:style>
  <w:style w:type="paragraph" w:styleId="NormalWeb">
    <w:name w:val="Normal (Web)"/>
    <w:basedOn w:val="Normal"/>
    <w:uiPriority w:val="99"/>
    <w:semiHidden/>
    <w:unhideWhenUsed/>
    <w:rsid w:val="00526BF7"/>
    <w:pPr>
      <w:spacing w:before="100" w:beforeAutospacing="1" w:after="100" w:afterAutospacing="1"/>
    </w:pPr>
    <w:rPr>
      <w:rFonts w:ascii="Times New Roman" w:eastAsia="Times New Roman" w:hAnsi="Times New Roman" w:cs="Times New Roman"/>
      <w:lang w:val="fr-FR"/>
    </w:rPr>
  </w:style>
  <w:style w:type="character" w:styleId="Kpr">
    <w:name w:val="Hyperlink"/>
    <w:basedOn w:val="VarsaylanParagrafYazTipi"/>
    <w:uiPriority w:val="99"/>
    <w:unhideWhenUsed/>
    <w:rsid w:val="009D39D1"/>
    <w:rPr>
      <w:color w:val="0000FF" w:themeColor="hyperlink"/>
      <w:u w:val="single"/>
    </w:rPr>
  </w:style>
  <w:style w:type="paragraph" w:styleId="AklamaKonusu">
    <w:name w:val="annotation subject"/>
    <w:basedOn w:val="AklamaMetni"/>
    <w:next w:val="AklamaMetni"/>
    <w:link w:val="AklamaKonusuChar"/>
    <w:uiPriority w:val="99"/>
    <w:semiHidden/>
    <w:unhideWhenUsed/>
    <w:rsid w:val="009D592D"/>
    <w:rPr>
      <w:b/>
      <w:bCs/>
    </w:rPr>
  </w:style>
  <w:style w:type="character" w:customStyle="1" w:styleId="AklamaKonusuChar">
    <w:name w:val="Açıklama Konusu Char"/>
    <w:basedOn w:val="AklamaMetniChar"/>
    <w:link w:val="AklamaKonusu"/>
    <w:uiPriority w:val="99"/>
    <w:semiHidden/>
    <w:rsid w:val="009D592D"/>
    <w:rPr>
      <w:b/>
      <w:bCs/>
      <w:sz w:val="20"/>
      <w:szCs w:val="20"/>
    </w:rPr>
  </w:style>
  <w:style w:type="character" w:styleId="Gl">
    <w:name w:val="Strong"/>
    <w:basedOn w:val="VarsaylanParagrafYazTipi"/>
    <w:uiPriority w:val="22"/>
    <w:qFormat/>
    <w:rsid w:val="0066685C"/>
    <w:rPr>
      <w:b/>
      <w:bCs/>
    </w:rPr>
  </w:style>
  <w:style w:type="paragraph" w:styleId="GvdeMetni">
    <w:name w:val="Body Text"/>
    <w:basedOn w:val="Normal"/>
    <w:link w:val="GvdeMetniChar"/>
    <w:uiPriority w:val="1"/>
    <w:qFormat/>
    <w:rsid w:val="00B65988"/>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B65988"/>
    <w:rPr>
      <w:rFonts w:ascii="Arial" w:eastAsia="Arial" w:hAnsi="Arial" w:cs="Arial"/>
      <w:sz w:val="22"/>
      <w:szCs w:val="22"/>
      <w:lang w:val="en-US" w:eastAsia="en-US"/>
    </w:rPr>
  </w:style>
  <w:style w:type="paragraph" w:styleId="ResimYazs">
    <w:name w:val="caption"/>
    <w:basedOn w:val="Normal"/>
    <w:next w:val="Normal"/>
    <w:uiPriority w:val="35"/>
    <w:unhideWhenUsed/>
    <w:qFormat/>
    <w:rsid w:val="00E80817"/>
    <w:pPr>
      <w:spacing w:after="200"/>
    </w:pPr>
    <w:rPr>
      <w:i/>
      <w:iCs/>
      <w:color w:val="1F497D" w:themeColor="text2"/>
      <w:sz w:val="18"/>
      <w:szCs w:val="18"/>
    </w:rPr>
  </w:style>
  <w:style w:type="character" w:styleId="Vurgu">
    <w:name w:val="Emphasis"/>
    <w:basedOn w:val="VarsaylanParagrafYazTipi"/>
    <w:uiPriority w:val="20"/>
    <w:qFormat/>
    <w:rsid w:val="009819AA"/>
    <w:rPr>
      <w:i/>
      <w:iCs/>
    </w:rPr>
  </w:style>
  <w:style w:type="character" w:styleId="zmlenmeyenBahsetme">
    <w:name w:val="Unresolved Mention"/>
    <w:basedOn w:val="VarsaylanParagrafYazTipi"/>
    <w:uiPriority w:val="99"/>
    <w:semiHidden/>
    <w:unhideWhenUsed/>
    <w:rsid w:val="00F63D54"/>
    <w:rPr>
      <w:color w:val="605E5C"/>
      <w:shd w:val="clear" w:color="auto" w:fill="E1DFDD"/>
    </w:rPr>
  </w:style>
  <w:style w:type="paragraph" w:styleId="Dzeltme">
    <w:name w:val="Revision"/>
    <w:hidden/>
    <w:uiPriority w:val="99"/>
    <w:semiHidden/>
    <w:rsid w:val="00AD191E"/>
  </w:style>
  <w:style w:type="paragraph" w:styleId="stBilgi">
    <w:name w:val="header"/>
    <w:basedOn w:val="Normal"/>
    <w:link w:val="stBilgiChar"/>
    <w:uiPriority w:val="99"/>
    <w:unhideWhenUsed/>
    <w:rsid w:val="00404384"/>
    <w:pPr>
      <w:tabs>
        <w:tab w:val="center" w:pos="4536"/>
        <w:tab w:val="right" w:pos="9072"/>
      </w:tabs>
    </w:pPr>
  </w:style>
  <w:style w:type="character" w:customStyle="1" w:styleId="stBilgiChar">
    <w:name w:val="Üst Bilgi Char"/>
    <w:basedOn w:val="VarsaylanParagrafYazTipi"/>
    <w:link w:val="stBilgi"/>
    <w:uiPriority w:val="99"/>
    <w:rsid w:val="00404384"/>
  </w:style>
  <w:style w:type="paragraph" w:styleId="AltBilgi">
    <w:name w:val="footer"/>
    <w:basedOn w:val="Normal"/>
    <w:link w:val="AltBilgiChar"/>
    <w:uiPriority w:val="99"/>
    <w:unhideWhenUsed/>
    <w:rsid w:val="00404384"/>
    <w:pPr>
      <w:tabs>
        <w:tab w:val="center" w:pos="4536"/>
        <w:tab w:val="right" w:pos="9072"/>
      </w:tabs>
    </w:pPr>
  </w:style>
  <w:style w:type="character" w:customStyle="1" w:styleId="AltBilgiChar">
    <w:name w:val="Alt Bilgi Char"/>
    <w:basedOn w:val="VarsaylanParagrafYazTipi"/>
    <w:link w:val="AltBilgi"/>
    <w:uiPriority w:val="99"/>
    <w:rsid w:val="00404384"/>
  </w:style>
  <w:style w:type="character" w:styleId="zlenenKpr">
    <w:name w:val="FollowedHyperlink"/>
    <w:basedOn w:val="VarsaylanParagrafYazTipi"/>
    <w:uiPriority w:val="99"/>
    <w:semiHidden/>
    <w:unhideWhenUsed/>
    <w:rsid w:val="00606518"/>
    <w:rPr>
      <w:color w:val="800080" w:themeColor="followedHyperlink"/>
      <w:u w:val="single"/>
    </w:rPr>
  </w:style>
  <w:style w:type="paragraph" w:customStyle="1" w:styleId="paragraph">
    <w:name w:val="paragraph"/>
    <w:basedOn w:val="Normal"/>
    <w:rsid w:val="00F102A8"/>
    <w:pPr>
      <w:spacing w:before="100" w:beforeAutospacing="1" w:after="100" w:afterAutospacing="1"/>
    </w:pPr>
    <w:rPr>
      <w:rFonts w:ascii="Times New Roman" w:eastAsia="Times New Roman" w:hAnsi="Times New Roman" w:cs="Times New Roman"/>
      <w:lang w:val="tr-TR" w:eastAsia="tr-TR"/>
    </w:rPr>
  </w:style>
  <w:style w:type="character" w:customStyle="1" w:styleId="normaltextrun">
    <w:name w:val="normaltextrun"/>
    <w:basedOn w:val="VarsaylanParagrafYazTipi"/>
    <w:rsid w:val="00F102A8"/>
  </w:style>
  <w:style w:type="character" w:customStyle="1" w:styleId="eop">
    <w:name w:val="eop"/>
    <w:basedOn w:val="VarsaylanParagrafYazTipi"/>
    <w:rsid w:val="00F102A8"/>
  </w:style>
  <w:style w:type="character" w:customStyle="1" w:styleId="spellingerror">
    <w:name w:val="spellingerror"/>
    <w:basedOn w:val="VarsaylanParagrafYazTipi"/>
    <w:rsid w:val="00F1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2303">
      <w:bodyDiv w:val="1"/>
      <w:marLeft w:val="0"/>
      <w:marRight w:val="0"/>
      <w:marTop w:val="0"/>
      <w:marBottom w:val="0"/>
      <w:divBdr>
        <w:top w:val="none" w:sz="0" w:space="0" w:color="auto"/>
        <w:left w:val="none" w:sz="0" w:space="0" w:color="auto"/>
        <w:bottom w:val="none" w:sz="0" w:space="0" w:color="auto"/>
        <w:right w:val="none" w:sz="0" w:space="0" w:color="auto"/>
      </w:divBdr>
    </w:div>
    <w:div w:id="322855331">
      <w:bodyDiv w:val="1"/>
      <w:marLeft w:val="0"/>
      <w:marRight w:val="0"/>
      <w:marTop w:val="0"/>
      <w:marBottom w:val="0"/>
      <w:divBdr>
        <w:top w:val="none" w:sz="0" w:space="0" w:color="auto"/>
        <w:left w:val="none" w:sz="0" w:space="0" w:color="auto"/>
        <w:bottom w:val="none" w:sz="0" w:space="0" w:color="auto"/>
        <w:right w:val="none" w:sz="0" w:space="0" w:color="auto"/>
      </w:divBdr>
      <w:divsChild>
        <w:div w:id="1291130008">
          <w:marLeft w:val="0"/>
          <w:marRight w:val="0"/>
          <w:marTop w:val="0"/>
          <w:marBottom w:val="0"/>
          <w:divBdr>
            <w:top w:val="none" w:sz="0" w:space="0" w:color="auto"/>
            <w:left w:val="none" w:sz="0" w:space="0" w:color="auto"/>
            <w:bottom w:val="none" w:sz="0" w:space="0" w:color="auto"/>
            <w:right w:val="none" w:sz="0" w:space="0" w:color="auto"/>
          </w:divBdr>
        </w:div>
      </w:divsChild>
    </w:div>
    <w:div w:id="353842472">
      <w:bodyDiv w:val="1"/>
      <w:marLeft w:val="0"/>
      <w:marRight w:val="0"/>
      <w:marTop w:val="0"/>
      <w:marBottom w:val="0"/>
      <w:divBdr>
        <w:top w:val="none" w:sz="0" w:space="0" w:color="auto"/>
        <w:left w:val="none" w:sz="0" w:space="0" w:color="auto"/>
        <w:bottom w:val="none" w:sz="0" w:space="0" w:color="auto"/>
        <w:right w:val="none" w:sz="0" w:space="0" w:color="auto"/>
      </w:divBdr>
    </w:div>
    <w:div w:id="408387546">
      <w:bodyDiv w:val="1"/>
      <w:marLeft w:val="0"/>
      <w:marRight w:val="0"/>
      <w:marTop w:val="0"/>
      <w:marBottom w:val="0"/>
      <w:divBdr>
        <w:top w:val="none" w:sz="0" w:space="0" w:color="auto"/>
        <w:left w:val="none" w:sz="0" w:space="0" w:color="auto"/>
        <w:bottom w:val="none" w:sz="0" w:space="0" w:color="auto"/>
        <w:right w:val="none" w:sz="0" w:space="0" w:color="auto"/>
      </w:divBdr>
      <w:divsChild>
        <w:div w:id="32776992">
          <w:marLeft w:val="0"/>
          <w:marRight w:val="0"/>
          <w:marTop w:val="0"/>
          <w:marBottom w:val="0"/>
          <w:divBdr>
            <w:top w:val="none" w:sz="0" w:space="0" w:color="auto"/>
            <w:left w:val="none" w:sz="0" w:space="0" w:color="auto"/>
            <w:bottom w:val="none" w:sz="0" w:space="0" w:color="auto"/>
            <w:right w:val="none" w:sz="0" w:space="0" w:color="auto"/>
          </w:divBdr>
        </w:div>
      </w:divsChild>
    </w:div>
    <w:div w:id="845170996">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1464229722">
      <w:bodyDiv w:val="1"/>
      <w:marLeft w:val="0"/>
      <w:marRight w:val="0"/>
      <w:marTop w:val="0"/>
      <w:marBottom w:val="0"/>
      <w:divBdr>
        <w:top w:val="none" w:sz="0" w:space="0" w:color="auto"/>
        <w:left w:val="none" w:sz="0" w:space="0" w:color="auto"/>
        <w:bottom w:val="none" w:sz="0" w:space="0" w:color="auto"/>
        <w:right w:val="none" w:sz="0" w:space="0" w:color="auto"/>
      </w:divBdr>
    </w:div>
    <w:div w:id="1566867379">
      <w:bodyDiv w:val="1"/>
      <w:marLeft w:val="0"/>
      <w:marRight w:val="0"/>
      <w:marTop w:val="0"/>
      <w:marBottom w:val="0"/>
      <w:divBdr>
        <w:top w:val="none" w:sz="0" w:space="0" w:color="auto"/>
        <w:left w:val="none" w:sz="0" w:space="0" w:color="auto"/>
        <w:bottom w:val="none" w:sz="0" w:space="0" w:color="auto"/>
        <w:right w:val="none" w:sz="0" w:space="0" w:color="auto"/>
      </w:divBdr>
    </w:div>
    <w:div w:id="1684938331">
      <w:bodyDiv w:val="1"/>
      <w:marLeft w:val="0"/>
      <w:marRight w:val="0"/>
      <w:marTop w:val="0"/>
      <w:marBottom w:val="0"/>
      <w:divBdr>
        <w:top w:val="none" w:sz="0" w:space="0" w:color="auto"/>
        <w:left w:val="none" w:sz="0" w:space="0" w:color="auto"/>
        <w:bottom w:val="none" w:sz="0" w:space="0" w:color="auto"/>
        <w:right w:val="none" w:sz="0" w:space="0" w:color="auto"/>
      </w:divBdr>
    </w:div>
    <w:div w:id="1728796393">
      <w:bodyDiv w:val="1"/>
      <w:marLeft w:val="0"/>
      <w:marRight w:val="0"/>
      <w:marTop w:val="0"/>
      <w:marBottom w:val="0"/>
      <w:divBdr>
        <w:top w:val="none" w:sz="0" w:space="0" w:color="auto"/>
        <w:left w:val="none" w:sz="0" w:space="0" w:color="auto"/>
        <w:bottom w:val="none" w:sz="0" w:space="0" w:color="auto"/>
        <w:right w:val="none" w:sz="0" w:space="0" w:color="auto"/>
      </w:divBdr>
    </w:div>
    <w:div w:id="2100708403">
      <w:bodyDiv w:val="1"/>
      <w:marLeft w:val="0"/>
      <w:marRight w:val="0"/>
      <w:marTop w:val="0"/>
      <w:marBottom w:val="0"/>
      <w:divBdr>
        <w:top w:val="none" w:sz="0" w:space="0" w:color="auto"/>
        <w:left w:val="none" w:sz="0" w:space="0" w:color="auto"/>
        <w:bottom w:val="none" w:sz="0" w:space="0" w:color="auto"/>
        <w:right w:val="none" w:sz="0" w:space="0" w:color="auto"/>
      </w:divBdr>
    </w:div>
    <w:div w:id="2143230267">
      <w:bodyDiv w:val="1"/>
      <w:marLeft w:val="0"/>
      <w:marRight w:val="0"/>
      <w:marTop w:val="0"/>
      <w:marBottom w:val="0"/>
      <w:divBdr>
        <w:top w:val="none" w:sz="0" w:space="0" w:color="auto"/>
        <w:left w:val="none" w:sz="0" w:space="0" w:color="auto"/>
        <w:bottom w:val="none" w:sz="0" w:space="0" w:color="auto"/>
        <w:right w:val="none" w:sz="0" w:space="0" w:color="auto"/>
      </w:divBdr>
      <w:divsChild>
        <w:div w:id="468522813">
          <w:marLeft w:val="0"/>
          <w:marRight w:val="0"/>
          <w:marTop w:val="90"/>
          <w:marBottom w:val="0"/>
          <w:divBdr>
            <w:top w:val="none" w:sz="0" w:space="0" w:color="auto"/>
            <w:left w:val="none" w:sz="0" w:space="0" w:color="auto"/>
            <w:bottom w:val="none" w:sz="0" w:space="0" w:color="auto"/>
            <w:right w:val="none" w:sz="0" w:space="0" w:color="auto"/>
          </w:divBdr>
          <w:divsChild>
            <w:div w:id="1149859689">
              <w:marLeft w:val="0"/>
              <w:marRight w:val="0"/>
              <w:marTop w:val="0"/>
              <w:marBottom w:val="420"/>
              <w:divBdr>
                <w:top w:val="none" w:sz="0" w:space="0" w:color="auto"/>
                <w:left w:val="none" w:sz="0" w:space="0" w:color="auto"/>
                <w:bottom w:val="none" w:sz="0" w:space="0" w:color="auto"/>
                <w:right w:val="none" w:sz="0" w:space="0" w:color="auto"/>
              </w:divBdr>
              <w:divsChild>
                <w:div w:id="256207311">
                  <w:marLeft w:val="0"/>
                  <w:marRight w:val="0"/>
                  <w:marTop w:val="0"/>
                  <w:marBottom w:val="0"/>
                  <w:divBdr>
                    <w:top w:val="none" w:sz="0" w:space="0" w:color="auto"/>
                    <w:left w:val="none" w:sz="0" w:space="0" w:color="auto"/>
                    <w:bottom w:val="none" w:sz="0" w:space="0" w:color="auto"/>
                    <w:right w:val="none" w:sz="0" w:space="0" w:color="auto"/>
                  </w:divBdr>
                  <w:divsChild>
                    <w:div w:id="701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cl.com/global/e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derk@bordop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D9C92624-97AF-42E8-A2A9-2320C2808944}">
  <ds:schemaRefs>
    <ds:schemaRef ds:uri="http://schemas.openxmlformats.org/officeDocument/2006/bibliography"/>
  </ds:schemaRefs>
</ds:datastoreItem>
</file>

<file path=customXml/itemProps2.xml><?xml version="1.0" encoding="utf-8"?>
<ds:datastoreItem xmlns:ds="http://schemas.openxmlformats.org/officeDocument/2006/customXml" ds:itemID="{A587B241-052C-4D64-92FB-CB5254A9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22AA6-9823-4BEA-9F04-52749BADDB22}">
  <ds:schemaRefs>
    <ds:schemaRef ds:uri="http://schemas.microsoft.com/sharepoint/v3/contenttype/forms"/>
  </ds:schemaRefs>
</ds:datastoreItem>
</file>

<file path=customXml/itemProps4.xml><?xml version="1.0" encoding="utf-8"?>
<ds:datastoreItem xmlns:ds="http://schemas.openxmlformats.org/officeDocument/2006/customXml" ds:itemID="{8845540C-77C1-437E-9E65-330DD65B3A69}">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582</Words>
  <Characters>3322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dc:creator>
  <cp:lastModifiedBy>Onder Kalkanci</cp:lastModifiedBy>
  <cp:revision>7</cp:revision>
  <cp:lastPrinted>2020-05-26T11:07:00Z</cp:lastPrinted>
  <dcterms:created xsi:type="dcterms:W3CDTF">2022-08-26T08:21:00Z</dcterms:created>
  <dcterms:modified xsi:type="dcterms:W3CDTF">2022-08-26T09:29:00Z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