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559B6758" w:rsidR="00D322B8" w:rsidRPr="00586273" w:rsidRDefault="00D322B8" w:rsidP="48B88B55">
      <w:pPr>
        <w:rPr>
          <w:rFonts w:ascii="Tahoma" w:eastAsia="Tahoma" w:hAnsi="Tahoma" w:cs="Tahoma"/>
          <w:b/>
          <w:bCs/>
          <w:u w:val="single"/>
        </w:rPr>
      </w:pPr>
      <w:r w:rsidRPr="00586273">
        <w:rPr>
          <w:rFonts w:ascii="Tahoma" w:eastAsia="Tahoma" w:hAnsi="Tahoma" w:cs="Tahoma"/>
          <w:b/>
          <w:bCs/>
          <w:u w:val="single"/>
        </w:rPr>
        <w:t>BASIN BÜLTENİ</w:t>
      </w:r>
      <w:r w:rsidRPr="00586273">
        <w:rPr>
          <w:u w:val="single"/>
        </w:rPr>
        <w:tab/>
      </w:r>
      <w:r w:rsidRPr="00586273">
        <w:rPr>
          <w:u w:val="single"/>
        </w:rPr>
        <w:tab/>
      </w:r>
      <w:r w:rsidRPr="00586273">
        <w:rPr>
          <w:u w:val="single"/>
        </w:rPr>
        <w:tab/>
      </w:r>
      <w:r w:rsidRPr="00586273">
        <w:rPr>
          <w:u w:val="single"/>
        </w:rPr>
        <w:tab/>
      </w:r>
      <w:r w:rsidRPr="00586273">
        <w:rPr>
          <w:rFonts w:ascii="Tahoma" w:eastAsia="Tahoma" w:hAnsi="Tahoma" w:cs="Tahoma"/>
          <w:b/>
          <w:bCs/>
          <w:u w:val="single"/>
        </w:rPr>
        <w:t xml:space="preserve">                                  </w:t>
      </w:r>
      <w:r w:rsidR="00CC1B20">
        <w:rPr>
          <w:rFonts w:ascii="Tahoma" w:eastAsia="Tahoma" w:hAnsi="Tahoma" w:cs="Tahoma"/>
          <w:b/>
          <w:bCs/>
          <w:u w:val="single"/>
        </w:rPr>
        <w:tab/>
      </w:r>
      <w:r w:rsidRPr="00586273">
        <w:rPr>
          <w:rFonts w:ascii="Tahoma" w:eastAsia="Tahoma" w:hAnsi="Tahoma" w:cs="Tahoma"/>
          <w:b/>
          <w:bCs/>
          <w:u w:val="single"/>
        </w:rPr>
        <w:t xml:space="preserve">          </w:t>
      </w:r>
      <w:r w:rsidR="408AF92A" w:rsidRPr="00586273">
        <w:rPr>
          <w:rFonts w:ascii="Tahoma" w:eastAsia="Tahoma" w:hAnsi="Tahoma" w:cs="Tahoma"/>
          <w:b/>
          <w:bCs/>
          <w:u w:val="single"/>
        </w:rPr>
        <w:t>19</w:t>
      </w:r>
      <w:r w:rsidRPr="00586273">
        <w:rPr>
          <w:rFonts w:ascii="Tahoma" w:eastAsia="Tahoma" w:hAnsi="Tahoma" w:cs="Tahoma"/>
          <w:b/>
          <w:bCs/>
          <w:u w:val="single"/>
        </w:rPr>
        <w:t>.</w:t>
      </w:r>
      <w:r w:rsidR="009305F3" w:rsidRPr="00586273">
        <w:rPr>
          <w:rFonts w:ascii="Tahoma" w:eastAsia="Tahoma" w:hAnsi="Tahoma" w:cs="Tahoma"/>
          <w:b/>
          <w:bCs/>
          <w:u w:val="single"/>
        </w:rPr>
        <w:t>01</w:t>
      </w:r>
      <w:r w:rsidRPr="00586273">
        <w:rPr>
          <w:rFonts w:ascii="Tahoma" w:eastAsia="Tahoma" w:hAnsi="Tahoma" w:cs="Tahoma"/>
          <w:b/>
          <w:bCs/>
          <w:u w:val="single"/>
        </w:rPr>
        <w:t>.202</w:t>
      </w:r>
      <w:r w:rsidR="009305F3" w:rsidRPr="00586273">
        <w:rPr>
          <w:rFonts w:ascii="Tahoma" w:eastAsia="Tahoma" w:hAnsi="Tahoma" w:cs="Tahoma"/>
          <w:b/>
          <w:bCs/>
          <w:u w:val="single"/>
        </w:rPr>
        <w:t>3</w:t>
      </w:r>
    </w:p>
    <w:p w14:paraId="335CEAF7" w14:textId="77777777" w:rsidR="00D322B8" w:rsidRPr="006257BE" w:rsidRDefault="00D322B8" w:rsidP="00FB099A">
      <w:pPr>
        <w:rPr>
          <w:rFonts w:ascii="Arial" w:hAnsi="Arial" w:cs="Arial"/>
          <w:b/>
          <w:bCs/>
        </w:rPr>
      </w:pPr>
    </w:p>
    <w:p w14:paraId="0CFD038D" w14:textId="77777777" w:rsidR="00956EDA" w:rsidRPr="00956EDA" w:rsidRDefault="00956EDA" w:rsidP="48B88B55">
      <w:pPr>
        <w:spacing w:after="0" w:line="276" w:lineRule="auto"/>
        <w:contextualSpacing/>
        <w:jc w:val="center"/>
        <w:rPr>
          <w:rFonts w:ascii="Arial" w:hAnsi="Arial" w:cs="Arial"/>
          <w:b/>
          <w:bCs/>
        </w:rPr>
      </w:pPr>
      <w:r w:rsidRPr="48B88B55">
        <w:rPr>
          <w:rFonts w:ascii="Arial" w:hAnsi="Arial" w:cs="Arial"/>
          <w:b/>
          <w:bCs/>
        </w:rPr>
        <w:t xml:space="preserve">KPMG, “Sigorta Sektörü CEO </w:t>
      </w:r>
      <w:proofErr w:type="gramStart"/>
      <w:r w:rsidRPr="48B88B55">
        <w:rPr>
          <w:rFonts w:ascii="Arial" w:hAnsi="Arial" w:cs="Arial"/>
          <w:b/>
          <w:bCs/>
        </w:rPr>
        <w:t>Görünümü -</w:t>
      </w:r>
      <w:proofErr w:type="gramEnd"/>
      <w:r w:rsidRPr="48B88B55">
        <w:rPr>
          <w:rFonts w:ascii="Arial" w:hAnsi="Arial" w:cs="Arial"/>
          <w:b/>
          <w:bCs/>
        </w:rPr>
        <w:t xml:space="preserve"> 2022” raporunu yayımladı</w:t>
      </w:r>
    </w:p>
    <w:p w14:paraId="617DF177" w14:textId="02B835B8" w:rsidR="00956EDA" w:rsidRPr="00956EDA" w:rsidRDefault="00956EDA" w:rsidP="00956EDA">
      <w:pPr>
        <w:spacing w:after="0" w:line="276" w:lineRule="auto"/>
        <w:contextualSpacing/>
        <w:jc w:val="center"/>
        <w:rPr>
          <w:rFonts w:ascii="Arial" w:hAnsi="Arial" w:cs="Arial"/>
          <w:b/>
          <w:bCs/>
          <w:sz w:val="32"/>
          <w:szCs w:val="32"/>
        </w:rPr>
      </w:pPr>
      <w:r w:rsidRPr="48B88B55">
        <w:rPr>
          <w:rFonts w:ascii="Arial" w:hAnsi="Arial" w:cs="Arial"/>
          <w:b/>
          <w:bCs/>
          <w:sz w:val="32"/>
          <w:szCs w:val="32"/>
        </w:rPr>
        <w:t>CEO’lar operasyonel riskleri ve çığır açıcı teknolojileri sektördeki en büyük tehditler olarak görüyor</w:t>
      </w:r>
    </w:p>
    <w:p w14:paraId="0704C3D2" w14:textId="77777777" w:rsidR="00D322B8" w:rsidRPr="003C1E51" w:rsidRDefault="00D322B8" w:rsidP="00D322B8">
      <w:pPr>
        <w:spacing w:after="0" w:line="300" w:lineRule="auto"/>
        <w:contextualSpacing/>
        <w:jc w:val="both"/>
        <w:rPr>
          <w:rFonts w:ascii="Arial" w:hAnsi="Arial" w:cs="Arial"/>
        </w:rPr>
      </w:pPr>
    </w:p>
    <w:p w14:paraId="7ECE3A76" w14:textId="6B2144EC" w:rsidR="00876999" w:rsidRPr="003C1E51" w:rsidRDefault="00F55ADF" w:rsidP="003C1E51">
      <w:pPr>
        <w:spacing w:after="0" w:line="300" w:lineRule="auto"/>
        <w:contextualSpacing/>
        <w:jc w:val="center"/>
        <w:rPr>
          <w:rFonts w:ascii="Arial" w:hAnsi="Arial" w:cs="Arial"/>
          <w:b/>
          <w:bCs/>
          <w:sz w:val="24"/>
          <w:szCs w:val="24"/>
        </w:rPr>
      </w:pPr>
      <w:proofErr w:type="spellStart"/>
      <w:r w:rsidRPr="003C1E51">
        <w:rPr>
          <w:rFonts w:ascii="Arial" w:hAnsi="Arial" w:cs="Arial"/>
          <w:b/>
          <w:bCs/>
          <w:sz w:val="24"/>
          <w:szCs w:val="24"/>
        </w:rPr>
        <w:t>KPMG</w:t>
      </w:r>
      <w:r w:rsidR="007D3445" w:rsidRPr="003C1E51">
        <w:rPr>
          <w:rFonts w:ascii="Arial" w:hAnsi="Arial" w:cs="Arial"/>
          <w:b/>
          <w:bCs/>
          <w:sz w:val="24"/>
          <w:szCs w:val="24"/>
        </w:rPr>
        <w:t>’nin</w:t>
      </w:r>
      <w:proofErr w:type="spellEnd"/>
      <w:r w:rsidR="007D3445" w:rsidRPr="003C1E51">
        <w:rPr>
          <w:rFonts w:ascii="Arial" w:hAnsi="Arial" w:cs="Arial"/>
          <w:b/>
          <w:bCs/>
          <w:sz w:val="24"/>
          <w:szCs w:val="24"/>
        </w:rPr>
        <w:t xml:space="preserve"> </w:t>
      </w:r>
      <w:r w:rsidR="00876999" w:rsidRPr="003C1E51">
        <w:rPr>
          <w:rFonts w:ascii="Arial" w:hAnsi="Arial" w:cs="Arial"/>
          <w:b/>
          <w:bCs/>
          <w:sz w:val="24"/>
          <w:szCs w:val="24"/>
        </w:rPr>
        <w:t xml:space="preserve">sigorta şirketlerinin </w:t>
      </w:r>
      <w:r w:rsidR="007D3445" w:rsidRPr="003C1E51">
        <w:rPr>
          <w:rFonts w:ascii="Arial" w:hAnsi="Arial" w:cs="Arial"/>
          <w:b/>
          <w:bCs/>
          <w:sz w:val="24"/>
          <w:szCs w:val="24"/>
        </w:rPr>
        <w:t>CEO’ların</w:t>
      </w:r>
      <w:r w:rsidR="00876999" w:rsidRPr="003C1E51">
        <w:rPr>
          <w:rFonts w:ascii="Arial" w:hAnsi="Arial" w:cs="Arial"/>
          <w:b/>
          <w:bCs/>
          <w:sz w:val="24"/>
          <w:szCs w:val="24"/>
        </w:rPr>
        <w:t>ın</w:t>
      </w:r>
      <w:r w:rsidR="007D3445" w:rsidRPr="003C1E51">
        <w:rPr>
          <w:rFonts w:ascii="Arial" w:hAnsi="Arial" w:cs="Arial"/>
          <w:b/>
          <w:bCs/>
          <w:sz w:val="24"/>
          <w:szCs w:val="24"/>
        </w:rPr>
        <w:t xml:space="preserve"> </w:t>
      </w:r>
      <w:r w:rsidR="00D269BD" w:rsidRPr="003C1E51">
        <w:rPr>
          <w:rFonts w:ascii="Arial" w:hAnsi="Arial" w:cs="Arial"/>
          <w:b/>
          <w:bCs/>
          <w:sz w:val="24"/>
          <w:szCs w:val="24"/>
        </w:rPr>
        <w:t xml:space="preserve">görüşlerini alarak sektörün durumunu </w:t>
      </w:r>
      <w:r w:rsidR="007D3445" w:rsidRPr="003C1E51">
        <w:rPr>
          <w:rFonts w:ascii="Arial" w:hAnsi="Arial" w:cs="Arial"/>
          <w:b/>
          <w:bCs/>
          <w:sz w:val="24"/>
          <w:szCs w:val="24"/>
        </w:rPr>
        <w:t xml:space="preserve">değerlendirdiği </w:t>
      </w:r>
      <w:r w:rsidRPr="003C1E51">
        <w:rPr>
          <w:rFonts w:ascii="Arial" w:hAnsi="Arial" w:cs="Arial"/>
          <w:b/>
          <w:bCs/>
          <w:sz w:val="24"/>
          <w:szCs w:val="24"/>
        </w:rPr>
        <w:t>“</w:t>
      </w:r>
      <w:r w:rsidR="00876999" w:rsidRPr="003C1E51">
        <w:rPr>
          <w:rFonts w:ascii="Arial" w:hAnsi="Arial" w:cs="Arial"/>
          <w:b/>
          <w:bCs/>
          <w:sz w:val="24"/>
          <w:szCs w:val="24"/>
        </w:rPr>
        <w:t xml:space="preserve">Sigorta Sektörü </w:t>
      </w:r>
      <w:r w:rsidR="007D3445" w:rsidRPr="003C1E51">
        <w:rPr>
          <w:rFonts w:ascii="Arial" w:hAnsi="Arial" w:cs="Arial"/>
          <w:b/>
          <w:bCs/>
          <w:sz w:val="24"/>
          <w:szCs w:val="24"/>
        </w:rPr>
        <w:t xml:space="preserve">CEO </w:t>
      </w:r>
      <w:proofErr w:type="gramStart"/>
      <w:r w:rsidR="007D3445" w:rsidRPr="003C1E51">
        <w:rPr>
          <w:rFonts w:ascii="Arial" w:hAnsi="Arial" w:cs="Arial"/>
          <w:b/>
          <w:bCs/>
          <w:sz w:val="24"/>
          <w:szCs w:val="24"/>
        </w:rPr>
        <w:t>Görünümü</w:t>
      </w:r>
      <w:r w:rsidR="00D269BD" w:rsidRPr="003C1E51">
        <w:rPr>
          <w:rFonts w:ascii="Arial" w:hAnsi="Arial" w:cs="Arial"/>
          <w:b/>
          <w:bCs/>
          <w:sz w:val="24"/>
          <w:szCs w:val="24"/>
        </w:rPr>
        <w:t xml:space="preserve"> -</w:t>
      </w:r>
      <w:proofErr w:type="gramEnd"/>
      <w:r w:rsidR="00D269BD" w:rsidRPr="003C1E51">
        <w:rPr>
          <w:rFonts w:ascii="Arial" w:hAnsi="Arial" w:cs="Arial"/>
          <w:b/>
          <w:bCs/>
          <w:sz w:val="24"/>
          <w:szCs w:val="24"/>
        </w:rPr>
        <w:t xml:space="preserve"> 2022</w:t>
      </w:r>
      <w:r w:rsidR="007D3445" w:rsidRPr="003C1E51">
        <w:rPr>
          <w:rFonts w:ascii="Arial" w:hAnsi="Arial" w:cs="Arial"/>
          <w:b/>
          <w:bCs/>
          <w:sz w:val="24"/>
          <w:szCs w:val="24"/>
        </w:rPr>
        <w:t xml:space="preserve">” </w:t>
      </w:r>
      <w:r w:rsidRPr="003C1E51">
        <w:rPr>
          <w:rFonts w:ascii="Arial" w:hAnsi="Arial" w:cs="Arial"/>
          <w:b/>
          <w:bCs/>
          <w:sz w:val="24"/>
          <w:szCs w:val="24"/>
        </w:rPr>
        <w:t>raporun</w:t>
      </w:r>
      <w:r w:rsidR="003C1E51" w:rsidRPr="003C1E51">
        <w:rPr>
          <w:rFonts w:ascii="Arial" w:hAnsi="Arial" w:cs="Arial"/>
          <w:b/>
          <w:bCs/>
          <w:sz w:val="24"/>
          <w:szCs w:val="24"/>
        </w:rPr>
        <w:t xml:space="preserve">a göre CEO'ların yüzde 90'ı önümüzdeki 12 ay içinde bir resesyon yaşanacağına inanıyor. Resesyona hazırlık için kısa vadede çalışan sayısını azaltmayı </w:t>
      </w:r>
      <w:r w:rsidR="001B0F84">
        <w:rPr>
          <w:rFonts w:ascii="Arial" w:hAnsi="Arial" w:cs="Arial"/>
          <w:b/>
          <w:bCs/>
          <w:sz w:val="24"/>
          <w:szCs w:val="24"/>
        </w:rPr>
        <w:t xml:space="preserve">değerlendirseler </w:t>
      </w:r>
      <w:r w:rsidR="003C1E51" w:rsidRPr="003C1E51">
        <w:rPr>
          <w:rFonts w:ascii="Arial" w:hAnsi="Arial" w:cs="Arial"/>
          <w:b/>
          <w:bCs/>
          <w:sz w:val="24"/>
          <w:szCs w:val="24"/>
        </w:rPr>
        <w:t>de uzun vadede daha olumlu düşünen CEO’lar, 3 yıllık büyüme hedeflerine ulaşmak için en önemli operasyonel önceliklerinin yetenekleri çekmek olduğunu söyl</w:t>
      </w:r>
      <w:r w:rsidR="001B0F84">
        <w:rPr>
          <w:rFonts w:ascii="Arial" w:hAnsi="Arial" w:cs="Arial"/>
          <w:b/>
          <w:bCs/>
          <w:sz w:val="24"/>
          <w:szCs w:val="24"/>
        </w:rPr>
        <w:t>üyor</w:t>
      </w:r>
      <w:r w:rsidR="003C1E51" w:rsidRPr="003C1E51">
        <w:rPr>
          <w:rFonts w:ascii="Arial" w:hAnsi="Arial" w:cs="Arial"/>
          <w:b/>
          <w:bCs/>
          <w:sz w:val="24"/>
          <w:szCs w:val="24"/>
        </w:rPr>
        <w:t>.</w:t>
      </w:r>
    </w:p>
    <w:p w14:paraId="43479E44" w14:textId="77777777" w:rsidR="00F55ADF" w:rsidRPr="00F55ADF" w:rsidRDefault="00F55ADF" w:rsidP="00F55ADF">
      <w:pPr>
        <w:spacing w:after="0" w:line="300" w:lineRule="auto"/>
        <w:contextualSpacing/>
        <w:jc w:val="center"/>
        <w:rPr>
          <w:rFonts w:ascii="Arial" w:hAnsi="Arial" w:cs="Arial"/>
          <w:b/>
          <w:bCs/>
          <w:sz w:val="24"/>
          <w:szCs w:val="24"/>
        </w:rPr>
      </w:pPr>
    </w:p>
    <w:p w14:paraId="7DF2F08B" w14:textId="652C4B55" w:rsidR="00125432" w:rsidRDefault="002948EB" w:rsidP="00842A25">
      <w:pPr>
        <w:spacing w:after="0" w:line="300" w:lineRule="auto"/>
        <w:contextualSpacing/>
        <w:jc w:val="both"/>
        <w:rPr>
          <w:rFonts w:ascii="Arial" w:hAnsi="Arial" w:cs="Arial"/>
        </w:rPr>
      </w:pPr>
      <w:proofErr w:type="spellStart"/>
      <w:r>
        <w:rPr>
          <w:rFonts w:ascii="Arial" w:hAnsi="Arial" w:cs="Arial"/>
        </w:rPr>
        <w:t>KPMG’nin</w:t>
      </w:r>
      <w:proofErr w:type="spellEnd"/>
      <w:r>
        <w:rPr>
          <w:rFonts w:ascii="Arial" w:hAnsi="Arial" w:cs="Arial"/>
        </w:rPr>
        <w:t xml:space="preserve"> sigorta sektöründe faaliyet gösteren şirketlere e</w:t>
      </w:r>
      <w:r w:rsidRPr="002948EB">
        <w:rPr>
          <w:rFonts w:ascii="Arial" w:hAnsi="Arial" w:cs="Arial"/>
        </w:rPr>
        <w:t>konomik zorlukları ve operasyonel dönüşümü güvenle yönetme</w:t>
      </w:r>
      <w:r>
        <w:rPr>
          <w:rFonts w:ascii="Arial" w:hAnsi="Arial" w:cs="Arial"/>
        </w:rPr>
        <w:t>lerine yardımcı olacak rehber niteliğindeki “</w:t>
      </w:r>
      <w:r w:rsidRPr="002948EB">
        <w:rPr>
          <w:rFonts w:ascii="Arial" w:hAnsi="Arial" w:cs="Arial"/>
        </w:rPr>
        <w:t xml:space="preserve">Sigorta Sektörü CEO </w:t>
      </w:r>
      <w:proofErr w:type="gramStart"/>
      <w:r w:rsidRPr="002948EB">
        <w:rPr>
          <w:rFonts w:ascii="Arial" w:hAnsi="Arial" w:cs="Arial"/>
        </w:rPr>
        <w:t>Görünümü -</w:t>
      </w:r>
      <w:proofErr w:type="gramEnd"/>
      <w:r w:rsidRPr="002948EB">
        <w:rPr>
          <w:rFonts w:ascii="Arial" w:hAnsi="Arial" w:cs="Arial"/>
        </w:rPr>
        <w:t xml:space="preserve"> 2022</w:t>
      </w:r>
      <w:r>
        <w:rPr>
          <w:rFonts w:ascii="Arial" w:hAnsi="Arial" w:cs="Arial"/>
        </w:rPr>
        <w:t xml:space="preserve">" raporu yayımlandı. </w:t>
      </w:r>
      <w:r w:rsidRPr="002948EB">
        <w:rPr>
          <w:rFonts w:ascii="Arial" w:hAnsi="Arial" w:cs="Arial"/>
        </w:rPr>
        <w:t>Sektördeki değişimler sürerken KPMG</w:t>
      </w:r>
      <w:r>
        <w:rPr>
          <w:rFonts w:ascii="Arial" w:hAnsi="Arial" w:cs="Arial"/>
        </w:rPr>
        <w:t xml:space="preserve"> küresel çapta</w:t>
      </w:r>
      <w:r w:rsidRPr="002948EB">
        <w:rPr>
          <w:rFonts w:ascii="Arial" w:hAnsi="Arial" w:cs="Arial"/>
        </w:rPr>
        <w:t xml:space="preserve"> sigorta </w:t>
      </w:r>
      <w:r>
        <w:rPr>
          <w:rFonts w:ascii="Arial" w:hAnsi="Arial" w:cs="Arial"/>
        </w:rPr>
        <w:t xml:space="preserve">sektöründeki </w:t>
      </w:r>
      <w:r w:rsidRPr="002948EB">
        <w:rPr>
          <w:rFonts w:ascii="Arial" w:hAnsi="Arial" w:cs="Arial"/>
        </w:rPr>
        <w:t>134 CEO'</w:t>
      </w:r>
      <w:r>
        <w:rPr>
          <w:rFonts w:ascii="Arial" w:hAnsi="Arial" w:cs="Arial"/>
        </w:rPr>
        <w:t xml:space="preserve">ya </w:t>
      </w:r>
      <w:r w:rsidRPr="002948EB">
        <w:rPr>
          <w:rFonts w:ascii="Arial" w:hAnsi="Arial" w:cs="Arial"/>
        </w:rPr>
        <w:t xml:space="preserve">önümüzdeki 3 yıl içinde sektör ve ekonomik manzaraya ilişkin görüşlerini ve perspektiflerini </w:t>
      </w:r>
      <w:r w:rsidR="00125432">
        <w:rPr>
          <w:rFonts w:ascii="Arial" w:hAnsi="Arial" w:cs="Arial"/>
        </w:rPr>
        <w:t>sordu</w:t>
      </w:r>
      <w:r w:rsidRPr="002948EB">
        <w:rPr>
          <w:rFonts w:ascii="Arial" w:hAnsi="Arial" w:cs="Arial"/>
        </w:rPr>
        <w:t xml:space="preserve">. </w:t>
      </w:r>
    </w:p>
    <w:p w14:paraId="491D6CB1" w14:textId="77777777" w:rsidR="00125432" w:rsidRDefault="00125432" w:rsidP="00842A25">
      <w:pPr>
        <w:spacing w:after="0" w:line="300" w:lineRule="auto"/>
        <w:contextualSpacing/>
        <w:jc w:val="both"/>
        <w:rPr>
          <w:rFonts w:ascii="Arial" w:hAnsi="Arial" w:cs="Arial"/>
        </w:rPr>
      </w:pPr>
    </w:p>
    <w:p w14:paraId="5751ED8C" w14:textId="71B6C7B8" w:rsidR="002948EB" w:rsidRDefault="00125432" w:rsidP="00842A25">
      <w:pPr>
        <w:spacing w:after="0" w:line="300" w:lineRule="auto"/>
        <w:contextualSpacing/>
        <w:jc w:val="both"/>
        <w:rPr>
          <w:rFonts w:ascii="Arial" w:hAnsi="Arial" w:cs="Arial"/>
        </w:rPr>
      </w:pPr>
      <w:r w:rsidRPr="48B88B55">
        <w:rPr>
          <w:rFonts w:ascii="Arial" w:hAnsi="Arial" w:cs="Arial"/>
        </w:rPr>
        <w:t xml:space="preserve">Hazırladıkları çalışma hakkında değerlendirmede bulunan </w:t>
      </w:r>
      <w:r w:rsidRPr="48B88B55">
        <w:rPr>
          <w:rFonts w:ascii="Arial" w:hAnsi="Arial" w:cs="Arial"/>
          <w:b/>
          <w:bCs/>
        </w:rPr>
        <w:t xml:space="preserve">KPMG Türkiye Sigortacılık Sektör Lideri </w:t>
      </w:r>
      <w:r w:rsidR="589A1AB5" w:rsidRPr="48B88B55">
        <w:rPr>
          <w:rFonts w:ascii="Arial" w:hAnsi="Arial" w:cs="Arial"/>
          <w:b/>
          <w:bCs/>
        </w:rPr>
        <w:t xml:space="preserve">Ali </w:t>
      </w:r>
      <w:r w:rsidRPr="48B88B55">
        <w:rPr>
          <w:rFonts w:ascii="Arial" w:hAnsi="Arial" w:cs="Arial"/>
          <w:b/>
          <w:bCs/>
        </w:rPr>
        <w:t>Tuğrul Uzun</w:t>
      </w:r>
      <w:r w:rsidRPr="48B88B55">
        <w:rPr>
          <w:rFonts w:ascii="Arial" w:hAnsi="Arial" w:cs="Arial"/>
        </w:rPr>
        <w:t>, “</w:t>
      </w:r>
      <w:r w:rsidR="002948EB" w:rsidRPr="48B88B55">
        <w:rPr>
          <w:rFonts w:ascii="Arial" w:hAnsi="Arial" w:cs="Arial"/>
        </w:rPr>
        <w:t>Sigorta</w:t>
      </w:r>
      <w:r w:rsidRPr="48B88B55">
        <w:rPr>
          <w:rFonts w:ascii="Arial" w:hAnsi="Arial" w:cs="Arial"/>
        </w:rPr>
        <w:t xml:space="preserve"> sektörü</w:t>
      </w:r>
      <w:r w:rsidR="002948EB" w:rsidRPr="48B88B55">
        <w:rPr>
          <w:rFonts w:ascii="Arial" w:hAnsi="Arial" w:cs="Arial"/>
        </w:rPr>
        <w:t xml:space="preserve"> yeni teknolojilere ve siber güvenlik stratejilerine uyum sağlamaya devam ederken CEO'lar operasyonel riskleri ve yeni ortaya çıkan/</w:t>
      </w:r>
      <w:r w:rsidRPr="48B88B55">
        <w:rPr>
          <w:rFonts w:ascii="Arial" w:hAnsi="Arial" w:cs="Arial"/>
        </w:rPr>
        <w:t xml:space="preserve">çığır açıcı </w:t>
      </w:r>
      <w:r w:rsidR="002948EB" w:rsidRPr="48B88B55">
        <w:rPr>
          <w:rFonts w:ascii="Arial" w:hAnsi="Arial" w:cs="Arial"/>
        </w:rPr>
        <w:t xml:space="preserve">teknoloji risklerini önümüzdeki 3 yıl içinde kuruluşlarının büyümesine yönelik en önemli iki tehdit </w:t>
      </w:r>
      <w:r w:rsidR="00876999" w:rsidRPr="48B88B55">
        <w:rPr>
          <w:rFonts w:ascii="Arial" w:hAnsi="Arial" w:cs="Arial"/>
        </w:rPr>
        <w:t>olduğunu söylüyor</w:t>
      </w:r>
      <w:r w:rsidR="002948EB" w:rsidRPr="48B88B55">
        <w:rPr>
          <w:rFonts w:ascii="Arial" w:hAnsi="Arial" w:cs="Arial"/>
        </w:rPr>
        <w:t>. Bu</w:t>
      </w:r>
      <w:r w:rsidRPr="48B88B55">
        <w:rPr>
          <w:rFonts w:ascii="Arial" w:hAnsi="Arial" w:cs="Arial"/>
        </w:rPr>
        <w:t xml:space="preserve"> durum</w:t>
      </w:r>
      <w:r w:rsidR="002948EB" w:rsidRPr="48B88B55">
        <w:rPr>
          <w:rFonts w:ascii="Arial" w:hAnsi="Arial" w:cs="Arial"/>
        </w:rPr>
        <w:t>, mevzuat ve vergi risklerinin en büyük tehditler olduğunu düşündükleri 2021 yılına göre bir değişim</w:t>
      </w:r>
      <w:r w:rsidRPr="48B88B55">
        <w:rPr>
          <w:rFonts w:ascii="Arial" w:hAnsi="Arial" w:cs="Arial"/>
        </w:rPr>
        <w:t>i de gösteriyor</w:t>
      </w:r>
      <w:r w:rsidR="002948EB" w:rsidRPr="48B88B55">
        <w:rPr>
          <w:rFonts w:ascii="Arial" w:hAnsi="Arial" w:cs="Arial"/>
        </w:rPr>
        <w:t xml:space="preserve">. 2021 </w:t>
      </w:r>
      <w:r w:rsidRPr="48B88B55">
        <w:rPr>
          <w:rFonts w:ascii="Arial" w:hAnsi="Arial" w:cs="Arial"/>
        </w:rPr>
        <w:t xml:space="preserve">yılındaki anketimiz ile </w:t>
      </w:r>
      <w:r w:rsidR="002948EB" w:rsidRPr="48B88B55">
        <w:rPr>
          <w:rFonts w:ascii="Arial" w:hAnsi="Arial" w:cs="Arial"/>
        </w:rPr>
        <w:t xml:space="preserve">karşılaştırıldığında, sigorta CEO'ları </w:t>
      </w:r>
      <w:r w:rsidRPr="48B88B55">
        <w:rPr>
          <w:rFonts w:ascii="Arial" w:hAnsi="Arial" w:cs="Arial"/>
        </w:rPr>
        <w:t xml:space="preserve">2022 yılında </w:t>
      </w:r>
      <w:r w:rsidR="002948EB" w:rsidRPr="48B88B55">
        <w:rPr>
          <w:rFonts w:ascii="Arial" w:hAnsi="Arial" w:cs="Arial"/>
        </w:rPr>
        <w:t>ayrıca ekonomi ve sektörün büyümesi konusunda daha fazla iyimser</w:t>
      </w:r>
      <w:r w:rsidRPr="48B88B55">
        <w:rPr>
          <w:rFonts w:ascii="Arial" w:hAnsi="Arial" w:cs="Arial"/>
        </w:rPr>
        <w:t xml:space="preserve"> olduklarını </w:t>
      </w:r>
      <w:r w:rsidR="002948EB" w:rsidRPr="48B88B55">
        <w:rPr>
          <w:rFonts w:ascii="Arial" w:hAnsi="Arial" w:cs="Arial"/>
        </w:rPr>
        <w:t xml:space="preserve">ifade </w:t>
      </w:r>
      <w:r w:rsidRPr="48B88B55">
        <w:rPr>
          <w:rFonts w:ascii="Arial" w:hAnsi="Arial" w:cs="Arial"/>
        </w:rPr>
        <w:t xml:space="preserve">etseler de kendi </w:t>
      </w:r>
      <w:r w:rsidR="002948EB" w:rsidRPr="48B88B55">
        <w:rPr>
          <w:rFonts w:ascii="Arial" w:hAnsi="Arial" w:cs="Arial"/>
        </w:rPr>
        <w:t xml:space="preserve">şirketlerinin büyüme beklentileri konusunda </w:t>
      </w:r>
      <w:r w:rsidRPr="48B88B55">
        <w:rPr>
          <w:rFonts w:ascii="Arial" w:hAnsi="Arial" w:cs="Arial"/>
        </w:rPr>
        <w:t xml:space="preserve">ise </w:t>
      </w:r>
      <w:r w:rsidR="002948EB" w:rsidRPr="48B88B55">
        <w:rPr>
          <w:rFonts w:ascii="Arial" w:hAnsi="Arial" w:cs="Arial"/>
        </w:rPr>
        <w:t>daha az iyimser</w:t>
      </w:r>
      <w:r w:rsidRPr="48B88B55">
        <w:rPr>
          <w:rFonts w:ascii="Arial" w:hAnsi="Arial" w:cs="Arial"/>
        </w:rPr>
        <w:t>ler</w:t>
      </w:r>
      <w:r w:rsidR="002948EB" w:rsidRPr="48B88B55">
        <w:rPr>
          <w:rFonts w:ascii="Arial" w:hAnsi="Arial" w:cs="Arial"/>
        </w:rPr>
        <w:t>.</w:t>
      </w:r>
      <w:r w:rsidR="009831FC" w:rsidRPr="48B88B55">
        <w:rPr>
          <w:rFonts w:ascii="Arial" w:hAnsi="Arial" w:cs="Arial"/>
        </w:rPr>
        <w:t xml:space="preserve"> Diğer yandan son dönemde yaşanan jeopolitik dalgalanmalar, her büyüklükteki şirketin siber saldırılara maruz kalma riskini önemli ölçüde artırdı. Bu hızlı artışın yanı sıra bu tür saldırıları tespit etmenin giderek zorlaşması, siber olaylarla başa çıkarken otomasyon ve inovasyon gerektiriyor. Ayrıca, sektör uzmanlarına göre, gelecekte siber saldırıların sayısında ve karmaşıklığında artış olacak. Bu nedenle, sigorta sektöründeki CEO'ların sağlam bir siber güvenliğe sahip olmanın kritik öneminin farkına varmaları ve yeteneklerini güçlendirmeye odaklanmaları çok önemli. </w:t>
      </w:r>
      <w:r w:rsidRPr="48B88B55">
        <w:rPr>
          <w:rFonts w:ascii="Arial" w:hAnsi="Arial" w:cs="Arial"/>
        </w:rPr>
        <w:t xml:space="preserve">Yaptığımız bu araştırma </w:t>
      </w:r>
      <w:r w:rsidR="002948EB" w:rsidRPr="48B88B55">
        <w:rPr>
          <w:rFonts w:ascii="Arial" w:hAnsi="Arial" w:cs="Arial"/>
        </w:rPr>
        <w:t>sürekli değişen bir yol</w:t>
      </w:r>
      <w:r w:rsidRPr="48B88B55">
        <w:rPr>
          <w:rFonts w:ascii="Arial" w:hAnsi="Arial" w:cs="Arial"/>
        </w:rPr>
        <w:t xml:space="preserve">da ilerlerken sigorta sektörüne </w:t>
      </w:r>
      <w:r w:rsidR="009831FC" w:rsidRPr="48B88B55">
        <w:rPr>
          <w:rFonts w:ascii="Arial" w:hAnsi="Arial" w:cs="Arial"/>
        </w:rPr>
        <w:t xml:space="preserve">her açıdan </w:t>
      </w:r>
      <w:r w:rsidRPr="48B88B55">
        <w:rPr>
          <w:rFonts w:ascii="Arial" w:hAnsi="Arial" w:cs="Arial"/>
        </w:rPr>
        <w:t>rehberlik edecektir.” dedi.</w:t>
      </w:r>
    </w:p>
    <w:p w14:paraId="5A2FFDF5" w14:textId="77777777" w:rsidR="002948EB" w:rsidRDefault="002948EB" w:rsidP="00842A25">
      <w:pPr>
        <w:spacing w:after="0" w:line="300" w:lineRule="auto"/>
        <w:contextualSpacing/>
        <w:jc w:val="both"/>
        <w:rPr>
          <w:rFonts w:ascii="Arial" w:hAnsi="Arial" w:cs="Arial"/>
        </w:rPr>
      </w:pPr>
    </w:p>
    <w:p w14:paraId="497C6637" w14:textId="348DA9D5" w:rsidR="002948EB" w:rsidRPr="003209BD" w:rsidRDefault="00876999" w:rsidP="002948EB">
      <w:pPr>
        <w:spacing w:after="0" w:line="300" w:lineRule="auto"/>
        <w:contextualSpacing/>
        <w:jc w:val="both"/>
        <w:rPr>
          <w:rFonts w:ascii="Arial" w:hAnsi="Arial" w:cs="Arial"/>
          <w:b/>
          <w:bCs/>
        </w:rPr>
      </w:pPr>
      <w:r>
        <w:rPr>
          <w:rFonts w:ascii="Arial" w:hAnsi="Arial" w:cs="Arial"/>
          <w:b/>
          <w:bCs/>
        </w:rPr>
        <w:t>Her 10 CEO’dan 9’u resesyon bekliyor</w:t>
      </w:r>
    </w:p>
    <w:p w14:paraId="2F2A9678" w14:textId="77777777" w:rsidR="00876999" w:rsidRDefault="003209BD" w:rsidP="00A73D29">
      <w:pPr>
        <w:spacing w:after="0" w:line="300" w:lineRule="auto"/>
        <w:contextualSpacing/>
        <w:jc w:val="both"/>
        <w:rPr>
          <w:rFonts w:ascii="Arial" w:hAnsi="Arial" w:cs="Arial"/>
        </w:rPr>
      </w:pPr>
      <w:proofErr w:type="spellStart"/>
      <w:r>
        <w:rPr>
          <w:rFonts w:ascii="Arial" w:hAnsi="Arial" w:cs="Arial"/>
        </w:rPr>
        <w:t>KPMG’nin</w:t>
      </w:r>
      <w:proofErr w:type="spellEnd"/>
      <w:r>
        <w:rPr>
          <w:rFonts w:ascii="Arial" w:hAnsi="Arial" w:cs="Arial"/>
        </w:rPr>
        <w:t xml:space="preserve"> “</w:t>
      </w:r>
      <w:r w:rsidRPr="002948EB">
        <w:rPr>
          <w:rFonts w:ascii="Arial" w:hAnsi="Arial" w:cs="Arial"/>
        </w:rPr>
        <w:t xml:space="preserve">Sigorta Sektörü CEO </w:t>
      </w:r>
      <w:proofErr w:type="gramStart"/>
      <w:r w:rsidRPr="002948EB">
        <w:rPr>
          <w:rFonts w:ascii="Arial" w:hAnsi="Arial" w:cs="Arial"/>
        </w:rPr>
        <w:t>Görünümü -</w:t>
      </w:r>
      <w:proofErr w:type="gramEnd"/>
      <w:r w:rsidRPr="002948EB">
        <w:rPr>
          <w:rFonts w:ascii="Arial" w:hAnsi="Arial" w:cs="Arial"/>
        </w:rPr>
        <w:t xml:space="preserve"> 2022</w:t>
      </w:r>
      <w:r>
        <w:rPr>
          <w:rFonts w:ascii="Arial" w:hAnsi="Arial" w:cs="Arial"/>
        </w:rPr>
        <w:t xml:space="preserve">" raporuna göre sektördeki </w:t>
      </w:r>
      <w:r w:rsidRPr="003209BD">
        <w:rPr>
          <w:rFonts w:ascii="Arial" w:hAnsi="Arial" w:cs="Arial"/>
        </w:rPr>
        <w:t xml:space="preserve">CEO'ların yüzde 90'ı önümüzdeki 12 ay içinde bir </w:t>
      </w:r>
      <w:r>
        <w:rPr>
          <w:rFonts w:ascii="Arial" w:hAnsi="Arial" w:cs="Arial"/>
        </w:rPr>
        <w:t xml:space="preserve">resesyon </w:t>
      </w:r>
      <w:r w:rsidRPr="003209BD">
        <w:rPr>
          <w:rFonts w:ascii="Arial" w:hAnsi="Arial" w:cs="Arial"/>
        </w:rPr>
        <w:t>yaşanacağına inanırken</w:t>
      </w:r>
      <w:r>
        <w:rPr>
          <w:rFonts w:ascii="Arial" w:hAnsi="Arial" w:cs="Arial"/>
        </w:rPr>
        <w:t xml:space="preserve"> </w:t>
      </w:r>
      <w:r w:rsidRPr="003209BD">
        <w:rPr>
          <w:rFonts w:ascii="Arial" w:hAnsi="Arial" w:cs="Arial"/>
        </w:rPr>
        <w:t>yüzde 53'ü bunun hafif ve kısa süreli olacağına inanıyor</w:t>
      </w:r>
      <w:r>
        <w:rPr>
          <w:rFonts w:ascii="Arial" w:hAnsi="Arial" w:cs="Arial"/>
        </w:rPr>
        <w:t xml:space="preserve">. </w:t>
      </w:r>
      <w:r w:rsidRPr="003209BD">
        <w:rPr>
          <w:rFonts w:ascii="Arial" w:hAnsi="Arial" w:cs="Arial"/>
        </w:rPr>
        <w:t xml:space="preserve">CEO'ların yüzde 79'unun </w:t>
      </w:r>
      <w:r>
        <w:rPr>
          <w:rFonts w:ascii="Arial" w:hAnsi="Arial" w:cs="Arial"/>
        </w:rPr>
        <w:t xml:space="preserve">ise resesyonla </w:t>
      </w:r>
      <w:r w:rsidRPr="003209BD">
        <w:rPr>
          <w:rFonts w:ascii="Arial" w:hAnsi="Arial" w:cs="Arial"/>
        </w:rPr>
        <w:t>başa çıkmak için planları var.</w:t>
      </w:r>
      <w:r>
        <w:rPr>
          <w:rFonts w:ascii="Arial" w:hAnsi="Arial" w:cs="Arial"/>
        </w:rPr>
        <w:t xml:space="preserve"> </w:t>
      </w:r>
      <w:r w:rsidR="001854A2" w:rsidRPr="003209BD">
        <w:rPr>
          <w:rFonts w:ascii="Arial" w:hAnsi="Arial" w:cs="Arial"/>
        </w:rPr>
        <w:t xml:space="preserve">Sigorta </w:t>
      </w:r>
      <w:r w:rsidR="001854A2">
        <w:rPr>
          <w:rFonts w:ascii="Arial" w:hAnsi="Arial" w:cs="Arial"/>
        </w:rPr>
        <w:t xml:space="preserve">sektöründeki </w:t>
      </w:r>
      <w:r w:rsidR="001854A2" w:rsidRPr="003209BD">
        <w:rPr>
          <w:rFonts w:ascii="Arial" w:hAnsi="Arial" w:cs="Arial"/>
        </w:rPr>
        <w:t xml:space="preserve">CEO'lar bir resesyona hazırlanıyor olsalar da birçoğu küresel </w:t>
      </w:r>
      <w:r w:rsidR="001854A2" w:rsidRPr="003209BD">
        <w:rPr>
          <w:rFonts w:ascii="Arial" w:hAnsi="Arial" w:cs="Arial"/>
        </w:rPr>
        <w:lastRenderedPageBreak/>
        <w:t xml:space="preserve">ekonomi ve genel olarak sigorta sektörü için önümüzdeki 3 yıldaki büyüme beklentileri konusunda iyimser olduklarını </w:t>
      </w:r>
      <w:r w:rsidR="001854A2">
        <w:rPr>
          <w:rFonts w:ascii="Arial" w:hAnsi="Arial" w:cs="Arial"/>
        </w:rPr>
        <w:t>belirtiyor</w:t>
      </w:r>
      <w:r w:rsidR="001854A2" w:rsidRPr="003209BD">
        <w:rPr>
          <w:rFonts w:ascii="Arial" w:hAnsi="Arial" w:cs="Arial"/>
        </w:rPr>
        <w:t xml:space="preserve">. Yüzde 72'si küresel ekonominin büyüme potansiyelinden emin ya da çok emin olduğunu belirtirken bu oran 2021'deki yüzde 70'lik orana göre küçük bir artış gösterdi. Dahası, 2021'deki yüzde 84'lük orana kıyasla, yüzde 90'lık bir kesim sektörün büyüme beklentileri konusunda kendinden emin ya da çok emin olduğunu </w:t>
      </w:r>
      <w:r w:rsidR="001854A2">
        <w:rPr>
          <w:rFonts w:ascii="Arial" w:hAnsi="Arial" w:cs="Arial"/>
        </w:rPr>
        <w:t>ifade ediyor</w:t>
      </w:r>
      <w:r w:rsidR="001854A2" w:rsidRPr="003209BD">
        <w:rPr>
          <w:rFonts w:ascii="Arial" w:hAnsi="Arial" w:cs="Arial"/>
        </w:rPr>
        <w:t xml:space="preserve">. </w:t>
      </w:r>
    </w:p>
    <w:p w14:paraId="6C9DF52D" w14:textId="77777777" w:rsidR="00876999" w:rsidRDefault="00876999" w:rsidP="00A73D29">
      <w:pPr>
        <w:spacing w:after="0" w:line="300" w:lineRule="auto"/>
        <w:contextualSpacing/>
        <w:jc w:val="both"/>
        <w:rPr>
          <w:rFonts w:ascii="Arial" w:hAnsi="Arial" w:cs="Arial"/>
        </w:rPr>
      </w:pPr>
    </w:p>
    <w:p w14:paraId="4AADB77D" w14:textId="7A2194C1" w:rsidR="001854A2" w:rsidRPr="00A73D29" w:rsidRDefault="00A73D29" w:rsidP="00A73D29">
      <w:pPr>
        <w:spacing w:after="0" w:line="300" w:lineRule="auto"/>
        <w:contextualSpacing/>
        <w:jc w:val="both"/>
        <w:rPr>
          <w:rFonts w:ascii="Arial" w:hAnsi="Arial" w:cs="Arial"/>
        </w:rPr>
      </w:pPr>
      <w:r w:rsidRPr="00A73D29">
        <w:rPr>
          <w:rFonts w:ascii="Arial" w:hAnsi="Arial" w:cs="Arial"/>
        </w:rPr>
        <w:t>Sigortacılar yeni teknolojilere ve siber güvenlik stratejilerine uyum sağlamaya devam ederken</w:t>
      </w:r>
      <w:r>
        <w:rPr>
          <w:rFonts w:ascii="Arial" w:hAnsi="Arial" w:cs="Arial"/>
        </w:rPr>
        <w:t xml:space="preserve"> </w:t>
      </w:r>
      <w:r w:rsidRPr="00A73D29">
        <w:rPr>
          <w:rFonts w:ascii="Arial" w:hAnsi="Arial" w:cs="Arial"/>
        </w:rPr>
        <w:t>operasyonel riskler ve yeni/</w:t>
      </w:r>
      <w:r>
        <w:rPr>
          <w:rFonts w:ascii="Arial" w:hAnsi="Arial" w:cs="Arial"/>
        </w:rPr>
        <w:t xml:space="preserve">çığır açıcı </w:t>
      </w:r>
      <w:r w:rsidRPr="00A73D29">
        <w:rPr>
          <w:rFonts w:ascii="Arial" w:hAnsi="Arial" w:cs="Arial"/>
        </w:rPr>
        <w:t>teknoloji riskleri büyümenin önündeki başlıca engeller olarak belirle</w:t>
      </w:r>
      <w:r w:rsidR="003C1E51">
        <w:rPr>
          <w:rFonts w:ascii="Arial" w:hAnsi="Arial" w:cs="Arial"/>
        </w:rPr>
        <w:t>di</w:t>
      </w:r>
      <w:r w:rsidRPr="00A73D29">
        <w:rPr>
          <w:rFonts w:ascii="Arial" w:hAnsi="Arial" w:cs="Arial"/>
        </w:rPr>
        <w:t xml:space="preserve">. Değişken işsizlik seviyelerinin </w:t>
      </w:r>
      <w:r>
        <w:rPr>
          <w:rFonts w:ascii="Arial" w:hAnsi="Arial" w:cs="Arial"/>
        </w:rPr>
        <w:t xml:space="preserve">yarattığı zorluklar </w:t>
      </w:r>
      <w:r w:rsidRPr="00A73D29">
        <w:rPr>
          <w:rFonts w:ascii="Arial" w:hAnsi="Arial" w:cs="Arial"/>
        </w:rPr>
        <w:t xml:space="preserve">nedeniyle, şirket içi etik dışı kültür riskleri 2021'deki yüzde 1'e kıyasla önemli ölçüde artarak yüzde 13'e yükseldi. Vergi riski artık sigorta CEO'ları için ilk iki endişeden biri </w:t>
      </w:r>
      <w:r w:rsidR="001854A2">
        <w:rPr>
          <w:rFonts w:ascii="Arial" w:hAnsi="Arial" w:cs="Arial"/>
        </w:rPr>
        <w:t xml:space="preserve">olmasa da </w:t>
      </w:r>
      <w:r w:rsidRPr="00A73D29">
        <w:rPr>
          <w:rFonts w:ascii="Arial" w:hAnsi="Arial" w:cs="Arial"/>
        </w:rPr>
        <w:t>çoğunluk hala şirketlerinin değişen vergi gereklilikleri nedeniyle artan baskı altında olduğunu düşünüyor.</w:t>
      </w:r>
      <w:r w:rsidR="001854A2">
        <w:rPr>
          <w:rFonts w:ascii="Arial" w:hAnsi="Arial" w:cs="Arial"/>
        </w:rPr>
        <w:t xml:space="preserve"> Sektörde ö</w:t>
      </w:r>
      <w:r w:rsidR="001854A2" w:rsidRPr="008A37A6">
        <w:rPr>
          <w:rFonts w:ascii="Arial" w:hAnsi="Arial" w:cs="Arial"/>
        </w:rPr>
        <w:t>nümüzdeki 3 yılda büyümeye yönelik risk</w:t>
      </w:r>
      <w:r w:rsidR="001854A2">
        <w:rPr>
          <w:rFonts w:ascii="Arial" w:hAnsi="Arial" w:cs="Arial"/>
        </w:rPr>
        <w:t xml:space="preserve"> sıralaması şu şekilde oluştu:</w:t>
      </w:r>
    </w:p>
    <w:p w14:paraId="037D2928" w14:textId="77777777" w:rsidR="003209BD" w:rsidRDefault="003209BD" w:rsidP="002948EB">
      <w:pPr>
        <w:spacing w:after="0" w:line="300" w:lineRule="auto"/>
        <w:contextualSpacing/>
        <w:jc w:val="both"/>
        <w:rPr>
          <w:rFonts w:ascii="Arial" w:hAnsi="Arial" w:cs="Arial"/>
        </w:rPr>
      </w:pPr>
    </w:p>
    <w:tbl>
      <w:tblPr>
        <w:tblStyle w:val="TabloKlavuzu"/>
        <w:tblW w:w="0" w:type="auto"/>
        <w:tblLook w:val="04A0" w:firstRow="1" w:lastRow="0" w:firstColumn="1" w:lastColumn="0" w:noHBand="0" w:noVBand="1"/>
      </w:tblPr>
      <w:tblGrid>
        <w:gridCol w:w="421"/>
        <w:gridCol w:w="3969"/>
        <w:gridCol w:w="4672"/>
      </w:tblGrid>
      <w:tr w:rsidR="001854A2" w14:paraId="3D583AA1" w14:textId="77777777" w:rsidTr="007B461E">
        <w:tc>
          <w:tcPr>
            <w:tcW w:w="421" w:type="dxa"/>
            <w:shd w:val="clear" w:color="auto" w:fill="FFF2CC" w:themeFill="accent4" w:themeFillTint="33"/>
          </w:tcPr>
          <w:p w14:paraId="3F4D83F7" w14:textId="77777777" w:rsidR="001854A2" w:rsidRPr="00D038B5" w:rsidRDefault="001854A2" w:rsidP="007B461E">
            <w:pPr>
              <w:spacing w:line="300" w:lineRule="auto"/>
              <w:contextualSpacing/>
              <w:jc w:val="both"/>
              <w:rPr>
                <w:rFonts w:ascii="Arial" w:hAnsi="Arial" w:cs="Arial"/>
                <w:b/>
                <w:bCs/>
              </w:rPr>
            </w:pPr>
          </w:p>
        </w:tc>
        <w:tc>
          <w:tcPr>
            <w:tcW w:w="3969" w:type="dxa"/>
            <w:shd w:val="clear" w:color="auto" w:fill="FFF2CC" w:themeFill="accent4" w:themeFillTint="33"/>
          </w:tcPr>
          <w:p w14:paraId="1BCC6B95" w14:textId="77777777" w:rsidR="001854A2" w:rsidRPr="00D038B5" w:rsidRDefault="001854A2" w:rsidP="007B461E">
            <w:pPr>
              <w:spacing w:line="300" w:lineRule="auto"/>
              <w:contextualSpacing/>
              <w:jc w:val="center"/>
              <w:rPr>
                <w:rFonts w:ascii="Arial" w:hAnsi="Arial" w:cs="Arial"/>
                <w:b/>
                <w:bCs/>
              </w:rPr>
            </w:pPr>
            <w:r w:rsidRPr="00D038B5">
              <w:rPr>
                <w:rFonts w:ascii="Arial" w:hAnsi="Arial" w:cs="Arial"/>
                <w:b/>
                <w:bCs/>
              </w:rPr>
              <w:t>2022</w:t>
            </w:r>
          </w:p>
        </w:tc>
        <w:tc>
          <w:tcPr>
            <w:tcW w:w="4672" w:type="dxa"/>
            <w:shd w:val="clear" w:color="auto" w:fill="FFF2CC" w:themeFill="accent4" w:themeFillTint="33"/>
          </w:tcPr>
          <w:p w14:paraId="0C47E63C" w14:textId="77777777" w:rsidR="001854A2" w:rsidRPr="00D038B5" w:rsidRDefault="001854A2" w:rsidP="007B461E">
            <w:pPr>
              <w:spacing w:line="300" w:lineRule="auto"/>
              <w:contextualSpacing/>
              <w:jc w:val="center"/>
              <w:rPr>
                <w:rFonts w:ascii="Arial" w:hAnsi="Arial" w:cs="Arial"/>
                <w:b/>
                <w:bCs/>
              </w:rPr>
            </w:pPr>
            <w:r w:rsidRPr="00D038B5">
              <w:rPr>
                <w:rFonts w:ascii="Arial" w:hAnsi="Arial" w:cs="Arial"/>
                <w:b/>
                <w:bCs/>
              </w:rPr>
              <w:t>2021</w:t>
            </w:r>
          </w:p>
        </w:tc>
      </w:tr>
      <w:tr w:rsidR="001854A2" w14:paraId="37A3D7D7" w14:textId="77777777" w:rsidTr="007B461E">
        <w:tc>
          <w:tcPr>
            <w:tcW w:w="421" w:type="dxa"/>
            <w:shd w:val="clear" w:color="auto" w:fill="FFF2CC" w:themeFill="accent4" w:themeFillTint="33"/>
          </w:tcPr>
          <w:p w14:paraId="7CCDFA1E" w14:textId="77777777" w:rsidR="001854A2" w:rsidRPr="00D038B5" w:rsidRDefault="001854A2" w:rsidP="007B461E">
            <w:pPr>
              <w:spacing w:line="300" w:lineRule="auto"/>
              <w:contextualSpacing/>
              <w:jc w:val="both"/>
              <w:rPr>
                <w:rFonts w:ascii="Arial" w:hAnsi="Arial" w:cs="Arial"/>
                <w:b/>
                <w:bCs/>
              </w:rPr>
            </w:pPr>
            <w:r w:rsidRPr="00D038B5">
              <w:rPr>
                <w:rFonts w:ascii="Arial" w:hAnsi="Arial" w:cs="Arial"/>
                <w:b/>
                <w:bCs/>
              </w:rPr>
              <w:t>1</w:t>
            </w:r>
          </w:p>
        </w:tc>
        <w:tc>
          <w:tcPr>
            <w:tcW w:w="3969" w:type="dxa"/>
            <w:shd w:val="clear" w:color="auto" w:fill="D9E2F3" w:themeFill="accent1" w:themeFillTint="33"/>
          </w:tcPr>
          <w:p w14:paraId="0501439E" w14:textId="13C091C2" w:rsidR="001854A2" w:rsidRDefault="001854A2" w:rsidP="007B461E">
            <w:pPr>
              <w:spacing w:line="300" w:lineRule="auto"/>
              <w:contextualSpacing/>
              <w:jc w:val="both"/>
              <w:rPr>
                <w:rFonts w:ascii="Arial" w:hAnsi="Arial" w:cs="Arial"/>
              </w:rPr>
            </w:pPr>
            <w:r>
              <w:rPr>
                <w:rFonts w:ascii="Arial" w:hAnsi="Arial" w:cs="Arial"/>
              </w:rPr>
              <w:t>Operasyonel risk</w:t>
            </w:r>
          </w:p>
        </w:tc>
        <w:tc>
          <w:tcPr>
            <w:tcW w:w="4672" w:type="dxa"/>
            <w:shd w:val="clear" w:color="auto" w:fill="D9E2F3" w:themeFill="accent1" w:themeFillTint="33"/>
          </w:tcPr>
          <w:p w14:paraId="1C8BBB79" w14:textId="4ADE43EF" w:rsidR="001854A2" w:rsidRDefault="001854A2" w:rsidP="007B461E">
            <w:pPr>
              <w:spacing w:line="300" w:lineRule="auto"/>
              <w:contextualSpacing/>
              <w:jc w:val="both"/>
              <w:rPr>
                <w:rFonts w:ascii="Arial" w:hAnsi="Arial" w:cs="Arial"/>
              </w:rPr>
            </w:pPr>
            <w:r w:rsidRPr="00E45396">
              <w:rPr>
                <w:rFonts w:ascii="Arial" w:hAnsi="Arial" w:cs="Arial"/>
              </w:rPr>
              <w:t>Mevzuat risk</w:t>
            </w:r>
            <w:r>
              <w:rPr>
                <w:rFonts w:ascii="Arial" w:hAnsi="Arial" w:cs="Arial"/>
              </w:rPr>
              <w:t>i</w:t>
            </w:r>
          </w:p>
        </w:tc>
      </w:tr>
      <w:tr w:rsidR="001854A2" w14:paraId="532A3AE3" w14:textId="77777777" w:rsidTr="007B461E">
        <w:tc>
          <w:tcPr>
            <w:tcW w:w="421" w:type="dxa"/>
            <w:shd w:val="clear" w:color="auto" w:fill="FFF2CC" w:themeFill="accent4" w:themeFillTint="33"/>
          </w:tcPr>
          <w:p w14:paraId="239C2681" w14:textId="77777777" w:rsidR="001854A2" w:rsidRPr="00D038B5" w:rsidRDefault="001854A2" w:rsidP="007B461E">
            <w:pPr>
              <w:spacing w:line="300" w:lineRule="auto"/>
              <w:contextualSpacing/>
              <w:jc w:val="both"/>
              <w:rPr>
                <w:rFonts w:ascii="Arial" w:hAnsi="Arial" w:cs="Arial"/>
                <w:b/>
                <w:bCs/>
              </w:rPr>
            </w:pPr>
            <w:r w:rsidRPr="00D038B5">
              <w:rPr>
                <w:rFonts w:ascii="Arial" w:hAnsi="Arial" w:cs="Arial"/>
                <w:b/>
                <w:bCs/>
              </w:rPr>
              <w:t>2</w:t>
            </w:r>
          </w:p>
        </w:tc>
        <w:tc>
          <w:tcPr>
            <w:tcW w:w="3969" w:type="dxa"/>
            <w:shd w:val="clear" w:color="auto" w:fill="D9E2F3" w:themeFill="accent1" w:themeFillTint="33"/>
          </w:tcPr>
          <w:p w14:paraId="387DDCB5" w14:textId="69848F79" w:rsidR="001854A2" w:rsidRDefault="001854A2" w:rsidP="007B461E">
            <w:pPr>
              <w:spacing w:line="300" w:lineRule="auto"/>
              <w:contextualSpacing/>
              <w:jc w:val="both"/>
              <w:rPr>
                <w:rFonts w:ascii="Arial" w:hAnsi="Arial" w:cs="Arial"/>
              </w:rPr>
            </w:pPr>
            <w:r>
              <w:rPr>
                <w:rFonts w:ascii="Arial" w:hAnsi="Arial" w:cs="Arial"/>
              </w:rPr>
              <w:t>Yeni</w:t>
            </w:r>
            <w:r w:rsidRPr="00E45396">
              <w:rPr>
                <w:rFonts w:ascii="Arial" w:hAnsi="Arial" w:cs="Arial"/>
              </w:rPr>
              <w:t>/çığır açan teknoloji</w:t>
            </w:r>
            <w:r>
              <w:rPr>
                <w:rFonts w:ascii="Arial" w:hAnsi="Arial" w:cs="Arial"/>
              </w:rPr>
              <w:t>ler</w:t>
            </w:r>
          </w:p>
        </w:tc>
        <w:tc>
          <w:tcPr>
            <w:tcW w:w="4672" w:type="dxa"/>
            <w:shd w:val="clear" w:color="auto" w:fill="D9E2F3" w:themeFill="accent1" w:themeFillTint="33"/>
          </w:tcPr>
          <w:p w14:paraId="4F88EE49" w14:textId="77777777" w:rsidR="001854A2" w:rsidRDefault="001854A2" w:rsidP="007B461E">
            <w:pPr>
              <w:spacing w:line="300" w:lineRule="auto"/>
              <w:contextualSpacing/>
              <w:jc w:val="both"/>
              <w:rPr>
                <w:rFonts w:ascii="Arial" w:hAnsi="Arial" w:cs="Arial"/>
              </w:rPr>
            </w:pPr>
            <w:r w:rsidRPr="009305F3">
              <w:rPr>
                <w:rFonts w:ascii="Arial" w:hAnsi="Arial" w:cs="Arial"/>
              </w:rPr>
              <w:t>Vergi riski</w:t>
            </w:r>
          </w:p>
        </w:tc>
      </w:tr>
      <w:tr w:rsidR="001854A2" w14:paraId="7B5A73DE" w14:textId="77777777" w:rsidTr="007B461E">
        <w:tc>
          <w:tcPr>
            <w:tcW w:w="421" w:type="dxa"/>
            <w:shd w:val="clear" w:color="auto" w:fill="FFF2CC" w:themeFill="accent4" w:themeFillTint="33"/>
          </w:tcPr>
          <w:p w14:paraId="1622048A" w14:textId="77777777" w:rsidR="001854A2" w:rsidRPr="00D038B5" w:rsidRDefault="001854A2" w:rsidP="007B461E">
            <w:pPr>
              <w:spacing w:line="300" w:lineRule="auto"/>
              <w:contextualSpacing/>
              <w:jc w:val="both"/>
              <w:rPr>
                <w:rFonts w:ascii="Arial" w:hAnsi="Arial" w:cs="Arial"/>
                <w:b/>
                <w:bCs/>
              </w:rPr>
            </w:pPr>
            <w:r w:rsidRPr="00D038B5">
              <w:rPr>
                <w:rFonts w:ascii="Arial" w:hAnsi="Arial" w:cs="Arial"/>
                <w:b/>
                <w:bCs/>
              </w:rPr>
              <w:t>3</w:t>
            </w:r>
          </w:p>
        </w:tc>
        <w:tc>
          <w:tcPr>
            <w:tcW w:w="3969" w:type="dxa"/>
            <w:shd w:val="clear" w:color="auto" w:fill="D9E2F3" w:themeFill="accent1" w:themeFillTint="33"/>
          </w:tcPr>
          <w:p w14:paraId="3214CF17" w14:textId="6FECEF52" w:rsidR="001854A2" w:rsidRDefault="001854A2" w:rsidP="007B461E">
            <w:pPr>
              <w:spacing w:line="300" w:lineRule="auto"/>
              <w:contextualSpacing/>
              <w:jc w:val="both"/>
              <w:rPr>
                <w:rFonts w:ascii="Arial" w:hAnsi="Arial" w:cs="Arial"/>
              </w:rPr>
            </w:pPr>
            <w:r w:rsidRPr="00E45396">
              <w:rPr>
                <w:rFonts w:ascii="Arial" w:hAnsi="Arial" w:cs="Arial"/>
              </w:rPr>
              <w:t xml:space="preserve">Kurum içi etik olmayan kültür </w:t>
            </w:r>
          </w:p>
        </w:tc>
        <w:tc>
          <w:tcPr>
            <w:tcW w:w="4672" w:type="dxa"/>
            <w:shd w:val="clear" w:color="auto" w:fill="D9E2F3" w:themeFill="accent1" w:themeFillTint="33"/>
          </w:tcPr>
          <w:p w14:paraId="63597E98" w14:textId="6119C2CB" w:rsidR="001854A2" w:rsidRDefault="001854A2" w:rsidP="007B461E">
            <w:pPr>
              <w:spacing w:line="300" w:lineRule="auto"/>
              <w:contextualSpacing/>
              <w:jc w:val="both"/>
              <w:rPr>
                <w:rFonts w:ascii="Arial" w:hAnsi="Arial" w:cs="Arial"/>
              </w:rPr>
            </w:pPr>
            <w:r w:rsidRPr="00E45396">
              <w:rPr>
                <w:rFonts w:ascii="Arial" w:hAnsi="Arial" w:cs="Arial"/>
              </w:rPr>
              <w:t>İtibar/marka riski</w:t>
            </w:r>
          </w:p>
        </w:tc>
      </w:tr>
      <w:tr w:rsidR="001854A2" w14:paraId="61AFC0EE" w14:textId="77777777" w:rsidTr="007B461E">
        <w:tc>
          <w:tcPr>
            <w:tcW w:w="421" w:type="dxa"/>
            <w:shd w:val="clear" w:color="auto" w:fill="FFF2CC" w:themeFill="accent4" w:themeFillTint="33"/>
          </w:tcPr>
          <w:p w14:paraId="581C0601" w14:textId="77777777" w:rsidR="001854A2" w:rsidRPr="00D038B5" w:rsidRDefault="001854A2" w:rsidP="007B461E">
            <w:pPr>
              <w:spacing w:line="300" w:lineRule="auto"/>
              <w:contextualSpacing/>
              <w:jc w:val="both"/>
              <w:rPr>
                <w:rFonts w:ascii="Arial" w:hAnsi="Arial" w:cs="Arial"/>
                <w:b/>
                <w:bCs/>
              </w:rPr>
            </w:pPr>
            <w:r w:rsidRPr="00D038B5">
              <w:rPr>
                <w:rFonts w:ascii="Arial" w:hAnsi="Arial" w:cs="Arial"/>
                <w:b/>
                <w:bCs/>
              </w:rPr>
              <w:t>4</w:t>
            </w:r>
          </w:p>
        </w:tc>
        <w:tc>
          <w:tcPr>
            <w:tcW w:w="3969" w:type="dxa"/>
            <w:shd w:val="clear" w:color="auto" w:fill="D9E2F3" w:themeFill="accent1" w:themeFillTint="33"/>
          </w:tcPr>
          <w:p w14:paraId="461F4608" w14:textId="72D9A612" w:rsidR="001854A2" w:rsidRDefault="001854A2" w:rsidP="007B461E">
            <w:pPr>
              <w:spacing w:line="300" w:lineRule="auto"/>
              <w:contextualSpacing/>
              <w:jc w:val="both"/>
              <w:rPr>
                <w:rFonts w:ascii="Arial" w:hAnsi="Arial" w:cs="Arial"/>
              </w:rPr>
            </w:pPr>
            <w:r>
              <w:rPr>
                <w:rFonts w:ascii="Arial" w:hAnsi="Arial" w:cs="Arial"/>
              </w:rPr>
              <w:t>Çevre/iklim değişimi</w:t>
            </w:r>
          </w:p>
        </w:tc>
        <w:tc>
          <w:tcPr>
            <w:tcW w:w="4672" w:type="dxa"/>
            <w:shd w:val="clear" w:color="auto" w:fill="D9E2F3" w:themeFill="accent1" w:themeFillTint="33"/>
          </w:tcPr>
          <w:p w14:paraId="38CE6970" w14:textId="77B866CA" w:rsidR="001854A2" w:rsidRDefault="001854A2" w:rsidP="007B461E">
            <w:pPr>
              <w:spacing w:line="300" w:lineRule="auto"/>
              <w:contextualSpacing/>
              <w:jc w:val="both"/>
              <w:rPr>
                <w:rFonts w:ascii="Arial" w:hAnsi="Arial" w:cs="Arial"/>
              </w:rPr>
            </w:pPr>
            <w:r>
              <w:rPr>
                <w:rFonts w:ascii="Arial" w:hAnsi="Arial" w:cs="Arial"/>
              </w:rPr>
              <w:t>Yeni</w:t>
            </w:r>
            <w:r w:rsidRPr="00E45396">
              <w:rPr>
                <w:rFonts w:ascii="Arial" w:hAnsi="Arial" w:cs="Arial"/>
              </w:rPr>
              <w:t>/çığır açan teknoloji</w:t>
            </w:r>
            <w:r>
              <w:rPr>
                <w:rFonts w:ascii="Arial" w:hAnsi="Arial" w:cs="Arial"/>
              </w:rPr>
              <w:t>ler</w:t>
            </w:r>
          </w:p>
        </w:tc>
      </w:tr>
      <w:tr w:rsidR="001854A2" w14:paraId="2F337C71" w14:textId="77777777" w:rsidTr="007B461E">
        <w:tc>
          <w:tcPr>
            <w:tcW w:w="421" w:type="dxa"/>
            <w:shd w:val="clear" w:color="auto" w:fill="FFF2CC" w:themeFill="accent4" w:themeFillTint="33"/>
          </w:tcPr>
          <w:p w14:paraId="2E896319" w14:textId="77777777" w:rsidR="001854A2" w:rsidRPr="00D038B5" w:rsidRDefault="001854A2" w:rsidP="007B461E">
            <w:pPr>
              <w:spacing w:line="300" w:lineRule="auto"/>
              <w:contextualSpacing/>
              <w:jc w:val="both"/>
              <w:rPr>
                <w:rFonts w:ascii="Arial" w:hAnsi="Arial" w:cs="Arial"/>
                <w:b/>
                <w:bCs/>
              </w:rPr>
            </w:pPr>
            <w:r w:rsidRPr="00D038B5">
              <w:rPr>
                <w:rFonts w:ascii="Arial" w:hAnsi="Arial" w:cs="Arial"/>
                <w:b/>
                <w:bCs/>
              </w:rPr>
              <w:t>5</w:t>
            </w:r>
          </w:p>
        </w:tc>
        <w:tc>
          <w:tcPr>
            <w:tcW w:w="3969" w:type="dxa"/>
            <w:shd w:val="clear" w:color="auto" w:fill="D9E2F3" w:themeFill="accent1" w:themeFillTint="33"/>
          </w:tcPr>
          <w:p w14:paraId="67AB7A7D" w14:textId="3AFA2C22" w:rsidR="001854A2" w:rsidRDefault="001854A2" w:rsidP="007B461E">
            <w:pPr>
              <w:spacing w:line="300" w:lineRule="auto"/>
              <w:contextualSpacing/>
              <w:jc w:val="both"/>
              <w:rPr>
                <w:rFonts w:ascii="Arial" w:hAnsi="Arial" w:cs="Arial"/>
              </w:rPr>
            </w:pPr>
            <w:r>
              <w:rPr>
                <w:rFonts w:ascii="Arial" w:hAnsi="Arial" w:cs="Arial"/>
              </w:rPr>
              <w:t xml:space="preserve">Faiz oranları </w:t>
            </w:r>
            <w:r w:rsidRPr="00E45396">
              <w:rPr>
                <w:rFonts w:ascii="Arial" w:hAnsi="Arial" w:cs="Arial"/>
              </w:rPr>
              <w:t xml:space="preserve"> </w:t>
            </w:r>
          </w:p>
        </w:tc>
        <w:tc>
          <w:tcPr>
            <w:tcW w:w="4672" w:type="dxa"/>
            <w:shd w:val="clear" w:color="auto" w:fill="D9E2F3" w:themeFill="accent1" w:themeFillTint="33"/>
          </w:tcPr>
          <w:p w14:paraId="38870765" w14:textId="10855EC1" w:rsidR="001854A2" w:rsidRDefault="001854A2" w:rsidP="007B461E">
            <w:pPr>
              <w:spacing w:line="300" w:lineRule="auto"/>
              <w:contextualSpacing/>
              <w:jc w:val="both"/>
              <w:rPr>
                <w:rFonts w:ascii="Arial" w:hAnsi="Arial" w:cs="Arial"/>
              </w:rPr>
            </w:pPr>
            <w:r>
              <w:rPr>
                <w:rFonts w:ascii="Arial" w:hAnsi="Arial" w:cs="Arial"/>
              </w:rPr>
              <w:t>Tedarik zinciri riski</w:t>
            </w:r>
          </w:p>
        </w:tc>
      </w:tr>
    </w:tbl>
    <w:p w14:paraId="70F96E7A" w14:textId="77777777" w:rsidR="003209BD" w:rsidRDefault="003209BD" w:rsidP="002948EB">
      <w:pPr>
        <w:spacing w:after="0" w:line="300" w:lineRule="auto"/>
        <w:contextualSpacing/>
        <w:jc w:val="both"/>
        <w:rPr>
          <w:rFonts w:ascii="Arial" w:hAnsi="Arial" w:cs="Arial"/>
        </w:rPr>
      </w:pPr>
    </w:p>
    <w:p w14:paraId="5FF2C80E" w14:textId="274F79D6" w:rsidR="002948EB" w:rsidRPr="001854A2" w:rsidRDefault="001854A2" w:rsidP="001854A2">
      <w:pPr>
        <w:spacing w:after="0" w:line="300" w:lineRule="auto"/>
        <w:ind w:left="708" w:hanging="708"/>
        <w:contextualSpacing/>
        <w:jc w:val="both"/>
        <w:rPr>
          <w:rFonts w:ascii="Arial" w:hAnsi="Arial" w:cs="Arial"/>
          <w:b/>
          <w:bCs/>
        </w:rPr>
      </w:pPr>
      <w:r w:rsidRPr="001854A2">
        <w:rPr>
          <w:rFonts w:ascii="Arial" w:hAnsi="Arial" w:cs="Arial"/>
          <w:b/>
          <w:bCs/>
        </w:rPr>
        <w:t>Teknoloji büyümeye yardımcı oluyor</w:t>
      </w:r>
    </w:p>
    <w:p w14:paraId="71236FC8" w14:textId="7B7360EA" w:rsidR="002948EB" w:rsidRPr="002948EB" w:rsidRDefault="001854A2" w:rsidP="00EB3065">
      <w:pPr>
        <w:spacing w:after="0" w:line="300" w:lineRule="auto"/>
        <w:contextualSpacing/>
        <w:jc w:val="both"/>
        <w:rPr>
          <w:rFonts w:ascii="Arial" w:hAnsi="Arial" w:cs="Arial"/>
        </w:rPr>
      </w:pPr>
      <w:r w:rsidRPr="001854A2">
        <w:rPr>
          <w:rFonts w:ascii="Arial" w:hAnsi="Arial" w:cs="Arial"/>
        </w:rPr>
        <w:t xml:space="preserve">Sigorta </w:t>
      </w:r>
      <w:r w:rsidR="00EB3065">
        <w:rPr>
          <w:rFonts w:ascii="Arial" w:hAnsi="Arial" w:cs="Arial"/>
        </w:rPr>
        <w:t xml:space="preserve">sektörü </w:t>
      </w:r>
      <w:r w:rsidRPr="001854A2">
        <w:rPr>
          <w:rFonts w:ascii="Arial" w:hAnsi="Arial" w:cs="Arial"/>
        </w:rPr>
        <w:t>CEO'ları dijital yatırımı işlerinin büyümeyi destekleyen alanlarına yönlendiriyor</w:t>
      </w:r>
      <w:r w:rsidR="00EB3065">
        <w:rPr>
          <w:rFonts w:ascii="Arial" w:hAnsi="Arial" w:cs="Arial"/>
        </w:rPr>
        <w:t xml:space="preserve">. </w:t>
      </w:r>
      <w:r w:rsidRPr="001854A2">
        <w:rPr>
          <w:rFonts w:ascii="Arial" w:hAnsi="Arial" w:cs="Arial"/>
        </w:rPr>
        <w:t xml:space="preserve">CEO'ların yüzde 77'si </w:t>
      </w:r>
      <w:r w:rsidR="00EB3065">
        <w:rPr>
          <w:rFonts w:ascii="Arial" w:hAnsi="Arial" w:cs="Arial"/>
        </w:rPr>
        <w:t xml:space="preserve">güncel </w:t>
      </w:r>
      <w:r w:rsidRPr="001854A2">
        <w:rPr>
          <w:rFonts w:ascii="Arial" w:hAnsi="Arial" w:cs="Arial"/>
        </w:rPr>
        <w:t>kalabilmek ve rekabette bir adım önde olabilmek için dijital dönüşümü destekleye</w:t>
      </w:r>
      <w:r w:rsidR="00EB3065">
        <w:rPr>
          <w:rFonts w:ascii="Arial" w:hAnsi="Arial" w:cs="Arial"/>
        </w:rPr>
        <w:t>n</w:t>
      </w:r>
      <w:r w:rsidRPr="001854A2">
        <w:rPr>
          <w:rFonts w:ascii="Arial" w:hAnsi="Arial" w:cs="Arial"/>
        </w:rPr>
        <w:t xml:space="preserve"> stratejileri olduğunu söylüyor. Ancak CEO'lar aynı zamanda son birkaç yılda yaşanan dijital dönüşüm ivmesinin </w:t>
      </w:r>
      <w:r w:rsidR="00EB3065">
        <w:rPr>
          <w:rFonts w:ascii="Arial" w:hAnsi="Arial" w:cs="Arial"/>
        </w:rPr>
        <w:t>yorgunluğa</w:t>
      </w:r>
      <w:r w:rsidRPr="001854A2">
        <w:rPr>
          <w:rFonts w:ascii="Arial" w:hAnsi="Arial" w:cs="Arial"/>
        </w:rPr>
        <w:t xml:space="preserve"> yol açtığının da farkında</w:t>
      </w:r>
      <w:r w:rsidR="00EB3065">
        <w:rPr>
          <w:rFonts w:ascii="Arial" w:hAnsi="Arial" w:cs="Arial"/>
        </w:rPr>
        <w:t xml:space="preserve"> olduklarından </w:t>
      </w:r>
      <w:r w:rsidRPr="001854A2">
        <w:rPr>
          <w:rFonts w:ascii="Arial" w:hAnsi="Arial" w:cs="Arial"/>
        </w:rPr>
        <w:t>yüzde 83'ü dönüşüm yolculuklarına devam edebilme</w:t>
      </w:r>
      <w:r w:rsidR="00EB3065">
        <w:rPr>
          <w:rFonts w:ascii="Arial" w:hAnsi="Arial" w:cs="Arial"/>
        </w:rPr>
        <w:t>k</w:t>
      </w:r>
      <w:r w:rsidRPr="001854A2">
        <w:rPr>
          <w:rFonts w:ascii="Arial" w:hAnsi="Arial" w:cs="Arial"/>
        </w:rPr>
        <w:t xml:space="preserve"> için </w:t>
      </w:r>
      <w:r w:rsidR="00EB3065">
        <w:rPr>
          <w:rFonts w:ascii="Arial" w:hAnsi="Arial" w:cs="Arial"/>
        </w:rPr>
        <w:t xml:space="preserve">bu durumun </w:t>
      </w:r>
      <w:r w:rsidRPr="001854A2">
        <w:rPr>
          <w:rFonts w:ascii="Arial" w:hAnsi="Arial" w:cs="Arial"/>
        </w:rPr>
        <w:t xml:space="preserve">ele alınması gerektiği konusunda hemfikir. </w:t>
      </w:r>
      <w:r w:rsidR="00EB3065">
        <w:rPr>
          <w:rFonts w:ascii="Arial" w:hAnsi="Arial" w:cs="Arial"/>
        </w:rPr>
        <w:t>Diğer yandan d</w:t>
      </w:r>
      <w:r w:rsidR="00EB3065" w:rsidRPr="00EB3065">
        <w:rPr>
          <w:rFonts w:ascii="Arial" w:hAnsi="Arial" w:cs="Arial"/>
        </w:rPr>
        <w:t xml:space="preserve">ijital dönüşüm son yıllarda daha </w:t>
      </w:r>
      <w:r w:rsidR="00EB3065">
        <w:rPr>
          <w:rFonts w:ascii="Arial" w:hAnsi="Arial" w:cs="Arial"/>
        </w:rPr>
        <w:t xml:space="preserve">maliyetli </w:t>
      </w:r>
      <w:r w:rsidR="00EB3065" w:rsidRPr="00EB3065">
        <w:rPr>
          <w:rFonts w:ascii="Arial" w:hAnsi="Arial" w:cs="Arial"/>
        </w:rPr>
        <w:t xml:space="preserve">hale </w:t>
      </w:r>
      <w:r w:rsidR="00EB3065">
        <w:rPr>
          <w:rFonts w:ascii="Arial" w:hAnsi="Arial" w:cs="Arial"/>
        </w:rPr>
        <w:t xml:space="preserve">de </w:t>
      </w:r>
      <w:r w:rsidR="00EB3065" w:rsidRPr="00EB3065">
        <w:rPr>
          <w:rFonts w:ascii="Arial" w:hAnsi="Arial" w:cs="Arial"/>
        </w:rPr>
        <w:t>geldi. Bu durum, iş</w:t>
      </w:r>
      <w:r w:rsidR="00EB3065">
        <w:rPr>
          <w:rFonts w:ascii="Arial" w:hAnsi="Arial" w:cs="Arial"/>
        </w:rPr>
        <w:t xml:space="preserve"> </w:t>
      </w:r>
      <w:r w:rsidR="00EB3065" w:rsidRPr="00EB3065">
        <w:rPr>
          <w:rFonts w:ascii="Arial" w:hAnsi="Arial" w:cs="Arial"/>
        </w:rPr>
        <w:t xml:space="preserve">gücünün beceri ve yeteneklerini geliştirmek yerine yeni teknoloji satın almaya daha fazla sermaye yatırımı yapan yüzde 54'lük kesim tarafından da </w:t>
      </w:r>
      <w:r w:rsidR="00EB3065">
        <w:rPr>
          <w:rFonts w:ascii="Arial" w:hAnsi="Arial" w:cs="Arial"/>
        </w:rPr>
        <w:t>yansıtılıyor</w:t>
      </w:r>
      <w:r w:rsidR="00EB3065" w:rsidRPr="00EB3065">
        <w:rPr>
          <w:rFonts w:ascii="Arial" w:hAnsi="Arial" w:cs="Arial"/>
        </w:rPr>
        <w:t xml:space="preserve">. </w:t>
      </w:r>
      <w:r w:rsidR="00EB3065">
        <w:rPr>
          <w:rFonts w:ascii="Arial" w:hAnsi="Arial" w:cs="Arial"/>
        </w:rPr>
        <w:t xml:space="preserve">2021 yılında bu oran </w:t>
      </w:r>
      <w:r w:rsidR="00EB3065" w:rsidRPr="00EB3065">
        <w:rPr>
          <w:rFonts w:ascii="Arial" w:hAnsi="Arial" w:cs="Arial"/>
        </w:rPr>
        <w:t>yüzde 49</w:t>
      </w:r>
      <w:r w:rsidR="00EB3065">
        <w:rPr>
          <w:rFonts w:ascii="Arial" w:hAnsi="Arial" w:cs="Arial"/>
        </w:rPr>
        <w:t xml:space="preserve"> seviyesinde idi. </w:t>
      </w:r>
    </w:p>
    <w:p w14:paraId="778438F9" w14:textId="77777777" w:rsidR="002948EB" w:rsidRPr="002948EB" w:rsidRDefault="002948EB" w:rsidP="002948EB">
      <w:pPr>
        <w:spacing w:after="0" w:line="300" w:lineRule="auto"/>
        <w:contextualSpacing/>
        <w:jc w:val="both"/>
        <w:rPr>
          <w:rFonts w:ascii="Arial" w:hAnsi="Arial" w:cs="Arial"/>
        </w:rPr>
      </w:pPr>
    </w:p>
    <w:p w14:paraId="268AA943" w14:textId="708430A7" w:rsidR="002948EB" w:rsidRPr="00EB3065" w:rsidRDefault="00EB3065" w:rsidP="002948EB">
      <w:pPr>
        <w:spacing w:after="0" w:line="300" w:lineRule="auto"/>
        <w:contextualSpacing/>
        <w:jc w:val="both"/>
        <w:rPr>
          <w:rFonts w:ascii="Arial" w:hAnsi="Arial" w:cs="Arial"/>
          <w:b/>
          <w:bCs/>
        </w:rPr>
      </w:pPr>
      <w:r w:rsidRPr="00EB3065">
        <w:rPr>
          <w:rFonts w:ascii="Arial" w:hAnsi="Arial" w:cs="Arial"/>
          <w:b/>
          <w:bCs/>
        </w:rPr>
        <w:t>Siber güvenlik</w:t>
      </w:r>
      <w:r w:rsidR="00876999">
        <w:rPr>
          <w:rFonts w:ascii="Arial" w:hAnsi="Arial" w:cs="Arial"/>
          <w:b/>
          <w:bCs/>
        </w:rPr>
        <w:t xml:space="preserve"> kritik önemde</w:t>
      </w:r>
    </w:p>
    <w:p w14:paraId="519F485C" w14:textId="4BC954ED" w:rsidR="00EB3065" w:rsidRPr="002948EB" w:rsidRDefault="00EB3065" w:rsidP="00EB3065">
      <w:pPr>
        <w:spacing w:after="0" w:line="300" w:lineRule="auto"/>
        <w:contextualSpacing/>
        <w:jc w:val="both"/>
        <w:rPr>
          <w:rFonts w:ascii="Arial" w:hAnsi="Arial" w:cs="Arial"/>
        </w:rPr>
      </w:pPr>
      <w:r>
        <w:rPr>
          <w:rFonts w:ascii="Arial" w:hAnsi="Arial" w:cs="Arial"/>
        </w:rPr>
        <w:t>Ankete katılanların b</w:t>
      </w:r>
      <w:r w:rsidRPr="00EB3065">
        <w:rPr>
          <w:rFonts w:ascii="Arial" w:hAnsi="Arial" w:cs="Arial"/>
        </w:rPr>
        <w:t>üyük çoğunlu</w:t>
      </w:r>
      <w:r>
        <w:rPr>
          <w:rFonts w:ascii="Arial" w:hAnsi="Arial" w:cs="Arial"/>
        </w:rPr>
        <w:t>ğu</w:t>
      </w:r>
      <w:r w:rsidRPr="00EB3065">
        <w:rPr>
          <w:rFonts w:ascii="Arial" w:hAnsi="Arial" w:cs="Arial"/>
        </w:rPr>
        <w:t>, güçlü siber stratejinin kilit paydaşların güvenini kazanmak için kritik öneme sahip olduğu konusunda hemfikirdir (yüzde 82). Dahası, yüzde 84'ü bilgi güvenliğini rekabet avantajı elde etmelerine yardımcı olacak stratejik bir işlev olarak görüyor.</w:t>
      </w:r>
      <w:r>
        <w:rPr>
          <w:rFonts w:ascii="Arial" w:hAnsi="Arial" w:cs="Arial"/>
        </w:rPr>
        <w:t xml:space="preserve"> 2021 yılında </w:t>
      </w:r>
      <w:r w:rsidRPr="00EB3065">
        <w:rPr>
          <w:rFonts w:ascii="Arial" w:hAnsi="Arial" w:cs="Arial"/>
        </w:rPr>
        <w:t>siber saldırılara karşı hazırlıklı olduklarını söyle</w:t>
      </w:r>
      <w:r>
        <w:rPr>
          <w:rFonts w:ascii="Arial" w:hAnsi="Arial" w:cs="Arial"/>
        </w:rPr>
        <w:t xml:space="preserve">n CEO’ların oranı </w:t>
      </w:r>
      <w:r w:rsidRPr="00EB3065">
        <w:rPr>
          <w:rFonts w:ascii="Arial" w:hAnsi="Arial" w:cs="Arial"/>
        </w:rPr>
        <w:t xml:space="preserve">yüzde 48'e </w:t>
      </w:r>
      <w:r>
        <w:rPr>
          <w:rFonts w:ascii="Arial" w:hAnsi="Arial" w:cs="Arial"/>
        </w:rPr>
        <w:t xml:space="preserve">iken 2022 yılında bu oran </w:t>
      </w:r>
      <w:r w:rsidRPr="00EB3065">
        <w:rPr>
          <w:rFonts w:ascii="Arial" w:hAnsi="Arial" w:cs="Arial"/>
        </w:rPr>
        <w:t>yüzde 59'</w:t>
      </w:r>
      <w:r>
        <w:rPr>
          <w:rFonts w:ascii="Arial" w:hAnsi="Arial" w:cs="Arial"/>
        </w:rPr>
        <w:t>a yükseldi. Y</w:t>
      </w:r>
      <w:r w:rsidRPr="00EB3065">
        <w:rPr>
          <w:rFonts w:ascii="Arial" w:hAnsi="Arial" w:cs="Arial"/>
        </w:rPr>
        <w:t xml:space="preserve">üzde 76'sı </w:t>
      </w:r>
      <w:r>
        <w:rPr>
          <w:rFonts w:ascii="Arial" w:hAnsi="Arial" w:cs="Arial"/>
        </w:rPr>
        <w:t xml:space="preserve">ise </w:t>
      </w:r>
      <w:r w:rsidRPr="00EB3065">
        <w:rPr>
          <w:rFonts w:ascii="Arial" w:hAnsi="Arial" w:cs="Arial"/>
        </w:rPr>
        <w:t>ortak ekosistemlerini ve tedarik zincirlerini korumanın kurumlarının siber savunmasını oluşturmak kadar önemli olduğunu söylüyor.</w:t>
      </w:r>
      <w:r>
        <w:rPr>
          <w:rFonts w:ascii="Arial" w:hAnsi="Arial" w:cs="Arial"/>
        </w:rPr>
        <w:t xml:space="preserve"> </w:t>
      </w:r>
    </w:p>
    <w:p w14:paraId="4CD07F3A" w14:textId="77777777" w:rsidR="009831FC" w:rsidRDefault="009831FC" w:rsidP="002948EB">
      <w:pPr>
        <w:spacing w:after="0" w:line="300" w:lineRule="auto"/>
        <w:contextualSpacing/>
        <w:jc w:val="both"/>
        <w:rPr>
          <w:rFonts w:ascii="Arial" w:hAnsi="Arial" w:cs="Arial"/>
        </w:rPr>
      </w:pPr>
    </w:p>
    <w:p w14:paraId="6CD32CB2" w14:textId="2F1C2582" w:rsidR="002948EB" w:rsidRPr="009831FC" w:rsidRDefault="009831FC" w:rsidP="002948EB">
      <w:pPr>
        <w:spacing w:after="0" w:line="300" w:lineRule="auto"/>
        <w:contextualSpacing/>
        <w:jc w:val="both"/>
        <w:rPr>
          <w:rFonts w:ascii="Arial" w:hAnsi="Arial" w:cs="Arial"/>
          <w:b/>
          <w:bCs/>
        </w:rPr>
      </w:pPr>
      <w:r w:rsidRPr="009831FC">
        <w:rPr>
          <w:rFonts w:ascii="Arial" w:hAnsi="Arial" w:cs="Arial"/>
          <w:b/>
          <w:bCs/>
        </w:rPr>
        <w:t>ESG</w:t>
      </w:r>
      <w:r w:rsidR="00876999">
        <w:rPr>
          <w:rFonts w:ascii="Arial" w:hAnsi="Arial" w:cs="Arial"/>
          <w:b/>
          <w:bCs/>
        </w:rPr>
        <w:t xml:space="preserve"> çalışmaları finansal performansı artırıyor</w:t>
      </w:r>
    </w:p>
    <w:p w14:paraId="171E48EA" w14:textId="7666A8DF" w:rsidR="002948EB" w:rsidRPr="002948EB" w:rsidRDefault="009831FC" w:rsidP="002948EB">
      <w:pPr>
        <w:spacing w:after="0" w:line="300" w:lineRule="auto"/>
        <w:contextualSpacing/>
        <w:jc w:val="both"/>
        <w:rPr>
          <w:rFonts w:ascii="Arial" w:hAnsi="Arial" w:cs="Arial"/>
        </w:rPr>
      </w:pPr>
      <w:r w:rsidRPr="009831FC">
        <w:rPr>
          <w:rFonts w:ascii="Arial" w:hAnsi="Arial" w:cs="Arial"/>
        </w:rPr>
        <w:lastRenderedPageBreak/>
        <w:t>CEO'</w:t>
      </w:r>
      <w:r>
        <w:rPr>
          <w:rFonts w:ascii="Arial" w:hAnsi="Arial" w:cs="Arial"/>
        </w:rPr>
        <w:t xml:space="preserve">lar </w:t>
      </w:r>
      <w:r w:rsidRPr="009831FC">
        <w:rPr>
          <w:rFonts w:ascii="Arial" w:hAnsi="Arial" w:cs="Arial"/>
        </w:rPr>
        <w:t xml:space="preserve">ESG </w:t>
      </w:r>
      <w:r>
        <w:rPr>
          <w:rFonts w:ascii="Arial" w:hAnsi="Arial" w:cs="Arial"/>
        </w:rPr>
        <w:t xml:space="preserve">(çevre, sosyal, yönetişim) </w:t>
      </w:r>
      <w:r w:rsidRPr="009831FC">
        <w:rPr>
          <w:rFonts w:ascii="Arial" w:hAnsi="Arial" w:cs="Arial"/>
        </w:rPr>
        <w:t>programlarının finansal performan</w:t>
      </w:r>
      <w:r>
        <w:rPr>
          <w:rFonts w:ascii="Arial" w:hAnsi="Arial" w:cs="Arial"/>
        </w:rPr>
        <w:t>slarını</w:t>
      </w:r>
      <w:r w:rsidRPr="009831FC">
        <w:rPr>
          <w:rFonts w:ascii="Arial" w:hAnsi="Arial" w:cs="Arial"/>
        </w:rPr>
        <w:t xml:space="preserve"> artırdığı konusunda hemfikir (yüzde 44); bu oran bir yıl önce yüzde 40'tı. CEO'ları</w:t>
      </w:r>
      <w:r w:rsidR="00876999">
        <w:rPr>
          <w:rFonts w:ascii="Arial" w:hAnsi="Arial" w:cs="Arial"/>
        </w:rPr>
        <w:t>n</w:t>
      </w:r>
      <w:r w:rsidRPr="009831FC">
        <w:rPr>
          <w:rFonts w:ascii="Arial" w:hAnsi="Arial" w:cs="Arial"/>
        </w:rPr>
        <w:t xml:space="preserve"> yüzde 59'u paydaşların </w:t>
      </w:r>
      <w:r>
        <w:rPr>
          <w:rFonts w:ascii="Arial" w:hAnsi="Arial" w:cs="Arial"/>
        </w:rPr>
        <w:t xml:space="preserve">ESG </w:t>
      </w:r>
      <w:r w:rsidRPr="009831FC">
        <w:rPr>
          <w:rFonts w:ascii="Arial" w:hAnsi="Arial" w:cs="Arial"/>
        </w:rPr>
        <w:t>konularında daha fazla raporlama ve şeffaflık talebinin önemli ölçüde arttığını düşünüyor (2021'de yüzde 48).</w:t>
      </w:r>
      <w:r>
        <w:rPr>
          <w:rFonts w:ascii="Arial" w:hAnsi="Arial" w:cs="Arial"/>
        </w:rPr>
        <w:t xml:space="preserve"> Hatta </w:t>
      </w:r>
      <w:r w:rsidRPr="009831FC">
        <w:rPr>
          <w:rFonts w:ascii="Arial" w:hAnsi="Arial" w:cs="Arial"/>
        </w:rPr>
        <w:t>sigorta</w:t>
      </w:r>
      <w:r>
        <w:rPr>
          <w:rFonts w:ascii="Arial" w:hAnsi="Arial" w:cs="Arial"/>
        </w:rPr>
        <w:t xml:space="preserve"> sektöründeki</w:t>
      </w:r>
      <w:r w:rsidRPr="009831FC">
        <w:rPr>
          <w:rFonts w:ascii="Arial" w:hAnsi="Arial" w:cs="Arial"/>
        </w:rPr>
        <w:t xml:space="preserve"> CEO'ların yüzde 28'i çalışanların ve yeni işe alınanların </w:t>
      </w:r>
      <w:r>
        <w:rPr>
          <w:rFonts w:ascii="Arial" w:hAnsi="Arial" w:cs="Arial"/>
        </w:rPr>
        <w:t xml:space="preserve">da </w:t>
      </w:r>
      <w:r w:rsidRPr="009831FC">
        <w:rPr>
          <w:rFonts w:ascii="Arial" w:hAnsi="Arial" w:cs="Arial"/>
        </w:rPr>
        <w:t xml:space="preserve">daha fazla ESG raporlaması ve şeffaflığı talep ettiklerini </w:t>
      </w:r>
      <w:r>
        <w:rPr>
          <w:rFonts w:ascii="Arial" w:hAnsi="Arial" w:cs="Arial"/>
        </w:rPr>
        <w:t>belirtiyor</w:t>
      </w:r>
      <w:r w:rsidRPr="009831FC">
        <w:rPr>
          <w:rFonts w:ascii="Arial" w:hAnsi="Arial" w:cs="Arial"/>
        </w:rPr>
        <w:t xml:space="preserve">. </w:t>
      </w:r>
      <w:r>
        <w:rPr>
          <w:rFonts w:ascii="Arial" w:hAnsi="Arial" w:cs="Arial"/>
        </w:rPr>
        <w:t xml:space="preserve">Bu oran </w:t>
      </w:r>
      <w:r w:rsidRPr="009831FC">
        <w:rPr>
          <w:rFonts w:ascii="Arial" w:hAnsi="Arial" w:cs="Arial"/>
        </w:rPr>
        <w:t xml:space="preserve">2021'de yüzde 3 </w:t>
      </w:r>
      <w:r>
        <w:rPr>
          <w:rFonts w:ascii="Arial" w:hAnsi="Arial" w:cs="Arial"/>
        </w:rPr>
        <w:t xml:space="preserve">seviyesindeydi. </w:t>
      </w:r>
      <w:r w:rsidRPr="009831FC">
        <w:rPr>
          <w:rFonts w:ascii="Arial" w:hAnsi="Arial" w:cs="Arial"/>
        </w:rPr>
        <w:t>Yüzde 81'i paydaşların sosyal konular</w:t>
      </w:r>
      <w:r>
        <w:rPr>
          <w:rFonts w:ascii="Arial" w:hAnsi="Arial" w:cs="Arial"/>
        </w:rPr>
        <w:t xml:space="preserve">a gösterdikleri hassasiyetin artmaya </w:t>
      </w:r>
      <w:r w:rsidRPr="009831FC">
        <w:rPr>
          <w:rFonts w:ascii="Arial" w:hAnsi="Arial" w:cs="Arial"/>
        </w:rPr>
        <w:t>devam edeceğine inanıyor (2021'de yüzde 60).</w:t>
      </w:r>
      <w:r>
        <w:rPr>
          <w:rFonts w:ascii="Arial" w:hAnsi="Arial" w:cs="Arial"/>
        </w:rPr>
        <w:t xml:space="preserve"> </w:t>
      </w:r>
      <w:r w:rsidRPr="009831FC">
        <w:rPr>
          <w:rFonts w:ascii="Arial" w:hAnsi="Arial" w:cs="Arial"/>
        </w:rPr>
        <w:t xml:space="preserve">CEO'ların yüzde </w:t>
      </w:r>
      <w:r>
        <w:rPr>
          <w:rFonts w:ascii="Arial" w:hAnsi="Arial" w:cs="Arial"/>
        </w:rPr>
        <w:t xml:space="preserve">22’si ise </w:t>
      </w:r>
      <w:r w:rsidRPr="009831FC">
        <w:rPr>
          <w:rFonts w:ascii="Arial" w:hAnsi="Arial" w:cs="Arial"/>
        </w:rPr>
        <w:t>paydaşların “yeşil yaklaşım ile göz boyamaya” dair şüphelerinin arttığını belirtiyor.</w:t>
      </w:r>
      <w:r>
        <w:rPr>
          <w:rFonts w:ascii="Arial" w:hAnsi="Arial" w:cs="Arial"/>
        </w:rPr>
        <w:t xml:space="preserve"> (</w:t>
      </w:r>
      <w:r w:rsidRPr="009831FC">
        <w:rPr>
          <w:rFonts w:ascii="Arial" w:hAnsi="Arial" w:cs="Arial"/>
        </w:rPr>
        <w:t>2021'de yüzde 12).</w:t>
      </w:r>
    </w:p>
    <w:p w14:paraId="7FDFFFA9" w14:textId="77777777" w:rsidR="002948EB" w:rsidRPr="002948EB" w:rsidRDefault="002948EB" w:rsidP="002948EB">
      <w:pPr>
        <w:spacing w:after="0" w:line="300" w:lineRule="auto"/>
        <w:contextualSpacing/>
        <w:jc w:val="both"/>
        <w:rPr>
          <w:rFonts w:ascii="Arial" w:hAnsi="Arial" w:cs="Arial"/>
        </w:rPr>
      </w:pPr>
    </w:p>
    <w:p w14:paraId="29B16F8C" w14:textId="68FB7306" w:rsidR="009831FC" w:rsidRPr="00876999" w:rsidRDefault="00876999" w:rsidP="002948EB">
      <w:pPr>
        <w:spacing w:after="0" w:line="300" w:lineRule="auto"/>
        <w:contextualSpacing/>
        <w:jc w:val="both"/>
        <w:rPr>
          <w:rFonts w:ascii="Arial" w:hAnsi="Arial" w:cs="Arial"/>
          <w:b/>
          <w:bCs/>
        </w:rPr>
      </w:pPr>
      <w:r>
        <w:rPr>
          <w:rFonts w:ascii="Arial" w:hAnsi="Arial" w:cs="Arial"/>
          <w:b/>
          <w:bCs/>
        </w:rPr>
        <w:t>E</w:t>
      </w:r>
      <w:r w:rsidRPr="00876999">
        <w:rPr>
          <w:rFonts w:ascii="Arial" w:hAnsi="Arial" w:cs="Arial"/>
          <w:b/>
          <w:bCs/>
        </w:rPr>
        <w:t xml:space="preserve">n önemli operasyonel öncelikler yetenekleri çekmek </w:t>
      </w:r>
    </w:p>
    <w:p w14:paraId="3F215D6A" w14:textId="09A6F5B1" w:rsidR="003209BD" w:rsidRDefault="00876999" w:rsidP="002948EB">
      <w:pPr>
        <w:spacing w:after="0" w:line="300" w:lineRule="auto"/>
        <w:contextualSpacing/>
        <w:jc w:val="both"/>
        <w:rPr>
          <w:rFonts w:ascii="Arial" w:hAnsi="Arial" w:cs="Arial"/>
        </w:rPr>
      </w:pPr>
      <w:r w:rsidRPr="00876999">
        <w:rPr>
          <w:rFonts w:ascii="Arial" w:hAnsi="Arial" w:cs="Arial"/>
        </w:rPr>
        <w:t xml:space="preserve">Sigorta </w:t>
      </w:r>
      <w:r>
        <w:rPr>
          <w:rFonts w:ascii="Arial" w:hAnsi="Arial" w:cs="Arial"/>
        </w:rPr>
        <w:t xml:space="preserve">sektöründeki </w:t>
      </w:r>
      <w:r w:rsidRPr="00876999">
        <w:rPr>
          <w:rFonts w:ascii="Arial" w:hAnsi="Arial" w:cs="Arial"/>
        </w:rPr>
        <w:t>CEO'lar</w:t>
      </w:r>
      <w:r>
        <w:rPr>
          <w:rFonts w:ascii="Arial" w:hAnsi="Arial" w:cs="Arial"/>
        </w:rPr>
        <w:t>ın yüzde 77’si</w:t>
      </w:r>
      <w:r w:rsidRPr="00876999">
        <w:rPr>
          <w:rFonts w:ascii="Arial" w:hAnsi="Arial" w:cs="Arial"/>
        </w:rPr>
        <w:t xml:space="preserve"> beklenen </w:t>
      </w:r>
      <w:r>
        <w:rPr>
          <w:rFonts w:ascii="Arial" w:hAnsi="Arial" w:cs="Arial"/>
        </w:rPr>
        <w:t xml:space="preserve">resesyona </w:t>
      </w:r>
      <w:r w:rsidRPr="00876999">
        <w:rPr>
          <w:rFonts w:ascii="Arial" w:hAnsi="Arial" w:cs="Arial"/>
        </w:rPr>
        <w:t>hazırl</w:t>
      </w:r>
      <w:r>
        <w:rPr>
          <w:rFonts w:ascii="Arial" w:hAnsi="Arial" w:cs="Arial"/>
        </w:rPr>
        <w:t xml:space="preserve">ık için </w:t>
      </w:r>
      <w:r w:rsidRPr="00876999">
        <w:rPr>
          <w:rFonts w:ascii="Arial" w:hAnsi="Arial" w:cs="Arial"/>
        </w:rPr>
        <w:t>önümüzdeki 6 ay içinde işe alımları dondurdu veya dondurmayı planlıyor</w:t>
      </w:r>
      <w:r>
        <w:rPr>
          <w:rFonts w:ascii="Arial" w:hAnsi="Arial" w:cs="Arial"/>
        </w:rPr>
        <w:t xml:space="preserve">. Yüzde </w:t>
      </w:r>
      <w:r w:rsidRPr="00876999">
        <w:rPr>
          <w:rFonts w:ascii="Arial" w:hAnsi="Arial" w:cs="Arial"/>
        </w:rPr>
        <w:t xml:space="preserve">84'ü </w:t>
      </w:r>
      <w:r>
        <w:rPr>
          <w:rFonts w:ascii="Arial" w:hAnsi="Arial" w:cs="Arial"/>
        </w:rPr>
        <w:t xml:space="preserve">ise </w:t>
      </w:r>
      <w:r w:rsidRPr="00876999">
        <w:rPr>
          <w:rFonts w:ascii="Arial" w:hAnsi="Arial" w:cs="Arial"/>
        </w:rPr>
        <w:t>önümüzdeki 6 ay içinde çalışan tabanını küçültmeyi düşü</w:t>
      </w:r>
      <w:r>
        <w:rPr>
          <w:rFonts w:ascii="Arial" w:hAnsi="Arial" w:cs="Arial"/>
        </w:rPr>
        <w:t>nüyor</w:t>
      </w:r>
      <w:r w:rsidRPr="00876999">
        <w:rPr>
          <w:rFonts w:ascii="Arial" w:hAnsi="Arial" w:cs="Arial"/>
        </w:rPr>
        <w:t xml:space="preserve"> veya düşünecek</w:t>
      </w:r>
      <w:r>
        <w:rPr>
          <w:rFonts w:ascii="Arial" w:hAnsi="Arial" w:cs="Arial"/>
        </w:rPr>
        <w:t xml:space="preserve">. </w:t>
      </w:r>
      <w:r w:rsidR="009831FC">
        <w:rPr>
          <w:rFonts w:ascii="Arial" w:hAnsi="Arial" w:cs="Arial"/>
        </w:rPr>
        <w:t xml:space="preserve">CEO’lar </w:t>
      </w:r>
      <w:r>
        <w:rPr>
          <w:rFonts w:ascii="Arial" w:hAnsi="Arial" w:cs="Arial"/>
        </w:rPr>
        <w:t xml:space="preserve">kısa vadede </w:t>
      </w:r>
      <w:r w:rsidR="009831FC" w:rsidRPr="009831FC">
        <w:rPr>
          <w:rFonts w:ascii="Arial" w:hAnsi="Arial" w:cs="Arial"/>
        </w:rPr>
        <w:t>çalışan sayısını azaltmayı düşünseler de daha uzun vadede olumlular</w:t>
      </w:r>
      <w:r w:rsidR="009831FC">
        <w:rPr>
          <w:rFonts w:ascii="Arial" w:hAnsi="Arial" w:cs="Arial"/>
        </w:rPr>
        <w:t>. Y</w:t>
      </w:r>
      <w:r w:rsidR="009831FC" w:rsidRPr="009831FC">
        <w:rPr>
          <w:rFonts w:ascii="Arial" w:hAnsi="Arial" w:cs="Arial"/>
        </w:rPr>
        <w:t>üzde 87'si önümüzdeki 3 yıl içinde iş</w:t>
      </w:r>
      <w:r w:rsidR="009831FC">
        <w:rPr>
          <w:rFonts w:ascii="Arial" w:hAnsi="Arial" w:cs="Arial"/>
        </w:rPr>
        <w:t xml:space="preserve"> </w:t>
      </w:r>
      <w:r w:rsidR="009831FC" w:rsidRPr="009831FC">
        <w:rPr>
          <w:rFonts w:ascii="Arial" w:hAnsi="Arial" w:cs="Arial"/>
        </w:rPr>
        <w:t xml:space="preserve">gücünün boyutunu artırmayı planladıklarını söylüyor. Dahası yüzde 24'ü, 3 yıllık büyüme hedeflerine ulaşmak için en önemli operasyonel önceliklerinin </w:t>
      </w:r>
      <w:r w:rsidR="009831FC">
        <w:rPr>
          <w:rFonts w:ascii="Arial" w:hAnsi="Arial" w:cs="Arial"/>
        </w:rPr>
        <w:t>y</w:t>
      </w:r>
      <w:r w:rsidR="009831FC" w:rsidRPr="009831FC">
        <w:rPr>
          <w:rFonts w:ascii="Arial" w:hAnsi="Arial" w:cs="Arial"/>
        </w:rPr>
        <w:t xml:space="preserve">etenekleri çekmek olduğunu söyledi. Sigorta CEO'larının </w:t>
      </w:r>
      <w:r>
        <w:rPr>
          <w:rFonts w:ascii="Arial" w:hAnsi="Arial" w:cs="Arial"/>
        </w:rPr>
        <w:t xml:space="preserve">yaklaşık </w:t>
      </w:r>
      <w:r w:rsidR="009831FC" w:rsidRPr="009831FC">
        <w:rPr>
          <w:rFonts w:ascii="Arial" w:hAnsi="Arial" w:cs="Arial"/>
        </w:rPr>
        <w:t xml:space="preserve">dörtte üçü (yüzde 74) enflasyon/yükselen hayat pahalılığı baskısı altında yetenekleri elde tutmanın en önemli konu olduğu konusunda hemfikir. </w:t>
      </w:r>
    </w:p>
    <w:p w14:paraId="1A315C7D" w14:textId="77777777" w:rsidR="003209BD" w:rsidRPr="002948EB" w:rsidRDefault="003209BD" w:rsidP="002948EB">
      <w:pPr>
        <w:spacing w:after="0" w:line="300" w:lineRule="auto"/>
        <w:contextualSpacing/>
        <w:jc w:val="both"/>
        <w:rPr>
          <w:rFonts w:ascii="Arial" w:hAnsi="Arial" w:cs="Arial"/>
        </w:rPr>
      </w:pPr>
    </w:p>
    <w:p w14:paraId="47D1A7ED" w14:textId="2E9D6A0B" w:rsidR="0028718E" w:rsidRPr="006257BE" w:rsidRDefault="0028718E" w:rsidP="00DB4AB8">
      <w:pPr>
        <w:spacing w:after="0" w:line="300" w:lineRule="auto"/>
        <w:contextualSpacing/>
        <w:jc w:val="both"/>
        <w:rPr>
          <w:rFonts w:ascii="Arial" w:hAnsi="Arial" w:cs="Arial"/>
        </w:rPr>
      </w:pPr>
      <w:r w:rsidRPr="00E426C7">
        <w:rPr>
          <w:rFonts w:ascii="Arial" w:hAnsi="Arial" w:cs="Arial"/>
        </w:rPr>
        <w:t xml:space="preserve">Raporun tamamına </w:t>
      </w:r>
      <w:hyperlink r:id="rId11" w:history="1">
        <w:r w:rsidR="006257BE" w:rsidRPr="00E426C7">
          <w:rPr>
            <w:rStyle w:val="Kpr"/>
            <w:rFonts w:ascii="Arial" w:hAnsi="Arial" w:cs="Arial"/>
          </w:rPr>
          <w:t>buradan</w:t>
        </w:r>
      </w:hyperlink>
      <w:r w:rsidR="006257BE" w:rsidRPr="00E426C7">
        <w:rPr>
          <w:rFonts w:ascii="Arial" w:hAnsi="Arial" w:cs="Arial"/>
        </w:rPr>
        <w:t xml:space="preserve"> </w:t>
      </w:r>
      <w:r w:rsidRPr="00E426C7">
        <w:rPr>
          <w:rFonts w:ascii="Arial" w:hAnsi="Arial" w:cs="Arial"/>
        </w:rPr>
        <w:t>ulaşabilirsiniz.</w:t>
      </w:r>
    </w:p>
    <w:p w14:paraId="5D19A030" w14:textId="0DD5FE8A" w:rsidR="00DB4AB8" w:rsidRDefault="00DB4AB8" w:rsidP="00DB4AB8">
      <w:pPr>
        <w:spacing w:after="0" w:line="300" w:lineRule="auto"/>
        <w:contextualSpacing/>
        <w:jc w:val="both"/>
        <w:rPr>
          <w:rFonts w:ascii="Arial" w:hAnsi="Arial" w:cs="Arial"/>
          <w:b/>
          <w:bCs/>
        </w:rPr>
      </w:pPr>
    </w:p>
    <w:p w14:paraId="4998F649" w14:textId="77777777" w:rsidR="009305F3" w:rsidRPr="00353D49" w:rsidRDefault="009305F3" w:rsidP="009305F3">
      <w:pPr>
        <w:spacing w:after="0" w:line="240" w:lineRule="auto"/>
        <w:contextualSpacing/>
        <w:jc w:val="both"/>
        <w:rPr>
          <w:b/>
          <w:bCs/>
          <w:sz w:val="16"/>
          <w:szCs w:val="16"/>
          <w:u w:val="single"/>
        </w:rPr>
      </w:pPr>
      <w:r w:rsidRPr="00353D49">
        <w:rPr>
          <w:b/>
          <w:sz w:val="16"/>
          <w:szCs w:val="16"/>
          <w:u w:val="single"/>
        </w:rPr>
        <w:t>KPMG Hakkında</w:t>
      </w:r>
    </w:p>
    <w:p w14:paraId="0C2D3D58" w14:textId="77777777" w:rsidR="009305F3" w:rsidRPr="00353D49" w:rsidRDefault="009305F3" w:rsidP="009305F3">
      <w:pPr>
        <w:spacing w:after="0" w:line="240" w:lineRule="auto"/>
        <w:contextualSpacing/>
        <w:jc w:val="both"/>
        <w:rPr>
          <w:color w:val="000000"/>
          <w:sz w:val="24"/>
          <w:szCs w:val="24"/>
        </w:rPr>
      </w:pPr>
      <w:r w:rsidRPr="00647E81">
        <w:rPr>
          <w:color w:val="000000"/>
          <w:sz w:val="18"/>
          <w:szCs w:val="18"/>
        </w:rPr>
        <w:t xml:space="preserve">KPMG, geçmişi 1867 yılına dayanan, üye firmalar ağı sistemiyle 143 ülkede 265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yaklaşık 1.800 çalışanıyla her sektörden 4 binin üzerinde firmaya sektörler özelinde hizmet veriyor. 2020 yılında küresel ağın </w:t>
      </w:r>
      <w:proofErr w:type="spellStart"/>
      <w:r w:rsidRPr="00647E81">
        <w:rPr>
          <w:color w:val="000000"/>
          <w:sz w:val="18"/>
          <w:szCs w:val="18"/>
        </w:rPr>
        <w:t>Lighthouse</w:t>
      </w:r>
      <w:proofErr w:type="spellEnd"/>
      <w:r w:rsidRPr="00647E81">
        <w:rPr>
          <w:color w:val="000000"/>
          <w:sz w:val="18"/>
          <w:szCs w:val="18"/>
        </w:rPr>
        <w:t xml:space="preserve"> lisansını alarak yeni teknolojilerde dünyadaki mükemmeliyet merkezleri arasına giren KPMG Türkiye, müşterilerine değer yaratan çözümler sunuyor. Detaylı bilgi için www.kpmg.com.tr adresine başvurabilirsiniz. </w:t>
      </w:r>
    </w:p>
    <w:p w14:paraId="3E96FEE2" w14:textId="77777777" w:rsidR="009305F3" w:rsidRPr="00353D49" w:rsidRDefault="009305F3" w:rsidP="009305F3">
      <w:pPr>
        <w:pBdr>
          <w:top w:val="nil"/>
          <w:left w:val="nil"/>
          <w:bottom w:val="nil"/>
          <w:right w:val="nil"/>
          <w:between w:val="nil"/>
        </w:pBdr>
        <w:spacing w:after="0" w:line="240" w:lineRule="auto"/>
        <w:contextualSpacing/>
        <w:jc w:val="both"/>
        <w:rPr>
          <w:sz w:val="18"/>
          <w:szCs w:val="18"/>
        </w:rPr>
      </w:pPr>
    </w:p>
    <w:p w14:paraId="41BCFA7E" w14:textId="77777777" w:rsidR="009305F3" w:rsidRPr="00353D49" w:rsidRDefault="009305F3" w:rsidP="009305F3">
      <w:pPr>
        <w:pBdr>
          <w:top w:val="nil"/>
          <w:left w:val="nil"/>
          <w:bottom w:val="nil"/>
          <w:right w:val="nil"/>
          <w:between w:val="nil"/>
        </w:pBdr>
        <w:spacing w:after="0" w:line="240" w:lineRule="auto"/>
        <w:contextualSpacing/>
        <w:jc w:val="both"/>
        <w:rPr>
          <w:rFonts w:ascii="Tahoma" w:eastAsia="Tahoma" w:hAnsi="Tahoma" w:cs="Tahoma"/>
          <w:b/>
          <w:sz w:val="18"/>
          <w:szCs w:val="18"/>
        </w:rPr>
      </w:pPr>
      <w:r w:rsidRPr="00353D49">
        <w:rPr>
          <w:rFonts w:ascii="Tahoma" w:eastAsia="Tahoma" w:hAnsi="Tahoma" w:cs="Tahoma"/>
          <w:b/>
          <w:sz w:val="18"/>
          <w:szCs w:val="18"/>
        </w:rPr>
        <w:t xml:space="preserve">Bilgi </w:t>
      </w:r>
      <w:r>
        <w:rPr>
          <w:rFonts w:ascii="Tahoma" w:eastAsia="Tahoma" w:hAnsi="Tahoma" w:cs="Tahoma"/>
          <w:b/>
          <w:sz w:val="18"/>
          <w:szCs w:val="18"/>
        </w:rPr>
        <w:t>i</w:t>
      </w:r>
      <w:r w:rsidRPr="00353D49">
        <w:rPr>
          <w:rFonts w:ascii="Tahoma" w:eastAsia="Tahoma" w:hAnsi="Tahoma" w:cs="Tahoma"/>
          <w:b/>
          <w:sz w:val="18"/>
          <w:szCs w:val="18"/>
        </w:rPr>
        <w:t xml:space="preserve">çin: </w:t>
      </w:r>
      <w:r w:rsidRPr="00353D49">
        <w:rPr>
          <w:rFonts w:ascii="Tahoma" w:eastAsia="Tahoma" w:hAnsi="Tahoma" w:cs="Tahoma"/>
          <w:b/>
          <w:sz w:val="18"/>
          <w:szCs w:val="18"/>
        </w:rPr>
        <w:tab/>
      </w:r>
    </w:p>
    <w:p w14:paraId="09E29E2D" w14:textId="77777777" w:rsidR="009305F3" w:rsidRPr="00353D49" w:rsidRDefault="009305F3" w:rsidP="009305F3">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353D49">
        <w:rPr>
          <w:rFonts w:ascii="Tahoma" w:eastAsia="Tahoma" w:hAnsi="Tahoma" w:cs="Tahoma"/>
          <w:color w:val="000000" w:themeColor="text1"/>
          <w:sz w:val="18"/>
          <w:szCs w:val="18"/>
        </w:rPr>
        <w:t>Ceren Moral Aru</w:t>
      </w:r>
    </w:p>
    <w:p w14:paraId="55DAD520" w14:textId="77777777" w:rsidR="009305F3" w:rsidRPr="00353D49" w:rsidRDefault="009305F3" w:rsidP="009305F3">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353D49">
        <w:rPr>
          <w:rFonts w:ascii="Tahoma" w:eastAsia="Tahoma" w:hAnsi="Tahoma" w:cs="Tahoma"/>
          <w:color w:val="000000" w:themeColor="text1"/>
          <w:sz w:val="18"/>
          <w:szCs w:val="18"/>
        </w:rPr>
        <w:t>0533 921 43 53</w:t>
      </w:r>
    </w:p>
    <w:p w14:paraId="6592BE3C" w14:textId="58C575BA" w:rsidR="009305F3" w:rsidRPr="009305F3" w:rsidRDefault="009305F3" w:rsidP="009305F3">
      <w:pPr>
        <w:pBdr>
          <w:top w:val="nil"/>
          <w:left w:val="nil"/>
          <w:bottom w:val="nil"/>
          <w:right w:val="nil"/>
          <w:between w:val="nil"/>
        </w:pBdr>
        <w:spacing w:after="0" w:line="240" w:lineRule="auto"/>
        <w:contextualSpacing/>
        <w:jc w:val="both"/>
        <w:rPr>
          <w:rFonts w:ascii="Arial" w:hAnsi="Arial" w:cs="Arial"/>
        </w:rPr>
      </w:pPr>
      <w:r w:rsidRPr="00353D49">
        <w:rPr>
          <w:rFonts w:ascii="Tahoma" w:eastAsia="Tahoma" w:hAnsi="Tahoma" w:cs="Tahoma"/>
          <w:color w:val="000000" w:themeColor="text1"/>
          <w:sz w:val="18"/>
          <w:szCs w:val="18"/>
        </w:rPr>
        <w:t>cerenm@marjinal.com.tr</w:t>
      </w:r>
    </w:p>
    <w:sectPr w:rsidR="009305F3" w:rsidRPr="009305F3" w:rsidSect="00D322B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7729" w14:textId="77777777" w:rsidR="00614CA3" w:rsidRDefault="00614CA3" w:rsidP="00D322B8">
      <w:pPr>
        <w:spacing w:after="0" w:line="240" w:lineRule="auto"/>
      </w:pPr>
      <w:r>
        <w:separator/>
      </w:r>
    </w:p>
  </w:endnote>
  <w:endnote w:type="continuationSeparator" w:id="0">
    <w:p w14:paraId="41A77AFD" w14:textId="77777777" w:rsidR="00614CA3" w:rsidRDefault="00614CA3" w:rsidP="00D3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6097" w14:textId="77777777" w:rsidR="00614CA3" w:rsidRDefault="00614CA3" w:rsidP="00D322B8">
      <w:pPr>
        <w:spacing w:after="0" w:line="240" w:lineRule="auto"/>
      </w:pPr>
      <w:r>
        <w:separator/>
      </w:r>
    </w:p>
  </w:footnote>
  <w:footnote w:type="continuationSeparator" w:id="0">
    <w:p w14:paraId="1F4F6C75" w14:textId="77777777" w:rsidR="00614CA3" w:rsidRDefault="00614CA3" w:rsidP="00D3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31884">
    <w:abstractNumId w:val="0"/>
  </w:num>
  <w:num w:numId="2" w16cid:durableId="1781022798">
    <w:abstractNumId w:val="2"/>
  </w:num>
  <w:num w:numId="3" w16cid:durableId="661665381">
    <w:abstractNumId w:val="1"/>
  </w:num>
  <w:num w:numId="4" w16cid:durableId="759715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9A"/>
    <w:rsid w:val="00000B59"/>
    <w:rsid w:val="00003A13"/>
    <w:rsid w:val="00010290"/>
    <w:rsid w:val="0002393F"/>
    <w:rsid w:val="00030E0C"/>
    <w:rsid w:val="00037DC0"/>
    <w:rsid w:val="00050F6E"/>
    <w:rsid w:val="00055607"/>
    <w:rsid w:val="00057F69"/>
    <w:rsid w:val="000859AF"/>
    <w:rsid w:val="00086CCC"/>
    <w:rsid w:val="00087103"/>
    <w:rsid w:val="00095268"/>
    <w:rsid w:val="000C46F9"/>
    <w:rsid w:val="000C5AB6"/>
    <w:rsid w:val="000D38DD"/>
    <w:rsid w:val="00123062"/>
    <w:rsid w:val="001230AE"/>
    <w:rsid w:val="00125432"/>
    <w:rsid w:val="001379EB"/>
    <w:rsid w:val="0016287F"/>
    <w:rsid w:val="001854A2"/>
    <w:rsid w:val="00197D29"/>
    <w:rsid w:val="001A2426"/>
    <w:rsid w:val="001B0E50"/>
    <w:rsid w:val="001B0F84"/>
    <w:rsid w:val="001D763A"/>
    <w:rsid w:val="001E1645"/>
    <w:rsid w:val="001E5460"/>
    <w:rsid w:val="001F5F05"/>
    <w:rsid w:val="002054E4"/>
    <w:rsid w:val="00207324"/>
    <w:rsid w:val="002159B8"/>
    <w:rsid w:val="00215E8F"/>
    <w:rsid w:val="00226B77"/>
    <w:rsid w:val="002401CF"/>
    <w:rsid w:val="00251E53"/>
    <w:rsid w:val="0026094B"/>
    <w:rsid w:val="002613D2"/>
    <w:rsid w:val="00270661"/>
    <w:rsid w:val="002724D1"/>
    <w:rsid w:val="00275810"/>
    <w:rsid w:val="0028718E"/>
    <w:rsid w:val="002948EB"/>
    <w:rsid w:val="002A52EE"/>
    <w:rsid w:val="002C69A1"/>
    <w:rsid w:val="002D3A9A"/>
    <w:rsid w:val="002E47F9"/>
    <w:rsid w:val="002E5B04"/>
    <w:rsid w:val="003209BD"/>
    <w:rsid w:val="00320E15"/>
    <w:rsid w:val="0032289A"/>
    <w:rsid w:val="00344941"/>
    <w:rsid w:val="003468D7"/>
    <w:rsid w:val="003656F3"/>
    <w:rsid w:val="00370DEB"/>
    <w:rsid w:val="00376CAF"/>
    <w:rsid w:val="003A593A"/>
    <w:rsid w:val="003C0FFB"/>
    <w:rsid w:val="003C1E51"/>
    <w:rsid w:val="003C439A"/>
    <w:rsid w:val="003D4F02"/>
    <w:rsid w:val="003D7B28"/>
    <w:rsid w:val="003E1C06"/>
    <w:rsid w:val="003E6D0B"/>
    <w:rsid w:val="003E7BAE"/>
    <w:rsid w:val="004136C3"/>
    <w:rsid w:val="00422D00"/>
    <w:rsid w:val="00430650"/>
    <w:rsid w:val="00433B51"/>
    <w:rsid w:val="00445F3E"/>
    <w:rsid w:val="00461E4D"/>
    <w:rsid w:val="004A399D"/>
    <w:rsid w:val="004D1FE9"/>
    <w:rsid w:val="004D5E3E"/>
    <w:rsid w:val="004E34FB"/>
    <w:rsid w:val="004F4625"/>
    <w:rsid w:val="004F4A67"/>
    <w:rsid w:val="005033A4"/>
    <w:rsid w:val="00511A4F"/>
    <w:rsid w:val="005175DD"/>
    <w:rsid w:val="005604C1"/>
    <w:rsid w:val="0056796C"/>
    <w:rsid w:val="00586273"/>
    <w:rsid w:val="005A4CA5"/>
    <w:rsid w:val="005C587C"/>
    <w:rsid w:val="0061338F"/>
    <w:rsid w:val="00614CA3"/>
    <w:rsid w:val="00615B53"/>
    <w:rsid w:val="006257BE"/>
    <w:rsid w:val="00637C15"/>
    <w:rsid w:val="0065131B"/>
    <w:rsid w:val="006524A0"/>
    <w:rsid w:val="0065331B"/>
    <w:rsid w:val="006620CF"/>
    <w:rsid w:val="006651C9"/>
    <w:rsid w:val="006844CE"/>
    <w:rsid w:val="006923D1"/>
    <w:rsid w:val="00693178"/>
    <w:rsid w:val="006D40E2"/>
    <w:rsid w:val="006E2959"/>
    <w:rsid w:val="00712EA5"/>
    <w:rsid w:val="0072012D"/>
    <w:rsid w:val="00745D55"/>
    <w:rsid w:val="007534ED"/>
    <w:rsid w:val="007579E4"/>
    <w:rsid w:val="007614EB"/>
    <w:rsid w:val="00761AD2"/>
    <w:rsid w:val="00762C3D"/>
    <w:rsid w:val="007711BF"/>
    <w:rsid w:val="007C78BC"/>
    <w:rsid w:val="007D3441"/>
    <w:rsid w:val="007D3445"/>
    <w:rsid w:val="007D5B16"/>
    <w:rsid w:val="00804BEF"/>
    <w:rsid w:val="00812B22"/>
    <w:rsid w:val="00815963"/>
    <w:rsid w:val="00834E2B"/>
    <w:rsid w:val="00842A25"/>
    <w:rsid w:val="00860951"/>
    <w:rsid w:val="00876803"/>
    <w:rsid w:val="00876999"/>
    <w:rsid w:val="008A3556"/>
    <w:rsid w:val="008A37A6"/>
    <w:rsid w:val="008D091F"/>
    <w:rsid w:val="008F4797"/>
    <w:rsid w:val="009228B8"/>
    <w:rsid w:val="009305F3"/>
    <w:rsid w:val="0093454A"/>
    <w:rsid w:val="0093489B"/>
    <w:rsid w:val="00946277"/>
    <w:rsid w:val="00954474"/>
    <w:rsid w:val="00956EDA"/>
    <w:rsid w:val="00963425"/>
    <w:rsid w:val="0097123D"/>
    <w:rsid w:val="0097526A"/>
    <w:rsid w:val="009831FC"/>
    <w:rsid w:val="00997F8E"/>
    <w:rsid w:val="009A4076"/>
    <w:rsid w:val="009C145B"/>
    <w:rsid w:val="009C40DD"/>
    <w:rsid w:val="009D20C9"/>
    <w:rsid w:val="009D389D"/>
    <w:rsid w:val="009F352B"/>
    <w:rsid w:val="009F4C03"/>
    <w:rsid w:val="00A05523"/>
    <w:rsid w:val="00A0700D"/>
    <w:rsid w:val="00A12FA8"/>
    <w:rsid w:val="00A16BD1"/>
    <w:rsid w:val="00A236E4"/>
    <w:rsid w:val="00A33A58"/>
    <w:rsid w:val="00A60980"/>
    <w:rsid w:val="00A73D29"/>
    <w:rsid w:val="00A82827"/>
    <w:rsid w:val="00A842EF"/>
    <w:rsid w:val="00A95634"/>
    <w:rsid w:val="00A97A31"/>
    <w:rsid w:val="00AC557A"/>
    <w:rsid w:val="00AD1559"/>
    <w:rsid w:val="00AD337D"/>
    <w:rsid w:val="00AD54D6"/>
    <w:rsid w:val="00AD7908"/>
    <w:rsid w:val="00AE0852"/>
    <w:rsid w:val="00AE0C5E"/>
    <w:rsid w:val="00B05134"/>
    <w:rsid w:val="00B07BDF"/>
    <w:rsid w:val="00B25D38"/>
    <w:rsid w:val="00B3745B"/>
    <w:rsid w:val="00B678AF"/>
    <w:rsid w:val="00BA1F99"/>
    <w:rsid w:val="00BA71FE"/>
    <w:rsid w:val="00BB0308"/>
    <w:rsid w:val="00BB608E"/>
    <w:rsid w:val="00BF0F13"/>
    <w:rsid w:val="00BF16D4"/>
    <w:rsid w:val="00C1253F"/>
    <w:rsid w:val="00C33EC5"/>
    <w:rsid w:val="00C36A84"/>
    <w:rsid w:val="00C6020F"/>
    <w:rsid w:val="00C6078E"/>
    <w:rsid w:val="00C61C73"/>
    <w:rsid w:val="00C6506C"/>
    <w:rsid w:val="00C67B88"/>
    <w:rsid w:val="00C76ED8"/>
    <w:rsid w:val="00C7784A"/>
    <w:rsid w:val="00C97C6C"/>
    <w:rsid w:val="00CA0069"/>
    <w:rsid w:val="00CB1087"/>
    <w:rsid w:val="00CB3047"/>
    <w:rsid w:val="00CB7D6F"/>
    <w:rsid w:val="00CC1B20"/>
    <w:rsid w:val="00CD7F12"/>
    <w:rsid w:val="00CF0BF6"/>
    <w:rsid w:val="00D038B5"/>
    <w:rsid w:val="00D269BD"/>
    <w:rsid w:val="00D3166B"/>
    <w:rsid w:val="00D322B8"/>
    <w:rsid w:val="00D36E76"/>
    <w:rsid w:val="00D64BF4"/>
    <w:rsid w:val="00D74CEA"/>
    <w:rsid w:val="00D7503B"/>
    <w:rsid w:val="00D761F3"/>
    <w:rsid w:val="00D97160"/>
    <w:rsid w:val="00DA48EB"/>
    <w:rsid w:val="00DA6E98"/>
    <w:rsid w:val="00DB45B5"/>
    <w:rsid w:val="00DB4AB8"/>
    <w:rsid w:val="00DB595B"/>
    <w:rsid w:val="00DB6158"/>
    <w:rsid w:val="00DC33C8"/>
    <w:rsid w:val="00DC407B"/>
    <w:rsid w:val="00DD1909"/>
    <w:rsid w:val="00DD3B4E"/>
    <w:rsid w:val="00DE578B"/>
    <w:rsid w:val="00E0077A"/>
    <w:rsid w:val="00E05755"/>
    <w:rsid w:val="00E10230"/>
    <w:rsid w:val="00E1434C"/>
    <w:rsid w:val="00E172C7"/>
    <w:rsid w:val="00E1732B"/>
    <w:rsid w:val="00E426C7"/>
    <w:rsid w:val="00E45396"/>
    <w:rsid w:val="00E6627F"/>
    <w:rsid w:val="00E85F70"/>
    <w:rsid w:val="00EA2E22"/>
    <w:rsid w:val="00EB3065"/>
    <w:rsid w:val="00EB3B3E"/>
    <w:rsid w:val="00EB6C5E"/>
    <w:rsid w:val="00EC33D2"/>
    <w:rsid w:val="00F02DC7"/>
    <w:rsid w:val="00F032EC"/>
    <w:rsid w:val="00F130A7"/>
    <w:rsid w:val="00F24DC1"/>
    <w:rsid w:val="00F3167F"/>
    <w:rsid w:val="00F40D4D"/>
    <w:rsid w:val="00F43113"/>
    <w:rsid w:val="00F55ADF"/>
    <w:rsid w:val="00F67F60"/>
    <w:rsid w:val="00FA2082"/>
    <w:rsid w:val="00FA250A"/>
    <w:rsid w:val="00FA7B23"/>
    <w:rsid w:val="00FB099A"/>
    <w:rsid w:val="00FB3F96"/>
    <w:rsid w:val="00FF3807"/>
    <w:rsid w:val="408AF92A"/>
    <w:rsid w:val="4855D97D"/>
    <w:rsid w:val="48B88B55"/>
    <w:rsid w:val="58759340"/>
    <w:rsid w:val="589A1AB5"/>
    <w:rsid w:val="6A33B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styleId="zmlenmeyenBahsetme">
    <w:name w:val="Unresolved Mention"/>
    <w:basedOn w:val="VarsaylanParagrafYazTipi"/>
    <w:uiPriority w:val="99"/>
    <w:semiHidden/>
    <w:unhideWhenUsed/>
    <w:rsid w:val="00BA1F99"/>
    <w:rPr>
      <w:color w:val="605E5C"/>
      <w:shd w:val="clear" w:color="auto" w:fill="E1DFDD"/>
    </w:rPr>
  </w:style>
  <w:style w:type="table" w:styleId="TabloKlavuzu">
    <w:name w:val="Table Grid"/>
    <w:basedOn w:val="NormalTablo"/>
    <w:uiPriority w:val="39"/>
    <w:rsid w:val="0093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335958060">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120875611">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326200746">
      <w:bodyDiv w:val="1"/>
      <w:marLeft w:val="0"/>
      <w:marRight w:val="0"/>
      <w:marTop w:val="0"/>
      <w:marBottom w:val="0"/>
      <w:divBdr>
        <w:top w:val="none" w:sz="0" w:space="0" w:color="auto"/>
        <w:left w:val="none" w:sz="0" w:space="0" w:color="auto"/>
        <w:bottom w:val="none" w:sz="0" w:space="0" w:color="auto"/>
        <w:right w:val="none" w:sz="0" w:space="0" w:color="auto"/>
      </w:divBdr>
      <w:divsChild>
        <w:div w:id="1037437247">
          <w:marLeft w:val="0"/>
          <w:marRight w:val="0"/>
          <w:marTop w:val="0"/>
          <w:marBottom w:val="0"/>
          <w:divBdr>
            <w:top w:val="none" w:sz="0" w:space="0" w:color="auto"/>
            <w:left w:val="none" w:sz="0" w:space="0" w:color="auto"/>
            <w:bottom w:val="none" w:sz="0" w:space="0" w:color="auto"/>
            <w:right w:val="none" w:sz="0" w:space="0" w:color="auto"/>
          </w:divBdr>
        </w:div>
      </w:divsChild>
    </w:div>
    <w:div w:id="1660503089">
      <w:bodyDiv w:val="1"/>
      <w:marLeft w:val="0"/>
      <w:marRight w:val="0"/>
      <w:marTop w:val="0"/>
      <w:marBottom w:val="0"/>
      <w:divBdr>
        <w:top w:val="none" w:sz="0" w:space="0" w:color="auto"/>
        <w:left w:val="none" w:sz="0" w:space="0" w:color="auto"/>
        <w:bottom w:val="none" w:sz="0" w:space="0" w:color="auto"/>
        <w:right w:val="none" w:sz="0" w:space="0" w:color="auto"/>
      </w:divBdr>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kpmg/content/dam/kpmg/xx/pdf/2022/12/insurance-ceo-outlook-web-repor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24102-6347-4E14-AE3E-A328867965D4}">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1B4740DE-2664-485B-B45B-62F406D5B39C}">
  <ds:schemaRefs>
    <ds:schemaRef ds:uri="http://schemas.microsoft.com/sharepoint/v3/contenttype/forms"/>
  </ds:schemaRefs>
</ds:datastoreItem>
</file>

<file path=customXml/itemProps3.xml><?xml version="1.0" encoding="utf-8"?>
<ds:datastoreItem xmlns:ds="http://schemas.openxmlformats.org/officeDocument/2006/customXml" ds:itemID="{3A369146-C407-48FA-ADD0-3118DFCF2831}">
  <ds:schemaRefs>
    <ds:schemaRef ds:uri="http://schemas.openxmlformats.org/officeDocument/2006/bibliography"/>
  </ds:schemaRefs>
</ds:datastoreItem>
</file>

<file path=customXml/itemProps4.xml><?xml version="1.0" encoding="utf-8"?>
<ds:datastoreItem xmlns:ds="http://schemas.openxmlformats.org/officeDocument/2006/customXml" ds:itemID="{F2E04359-A934-486E-955F-F403D5E3D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7044</Characters>
  <Application>Microsoft Office Word</Application>
  <DocSecurity>0</DocSecurity>
  <Lines>58</Lines>
  <Paragraphs>16</Paragraphs>
  <ScaleCrop>false</ScaleCrop>
  <Company>KPMG</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11</cp:revision>
  <dcterms:created xsi:type="dcterms:W3CDTF">2023-01-11T07:33:00Z</dcterms:created>
  <dcterms:modified xsi:type="dcterms:W3CDTF">2023-01-19T07:41:00Z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