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7918" w14:textId="6CC997DF" w:rsidR="00D322B8" w:rsidRPr="00997F8E" w:rsidRDefault="00D322B8" w:rsidP="00D322B8">
      <w:pPr>
        <w:rPr>
          <w:rFonts w:ascii="Tahoma" w:eastAsia="Tahoma" w:hAnsi="Tahoma" w:cs="Tahoma"/>
          <w:b/>
          <w:u w:val="single"/>
        </w:rPr>
      </w:pPr>
      <w:r w:rsidRPr="00997F8E">
        <w:rPr>
          <w:rFonts w:ascii="Tahoma" w:eastAsia="Tahoma" w:hAnsi="Tahoma" w:cs="Tahoma"/>
          <w:b/>
          <w:u w:val="single"/>
        </w:rPr>
        <w:t>BASIN BÜLTENİ</w:t>
      </w:r>
      <w:r w:rsidRPr="00997F8E">
        <w:rPr>
          <w:rFonts w:ascii="Tahoma" w:eastAsia="Tahoma" w:hAnsi="Tahoma" w:cs="Tahoma"/>
          <w:b/>
          <w:u w:val="single"/>
        </w:rPr>
        <w:tab/>
      </w:r>
      <w:r w:rsidRPr="00997F8E">
        <w:rPr>
          <w:rFonts w:ascii="Tahoma" w:eastAsia="Tahoma" w:hAnsi="Tahoma" w:cs="Tahoma"/>
          <w:b/>
          <w:u w:val="single"/>
        </w:rPr>
        <w:tab/>
      </w:r>
      <w:r w:rsidRPr="00997F8E">
        <w:rPr>
          <w:rFonts w:ascii="Tahoma" w:eastAsia="Tahoma" w:hAnsi="Tahoma" w:cs="Tahoma"/>
          <w:b/>
          <w:u w:val="single"/>
        </w:rPr>
        <w:tab/>
      </w:r>
      <w:r w:rsidRPr="00997F8E">
        <w:rPr>
          <w:rFonts w:ascii="Tahoma" w:eastAsia="Tahoma" w:hAnsi="Tahoma" w:cs="Tahoma"/>
          <w:b/>
          <w:u w:val="single"/>
        </w:rPr>
        <w:tab/>
      </w:r>
      <w:r w:rsidRPr="00997F8E">
        <w:rPr>
          <w:rFonts w:ascii="Tahoma" w:eastAsia="Tahoma" w:hAnsi="Tahoma" w:cs="Tahoma"/>
          <w:b/>
          <w:u w:val="single"/>
        </w:rPr>
        <w:tab/>
        <w:t xml:space="preserve">                                            </w:t>
      </w:r>
      <w:r w:rsidR="00A23CC9" w:rsidRPr="00C4496F">
        <w:rPr>
          <w:rFonts w:ascii="Tahoma" w:eastAsia="Tahoma" w:hAnsi="Tahoma" w:cs="Tahoma"/>
          <w:b/>
          <w:u w:val="single"/>
        </w:rPr>
        <w:t>13</w:t>
      </w:r>
      <w:r w:rsidRPr="00C4496F">
        <w:rPr>
          <w:rFonts w:ascii="Tahoma" w:eastAsia="Tahoma" w:hAnsi="Tahoma" w:cs="Tahoma"/>
          <w:b/>
          <w:u w:val="single"/>
        </w:rPr>
        <w:t>.0</w:t>
      </w:r>
      <w:r w:rsidR="00761AD2" w:rsidRPr="00C4496F">
        <w:rPr>
          <w:rFonts w:ascii="Tahoma" w:eastAsia="Tahoma" w:hAnsi="Tahoma" w:cs="Tahoma"/>
          <w:b/>
          <w:u w:val="single"/>
        </w:rPr>
        <w:t>4</w:t>
      </w:r>
      <w:r w:rsidRPr="00C4496F">
        <w:rPr>
          <w:rFonts w:ascii="Tahoma" w:eastAsia="Tahoma" w:hAnsi="Tahoma" w:cs="Tahoma"/>
          <w:b/>
          <w:u w:val="single"/>
        </w:rPr>
        <w:t>.2022</w:t>
      </w:r>
    </w:p>
    <w:p w14:paraId="335CEAF7" w14:textId="60ACD4D6" w:rsidR="00D322B8" w:rsidRPr="00A23CC9" w:rsidRDefault="00D322B8" w:rsidP="00A23CC9">
      <w:pPr>
        <w:rPr>
          <w:rFonts w:ascii="Arial" w:hAnsi="Arial"/>
          <w:b/>
        </w:rPr>
      </w:pPr>
    </w:p>
    <w:p w14:paraId="1C8B557D" w14:textId="46E54AD6" w:rsidR="006620CF" w:rsidRDefault="006620CF" w:rsidP="006620CF">
      <w:pPr>
        <w:spacing w:after="0" w:line="300" w:lineRule="auto"/>
        <w:contextualSpacing/>
        <w:jc w:val="center"/>
        <w:rPr>
          <w:rFonts w:ascii="Arial" w:hAnsi="Arial" w:cs="Arial"/>
          <w:b/>
          <w:bCs/>
          <w:sz w:val="40"/>
          <w:szCs w:val="40"/>
        </w:rPr>
      </w:pPr>
      <w:r w:rsidRPr="00A23CC9">
        <w:rPr>
          <w:rFonts w:ascii="Arial" w:hAnsi="Arial" w:cs="Arial"/>
          <w:b/>
          <w:bCs/>
          <w:sz w:val="40"/>
          <w:szCs w:val="40"/>
        </w:rPr>
        <w:t xml:space="preserve">KPMG ve Enerji </w:t>
      </w:r>
      <w:proofErr w:type="spellStart"/>
      <w:r w:rsidRPr="00A23CC9">
        <w:rPr>
          <w:rFonts w:ascii="Arial" w:hAnsi="Arial" w:cs="Arial"/>
          <w:b/>
          <w:bCs/>
          <w:sz w:val="40"/>
          <w:szCs w:val="40"/>
        </w:rPr>
        <w:t>IQ’n</w:t>
      </w:r>
      <w:r w:rsidR="00251F02">
        <w:rPr>
          <w:rFonts w:ascii="Arial" w:hAnsi="Arial" w:cs="Arial"/>
          <w:b/>
          <w:bCs/>
          <w:sz w:val="40"/>
          <w:szCs w:val="40"/>
        </w:rPr>
        <w:t>u</w:t>
      </w:r>
      <w:r w:rsidRPr="00A23CC9">
        <w:rPr>
          <w:rFonts w:ascii="Arial" w:hAnsi="Arial" w:cs="Arial"/>
          <w:b/>
          <w:bCs/>
          <w:sz w:val="40"/>
          <w:szCs w:val="40"/>
        </w:rPr>
        <w:t>n</w:t>
      </w:r>
      <w:proofErr w:type="spellEnd"/>
      <w:r w:rsidRPr="00A23CC9">
        <w:rPr>
          <w:rFonts w:ascii="Arial" w:hAnsi="Arial" w:cs="Arial"/>
          <w:b/>
          <w:bCs/>
          <w:sz w:val="40"/>
          <w:szCs w:val="40"/>
        </w:rPr>
        <w:t xml:space="preserve"> Türkiye’nin 2021 enerji piyasası karnesini yansıtan raporu yayımlandı</w:t>
      </w:r>
    </w:p>
    <w:p w14:paraId="0704C3D2" w14:textId="77777777" w:rsidR="00D322B8" w:rsidRPr="00B25D38" w:rsidRDefault="00D322B8" w:rsidP="00D322B8">
      <w:pPr>
        <w:spacing w:after="0" w:line="300" w:lineRule="auto"/>
        <w:contextualSpacing/>
        <w:jc w:val="both"/>
        <w:rPr>
          <w:rFonts w:ascii="Arial" w:hAnsi="Arial" w:cs="Arial"/>
          <w:highlight w:val="yellow"/>
        </w:rPr>
      </w:pPr>
    </w:p>
    <w:p w14:paraId="6FF89B57" w14:textId="6574D705" w:rsidR="001B535E" w:rsidRPr="00197D29" w:rsidRDefault="001B535E" w:rsidP="001B535E">
      <w:pPr>
        <w:spacing w:after="0" w:line="300" w:lineRule="auto"/>
        <w:contextualSpacing/>
        <w:jc w:val="center"/>
        <w:rPr>
          <w:rFonts w:ascii="Arial" w:hAnsi="Arial" w:cs="Arial"/>
          <w:b/>
          <w:bCs/>
          <w:sz w:val="24"/>
          <w:szCs w:val="24"/>
        </w:rPr>
      </w:pPr>
      <w:r w:rsidRPr="00197D29">
        <w:rPr>
          <w:rFonts w:ascii="Arial" w:hAnsi="Arial" w:cs="Arial"/>
          <w:b/>
          <w:bCs/>
          <w:sz w:val="24"/>
          <w:szCs w:val="24"/>
        </w:rPr>
        <w:t xml:space="preserve">KPMG ve Enerji IQ iş birliği ile hazırlanan “Enerji </w:t>
      </w:r>
      <w:proofErr w:type="spellStart"/>
      <w:r w:rsidRPr="00197D29">
        <w:rPr>
          <w:rFonts w:ascii="Arial" w:hAnsi="Arial" w:cs="Arial"/>
          <w:b/>
          <w:bCs/>
          <w:sz w:val="24"/>
          <w:szCs w:val="24"/>
        </w:rPr>
        <w:t>Sektörel</w:t>
      </w:r>
      <w:proofErr w:type="spellEnd"/>
      <w:r w:rsidRPr="00197D29">
        <w:rPr>
          <w:rFonts w:ascii="Arial" w:hAnsi="Arial" w:cs="Arial"/>
          <w:b/>
          <w:bCs/>
          <w:sz w:val="24"/>
          <w:szCs w:val="24"/>
        </w:rPr>
        <w:t xml:space="preserve"> Bakış</w:t>
      </w:r>
      <w:r>
        <w:rPr>
          <w:rFonts w:ascii="Arial" w:hAnsi="Arial" w:cs="Arial"/>
          <w:b/>
          <w:bCs/>
          <w:sz w:val="24"/>
          <w:szCs w:val="24"/>
        </w:rPr>
        <w:t>, 2021</w:t>
      </w:r>
      <w:r w:rsidRPr="00197D29">
        <w:rPr>
          <w:rFonts w:ascii="Arial" w:hAnsi="Arial" w:cs="Arial"/>
          <w:b/>
          <w:bCs/>
          <w:sz w:val="24"/>
          <w:szCs w:val="24"/>
        </w:rPr>
        <w:t xml:space="preserve">” raporu Türkiye'nin elektrik, doğal gaz ve akaryakıt piyasalarının 2021 yılındaki görünümüne dair önemli bilgilere yer veriliyor. Rapora göre Türkiye’de toplam elektrik tüketiminde %9’luk yıllık büyüme yaşanırken meskenlerde yıllık elektrik tüketimi yaklaşık 3.000 </w:t>
      </w:r>
      <w:proofErr w:type="spellStart"/>
      <w:r w:rsidRPr="00197D29">
        <w:rPr>
          <w:rFonts w:ascii="Arial" w:hAnsi="Arial" w:cs="Arial"/>
          <w:b/>
          <w:bCs/>
          <w:sz w:val="24"/>
          <w:szCs w:val="24"/>
        </w:rPr>
        <w:t>kWh</w:t>
      </w:r>
      <w:proofErr w:type="spellEnd"/>
      <w:r w:rsidRPr="00197D29">
        <w:rPr>
          <w:rFonts w:ascii="Arial" w:hAnsi="Arial" w:cs="Arial"/>
          <w:b/>
          <w:bCs/>
          <w:sz w:val="24"/>
          <w:szCs w:val="24"/>
        </w:rPr>
        <w:t xml:space="preserve"> oldu. Doğal gaz talebinin </w:t>
      </w:r>
      <w:r>
        <w:rPr>
          <w:rFonts w:ascii="Arial" w:hAnsi="Arial" w:cs="Arial"/>
          <w:b/>
          <w:bCs/>
          <w:sz w:val="24"/>
          <w:szCs w:val="24"/>
        </w:rPr>
        <w:t xml:space="preserve">neredeyse tamamının </w:t>
      </w:r>
      <w:r w:rsidRPr="00197D29">
        <w:rPr>
          <w:rFonts w:ascii="Arial" w:hAnsi="Arial" w:cs="Arial"/>
          <w:b/>
          <w:bCs/>
          <w:sz w:val="24"/>
          <w:szCs w:val="24"/>
        </w:rPr>
        <w:t xml:space="preserve">ithalat yoluyla karşılandığının ve en fazla doğal gaz ithal edilen ülkenin Rusya olduğunun belirtildiği rapora göre Türkiye’nin ham petrol stoku, net ithalatı 100 gün karşılamaya yetecek düzeyde. </w:t>
      </w:r>
    </w:p>
    <w:p w14:paraId="78FFFAB0" w14:textId="77777777" w:rsidR="00D322B8" w:rsidRPr="00997F8E" w:rsidRDefault="00D322B8" w:rsidP="004A399D">
      <w:pPr>
        <w:spacing w:after="0" w:line="300" w:lineRule="auto"/>
        <w:contextualSpacing/>
        <w:jc w:val="both"/>
        <w:rPr>
          <w:rFonts w:ascii="Arial" w:hAnsi="Arial" w:cs="Arial"/>
        </w:rPr>
      </w:pPr>
    </w:p>
    <w:p w14:paraId="005AD3C4" w14:textId="4691E995" w:rsidR="00B05134" w:rsidRDefault="00C33EC5" w:rsidP="00C76ED8">
      <w:pPr>
        <w:spacing w:after="0" w:line="300" w:lineRule="auto"/>
        <w:contextualSpacing/>
        <w:jc w:val="both"/>
        <w:rPr>
          <w:rFonts w:ascii="Arial" w:hAnsi="Arial" w:cs="Arial"/>
        </w:rPr>
      </w:pPr>
      <w:r w:rsidRPr="00C33EC5">
        <w:rPr>
          <w:rFonts w:ascii="Arial" w:hAnsi="Arial" w:cs="Arial"/>
        </w:rPr>
        <w:t>Denetim, vergi, kurumsal finansman ve danışmanlık alanında teknoloji temelli hizmetler sunan</w:t>
      </w:r>
      <w:r>
        <w:rPr>
          <w:rFonts w:ascii="Arial" w:hAnsi="Arial" w:cs="Arial"/>
        </w:rPr>
        <w:t xml:space="preserve"> </w:t>
      </w:r>
      <w:r w:rsidR="00B05134" w:rsidRPr="00B05134">
        <w:rPr>
          <w:rFonts w:ascii="Arial" w:hAnsi="Arial" w:cs="Arial"/>
        </w:rPr>
        <w:t>KPMG ve</w:t>
      </w:r>
      <w:r w:rsidR="00AC557A">
        <w:rPr>
          <w:rFonts w:ascii="Arial" w:hAnsi="Arial" w:cs="Arial"/>
        </w:rPr>
        <w:t xml:space="preserve"> e</w:t>
      </w:r>
      <w:r w:rsidR="00AC557A" w:rsidRPr="00AC557A">
        <w:rPr>
          <w:rFonts w:ascii="Arial" w:hAnsi="Arial" w:cs="Arial"/>
        </w:rPr>
        <w:t xml:space="preserve">nerji </w:t>
      </w:r>
      <w:r w:rsidR="00AC557A">
        <w:rPr>
          <w:rFonts w:ascii="Arial" w:hAnsi="Arial" w:cs="Arial"/>
        </w:rPr>
        <w:t>p</w:t>
      </w:r>
      <w:r w:rsidR="00AC557A" w:rsidRPr="00AC557A">
        <w:rPr>
          <w:rFonts w:ascii="Arial" w:hAnsi="Arial" w:cs="Arial"/>
        </w:rPr>
        <w:t>iyasası</w:t>
      </w:r>
      <w:r w:rsidR="00AC557A">
        <w:rPr>
          <w:rFonts w:ascii="Arial" w:hAnsi="Arial" w:cs="Arial"/>
        </w:rPr>
        <w:t>na yönelik b</w:t>
      </w:r>
      <w:r w:rsidR="00AC557A" w:rsidRPr="00AC557A">
        <w:rPr>
          <w:rFonts w:ascii="Arial" w:hAnsi="Arial" w:cs="Arial"/>
        </w:rPr>
        <w:t xml:space="preserve">ilgi ve </w:t>
      </w:r>
      <w:r w:rsidR="00AC557A">
        <w:rPr>
          <w:rFonts w:ascii="Arial" w:hAnsi="Arial" w:cs="Arial"/>
        </w:rPr>
        <w:t>d</w:t>
      </w:r>
      <w:r w:rsidR="00AC557A" w:rsidRPr="00AC557A">
        <w:rPr>
          <w:rFonts w:ascii="Arial" w:hAnsi="Arial" w:cs="Arial"/>
        </w:rPr>
        <w:t xml:space="preserve">anışmanlık </w:t>
      </w:r>
      <w:r w:rsidR="00AC557A">
        <w:rPr>
          <w:rFonts w:ascii="Arial" w:hAnsi="Arial" w:cs="Arial"/>
        </w:rPr>
        <w:t>h</w:t>
      </w:r>
      <w:r w:rsidR="00AC557A" w:rsidRPr="00AC557A">
        <w:rPr>
          <w:rFonts w:ascii="Arial" w:hAnsi="Arial" w:cs="Arial"/>
        </w:rPr>
        <w:t>izmetleri</w:t>
      </w:r>
      <w:r w:rsidR="00B05134" w:rsidRPr="00B05134">
        <w:rPr>
          <w:rFonts w:ascii="Arial" w:hAnsi="Arial" w:cs="Arial"/>
        </w:rPr>
        <w:t xml:space="preserve"> </w:t>
      </w:r>
      <w:r w:rsidR="00AC557A">
        <w:rPr>
          <w:rFonts w:ascii="Arial" w:hAnsi="Arial" w:cs="Arial"/>
        </w:rPr>
        <w:t xml:space="preserve">veren </w:t>
      </w:r>
      <w:r w:rsidR="00B05134" w:rsidRPr="00B05134">
        <w:rPr>
          <w:rFonts w:ascii="Arial" w:hAnsi="Arial" w:cs="Arial"/>
        </w:rPr>
        <w:t xml:space="preserve">Enerji IQ tarafından </w:t>
      </w:r>
      <w:r w:rsidR="00C97C6C">
        <w:rPr>
          <w:rFonts w:ascii="Arial" w:hAnsi="Arial" w:cs="Arial"/>
        </w:rPr>
        <w:t xml:space="preserve">ortak hazırlanan, </w:t>
      </w:r>
      <w:r w:rsidR="00AC557A">
        <w:rPr>
          <w:rFonts w:ascii="Arial" w:hAnsi="Arial" w:cs="Arial"/>
        </w:rPr>
        <w:t xml:space="preserve">Türkiye’deki enerji sektörünün </w:t>
      </w:r>
      <w:r w:rsidR="00AC557A" w:rsidRPr="00B05134">
        <w:rPr>
          <w:rFonts w:ascii="Arial" w:hAnsi="Arial" w:cs="Arial"/>
        </w:rPr>
        <w:t>2021 yılı</w:t>
      </w:r>
      <w:r w:rsidR="00AC557A">
        <w:rPr>
          <w:rFonts w:ascii="Arial" w:hAnsi="Arial" w:cs="Arial"/>
        </w:rPr>
        <w:t xml:space="preserve"> görünümünü ortaya koyan </w:t>
      </w:r>
      <w:r>
        <w:rPr>
          <w:rFonts w:ascii="Arial" w:hAnsi="Arial" w:cs="Arial"/>
        </w:rPr>
        <w:t>“</w:t>
      </w:r>
      <w:r w:rsidRPr="00C33EC5">
        <w:rPr>
          <w:rFonts w:ascii="Arial" w:hAnsi="Arial" w:cs="Arial"/>
        </w:rPr>
        <w:t xml:space="preserve">Enerji </w:t>
      </w:r>
      <w:proofErr w:type="spellStart"/>
      <w:r w:rsidRPr="00C33EC5">
        <w:rPr>
          <w:rFonts w:ascii="Arial" w:hAnsi="Arial" w:cs="Arial"/>
        </w:rPr>
        <w:t>Sektörel</w:t>
      </w:r>
      <w:proofErr w:type="spellEnd"/>
      <w:r>
        <w:rPr>
          <w:rFonts w:ascii="Arial" w:hAnsi="Arial" w:cs="Arial"/>
        </w:rPr>
        <w:t xml:space="preserve"> </w:t>
      </w:r>
      <w:r w:rsidRPr="00C33EC5">
        <w:rPr>
          <w:rFonts w:ascii="Arial" w:hAnsi="Arial" w:cs="Arial"/>
        </w:rPr>
        <w:t>Bakış</w:t>
      </w:r>
      <w:r>
        <w:rPr>
          <w:rFonts w:ascii="Arial" w:hAnsi="Arial" w:cs="Arial"/>
        </w:rPr>
        <w:t>” raporu</w:t>
      </w:r>
      <w:r w:rsidR="00AC557A">
        <w:rPr>
          <w:rFonts w:ascii="Arial" w:hAnsi="Arial" w:cs="Arial"/>
        </w:rPr>
        <w:t xml:space="preserve"> yayı</w:t>
      </w:r>
      <w:r w:rsidR="001B535E">
        <w:rPr>
          <w:rFonts w:ascii="Arial" w:hAnsi="Arial" w:cs="Arial"/>
        </w:rPr>
        <w:t>m</w:t>
      </w:r>
      <w:r w:rsidR="00AC557A">
        <w:rPr>
          <w:rFonts w:ascii="Arial" w:hAnsi="Arial" w:cs="Arial"/>
        </w:rPr>
        <w:t xml:space="preserve">landı. Global </w:t>
      </w:r>
      <w:r w:rsidR="00445F3E" w:rsidRPr="00445F3E">
        <w:rPr>
          <w:rFonts w:ascii="Arial" w:hAnsi="Arial" w:cs="Arial"/>
        </w:rPr>
        <w:t xml:space="preserve">ve </w:t>
      </w:r>
      <w:r w:rsidR="00AC557A">
        <w:rPr>
          <w:rFonts w:ascii="Arial" w:hAnsi="Arial" w:cs="Arial"/>
        </w:rPr>
        <w:t xml:space="preserve">yerel </w:t>
      </w:r>
      <w:r w:rsidR="00AC557A" w:rsidRPr="00445F3E">
        <w:rPr>
          <w:rFonts w:ascii="Arial" w:hAnsi="Arial" w:cs="Arial"/>
        </w:rPr>
        <w:t>ekonomik görünümü</w:t>
      </w:r>
      <w:r w:rsidR="00AC557A">
        <w:rPr>
          <w:rFonts w:ascii="Arial" w:hAnsi="Arial" w:cs="Arial"/>
        </w:rPr>
        <w:t xml:space="preserve">n yanı sıra </w:t>
      </w:r>
      <w:r w:rsidR="00445F3E" w:rsidRPr="00445F3E">
        <w:rPr>
          <w:rFonts w:ascii="Arial" w:hAnsi="Arial" w:cs="Arial"/>
        </w:rPr>
        <w:t xml:space="preserve">son küresel gelişmeler ışığında hazırlanan raporda, Türkiye'nin elektrik, doğal gaz ve akaryakıt piyasalarının </w:t>
      </w:r>
      <w:r w:rsidR="00445F3E">
        <w:rPr>
          <w:rFonts w:ascii="Arial" w:hAnsi="Arial" w:cs="Arial"/>
        </w:rPr>
        <w:t xml:space="preserve">görünümüne </w:t>
      </w:r>
      <w:r w:rsidR="00AC557A">
        <w:rPr>
          <w:rFonts w:ascii="Arial" w:hAnsi="Arial" w:cs="Arial"/>
        </w:rPr>
        <w:t xml:space="preserve">dair önemli bilgilere </w:t>
      </w:r>
      <w:r w:rsidR="00445F3E" w:rsidRPr="00445F3E">
        <w:rPr>
          <w:rFonts w:ascii="Arial" w:hAnsi="Arial" w:cs="Arial"/>
        </w:rPr>
        <w:t>yer veriliyor.</w:t>
      </w:r>
    </w:p>
    <w:p w14:paraId="57ECF742" w14:textId="38D67E96" w:rsidR="00DB4AB8" w:rsidRDefault="00DB4AB8" w:rsidP="00C76ED8">
      <w:pPr>
        <w:spacing w:after="0" w:line="300" w:lineRule="auto"/>
        <w:contextualSpacing/>
        <w:jc w:val="both"/>
        <w:rPr>
          <w:rFonts w:ascii="Arial" w:hAnsi="Arial" w:cs="Arial"/>
        </w:rPr>
      </w:pPr>
    </w:p>
    <w:p w14:paraId="17C311A4" w14:textId="372F7F66" w:rsidR="00DB4AB8" w:rsidRDefault="00DB4AB8" w:rsidP="00A23CC9">
      <w:pPr>
        <w:spacing w:after="0" w:line="300" w:lineRule="auto"/>
        <w:contextualSpacing/>
        <w:jc w:val="both"/>
        <w:rPr>
          <w:rFonts w:ascii="Arial" w:hAnsi="Arial" w:cs="Arial"/>
        </w:rPr>
      </w:pPr>
      <w:r w:rsidRPr="00A23CC9">
        <w:rPr>
          <w:rFonts w:ascii="Arial" w:hAnsi="Arial" w:cs="Arial"/>
        </w:rPr>
        <w:t xml:space="preserve">Raporla ilgili değerlendirmede bulunan </w:t>
      </w:r>
      <w:r w:rsidRPr="006A7309">
        <w:rPr>
          <w:rFonts w:ascii="Arial" w:hAnsi="Arial" w:cs="Arial"/>
          <w:b/>
          <w:bCs/>
        </w:rPr>
        <w:t xml:space="preserve">KPMG </w:t>
      </w:r>
      <w:r w:rsidR="00376EE4" w:rsidRPr="006A7309">
        <w:rPr>
          <w:rFonts w:ascii="Arial" w:hAnsi="Arial" w:cs="Arial"/>
          <w:b/>
          <w:bCs/>
        </w:rPr>
        <w:t>Türkiye Petrol ve Doğal Gaz Lideri Hakan Demirelli</w:t>
      </w:r>
      <w:r w:rsidRPr="00497BB9">
        <w:rPr>
          <w:rFonts w:ascii="Arial" w:hAnsi="Arial" w:cs="Arial"/>
        </w:rPr>
        <w:t>, “</w:t>
      </w:r>
      <w:r w:rsidR="00376EE4" w:rsidRPr="00497BB9">
        <w:rPr>
          <w:rFonts w:ascii="Arial" w:hAnsi="Arial" w:cs="Arial"/>
        </w:rPr>
        <w:t>Enerji sektörünün küresel trendleri ve yerel gündeme ilişkin yorumların yanı sıra Türkiye elektrik, doğal gaz ve akaryakıt piyasalarının geçmiş dönemlerle karşılaştırmalı 2021 yılı analizlerini içeren raporumuz, enerji piyasalarına ilgi duyan herkese bu konularda tek başına yeterli bir kaynak olma özelliği taşıyor</w:t>
      </w:r>
      <w:r w:rsidRPr="00497BB9">
        <w:rPr>
          <w:rFonts w:ascii="Arial" w:hAnsi="Arial" w:cs="Arial"/>
        </w:rPr>
        <w:t>” dedi.</w:t>
      </w:r>
    </w:p>
    <w:p w14:paraId="1ADCA62E" w14:textId="77777777" w:rsidR="00A23CC9" w:rsidRDefault="00A23CC9" w:rsidP="00A23CC9">
      <w:pPr>
        <w:spacing w:after="0" w:line="300" w:lineRule="auto"/>
        <w:contextualSpacing/>
        <w:jc w:val="both"/>
        <w:rPr>
          <w:rFonts w:ascii="Arial" w:hAnsi="Arial" w:cs="Arial"/>
        </w:rPr>
      </w:pPr>
    </w:p>
    <w:p w14:paraId="20C0C448" w14:textId="343736D6" w:rsidR="00376EE4" w:rsidRPr="00497BB9" w:rsidRDefault="00376EE4" w:rsidP="00A23CC9">
      <w:pPr>
        <w:spacing w:after="0" w:line="300" w:lineRule="auto"/>
        <w:contextualSpacing/>
        <w:jc w:val="both"/>
        <w:rPr>
          <w:rFonts w:ascii="Arial" w:hAnsi="Arial" w:cs="Arial"/>
        </w:rPr>
      </w:pPr>
      <w:r w:rsidRPr="006A7309">
        <w:rPr>
          <w:rFonts w:ascii="Arial" w:hAnsi="Arial" w:cs="Arial"/>
          <w:b/>
          <w:bCs/>
        </w:rPr>
        <w:t xml:space="preserve">KPMG Türkiye Elektrik ve Altyapı Lideri Erman Durmaz </w:t>
      </w:r>
      <w:r w:rsidRPr="006A7309">
        <w:rPr>
          <w:rFonts w:ascii="Arial" w:hAnsi="Arial" w:cs="Arial"/>
        </w:rPr>
        <w:t>ise raporu</w:t>
      </w:r>
      <w:r w:rsidR="00A23CC9" w:rsidRPr="006A7309">
        <w:rPr>
          <w:rFonts w:ascii="Arial" w:hAnsi="Arial" w:cs="Arial"/>
        </w:rPr>
        <w:t>,</w:t>
      </w:r>
      <w:r>
        <w:rPr>
          <w:rFonts w:ascii="Arial" w:hAnsi="Arial" w:cs="Arial"/>
        </w:rPr>
        <w:t xml:space="preserve"> “</w:t>
      </w:r>
      <w:r w:rsidRPr="00497BB9">
        <w:rPr>
          <w:rFonts w:ascii="Arial" w:hAnsi="Arial" w:cs="Arial"/>
        </w:rPr>
        <w:t xml:space="preserve">Enerji sektöründeki dijital yenilik, piyasalardaki değişkenlik ve </w:t>
      </w:r>
      <w:proofErr w:type="spellStart"/>
      <w:r w:rsidRPr="00497BB9">
        <w:rPr>
          <w:rFonts w:ascii="Arial" w:hAnsi="Arial" w:cs="Arial"/>
        </w:rPr>
        <w:t>dekarbonizasyon</w:t>
      </w:r>
      <w:proofErr w:type="spellEnd"/>
      <w:r w:rsidRPr="00497BB9">
        <w:rPr>
          <w:rFonts w:ascii="Arial" w:hAnsi="Arial" w:cs="Arial"/>
        </w:rPr>
        <w:t xml:space="preserve"> için artan talep ve diğer faktörlerin yönlendirdiği dönüşümü ele alan 2021 yılı enerji sektörü raporumuzun sektördeki tüm oyuncalar için işlerini nasıl ayarlayacaklarını, değişen müşteri taleplerini nasıl karşılayacaklarını ve yeni fırsatlardan nasıl yararlanacaklarını araştırırken yararlanabilecekleri iyi bir kaynak olacağını inanıyorum” şeklinde değerlendirdi.</w:t>
      </w:r>
    </w:p>
    <w:p w14:paraId="26BF7478" w14:textId="77777777" w:rsidR="00A23CC9" w:rsidRDefault="00A23CC9" w:rsidP="00A23CC9">
      <w:pPr>
        <w:spacing w:after="0" w:line="300" w:lineRule="auto"/>
        <w:contextualSpacing/>
        <w:jc w:val="both"/>
        <w:rPr>
          <w:rFonts w:ascii="Arial" w:hAnsi="Arial" w:cs="Arial"/>
        </w:rPr>
      </w:pPr>
    </w:p>
    <w:p w14:paraId="3217DCC9" w14:textId="453F6DDC" w:rsidR="00376EE4" w:rsidRPr="00497BB9" w:rsidRDefault="00A23CC9" w:rsidP="00A23CC9">
      <w:pPr>
        <w:spacing w:after="0" w:line="300" w:lineRule="auto"/>
        <w:contextualSpacing/>
        <w:jc w:val="both"/>
        <w:rPr>
          <w:rFonts w:ascii="Arial" w:hAnsi="Arial" w:cs="Arial"/>
        </w:rPr>
      </w:pPr>
      <w:r>
        <w:rPr>
          <w:rFonts w:ascii="Arial" w:hAnsi="Arial" w:cs="Arial"/>
        </w:rPr>
        <w:t>E</w:t>
      </w:r>
      <w:r w:rsidR="00376EE4" w:rsidRPr="00497BB9">
        <w:rPr>
          <w:rFonts w:ascii="Arial" w:hAnsi="Arial" w:cs="Arial"/>
        </w:rPr>
        <w:t xml:space="preserve">nerji piyasasında doğru bilgiye ve güvenilir analize hızlı ulaşmanın artan önemine dikkat </w:t>
      </w:r>
      <w:r>
        <w:rPr>
          <w:rFonts w:ascii="Arial" w:hAnsi="Arial" w:cs="Arial"/>
        </w:rPr>
        <w:t xml:space="preserve">çeken </w:t>
      </w:r>
      <w:r w:rsidRPr="00DF34E9">
        <w:rPr>
          <w:rFonts w:ascii="Arial" w:hAnsi="Arial" w:cs="Arial"/>
          <w:b/>
          <w:bCs/>
        </w:rPr>
        <w:t>Enerji IQ Bilgi Servisleri Genel Müdürü Emre Ertürk</w:t>
      </w:r>
      <w:r>
        <w:rPr>
          <w:rFonts w:ascii="Arial" w:hAnsi="Arial" w:cs="Arial"/>
        </w:rPr>
        <w:t xml:space="preserve"> de </w:t>
      </w:r>
      <w:r w:rsidR="00376EE4" w:rsidRPr="00497BB9">
        <w:rPr>
          <w:rFonts w:ascii="Arial" w:hAnsi="Arial" w:cs="Arial"/>
        </w:rPr>
        <w:t>“Enerji piyasasında veriye erişimin önündeki engeller büyük oranda kalktı. Ancak, güvenilir bilgiye ve öngörüye dayanan analizlere duyulan ihtiyaç sürekli artıyor. KPMG ile birlikte hazırladığımız raporun, bu gereksinimi karşılamasını umuyoruz” dedi.</w:t>
      </w:r>
    </w:p>
    <w:p w14:paraId="78BC6AB2" w14:textId="08CBD61D" w:rsidR="00B05134" w:rsidRDefault="00376EE4" w:rsidP="006A7309">
      <w:pPr>
        <w:rPr>
          <w:rFonts w:ascii="Arial" w:hAnsi="Arial" w:cs="Arial"/>
        </w:rPr>
      </w:pPr>
      <w:r w:rsidRPr="00497BB9">
        <w:rPr>
          <w:rFonts w:ascii="Arial" w:hAnsi="Arial" w:cs="Arial"/>
        </w:rPr>
        <w:t xml:space="preserve"> </w:t>
      </w:r>
    </w:p>
    <w:p w14:paraId="2AC7BAB3" w14:textId="282B274E" w:rsidR="00AC557A" w:rsidRDefault="00AC557A" w:rsidP="00445F3E">
      <w:pPr>
        <w:spacing w:after="0" w:line="300" w:lineRule="auto"/>
        <w:contextualSpacing/>
        <w:jc w:val="both"/>
        <w:rPr>
          <w:rFonts w:ascii="Arial" w:hAnsi="Arial" w:cs="Arial"/>
          <w:b/>
          <w:bCs/>
        </w:rPr>
      </w:pPr>
      <w:r w:rsidRPr="00AC557A">
        <w:rPr>
          <w:rFonts w:ascii="Arial" w:hAnsi="Arial" w:cs="Arial"/>
          <w:b/>
          <w:bCs/>
        </w:rPr>
        <w:lastRenderedPageBreak/>
        <w:t>Yenilenebilir enerji kaynaklarının elektrik üretimindeki aylık payı ilk defa 50’ye ulaştı</w:t>
      </w:r>
    </w:p>
    <w:p w14:paraId="7D7A579E" w14:textId="087FA0AC" w:rsidR="00445F3E" w:rsidRDefault="00AC557A" w:rsidP="00445F3E">
      <w:pPr>
        <w:spacing w:after="0" w:line="300" w:lineRule="auto"/>
        <w:contextualSpacing/>
        <w:jc w:val="both"/>
        <w:rPr>
          <w:rFonts w:ascii="Arial" w:hAnsi="Arial" w:cs="Arial"/>
        </w:rPr>
      </w:pPr>
      <w:r>
        <w:rPr>
          <w:rFonts w:ascii="Arial" w:hAnsi="Arial" w:cs="Arial"/>
        </w:rPr>
        <w:t xml:space="preserve">Rapora göre </w:t>
      </w:r>
      <w:r w:rsidR="00445F3E" w:rsidRPr="00445F3E">
        <w:rPr>
          <w:rFonts w:ascii="Arial" w:hAnsi="Arial" w:cs="Arial"/>
        </w:rPr>
        <w:t>2021 yılında Türkiye’nin elektrik üretimi %9 artışla</w:t>
      </w:r>
      <w:r w:rsidR="00445F3E">
        <w:rPr>
          <w:rFonts w:ascii="Arial" w:hAnsi="Arial" w:cs="Arial"/>
        </w:rPr>
        <w:t xml:space="preserve"> </w:t>
      </w:r>
      <w:r w:rsidR="00445F3E" w:rsidRPr="00445F3E">
        <w:rPr>
          <w:rFonts w:ascii="Arial" w:hAnsi="Arial" w:cs="Arial"/>
        </w:rPr>
        <w:t xml:space="preserve">329 </w:t>
      </w:r>
      <w:proofErr w:type="spellStart"/>
      <w:r w:rsidR="00445F3E" w:rsidRPr="00445F3E">
        <w:rPr>
          <w:rFonts w:ascii="Arial" w:hAnsi="Arial" w:cs="Arial"/>
        </w:rPr>
        <w:t>TWh’e</w:t>
      </w:r>
      <w:proofErr w:type="spellEnd"/>
      <w:r w:rsidR="00445F3E" w:rsidRPr="00445F3E">
        <w:rPr>
          <w:rFonts w:ascii="Arial" w:hAnsi="Arial" w:cs="Arial"/>
        </w:rPr>
        <w:t xml:space="preserve"> ulaştı. </w:t>
      </w:r>
      <w:r w:rsidRPr="00445F3E">
        <w:rPr>
          <w:rFonts w:ascii="Arial" w:hAnsi="Arial" w:cs="Arial"/>
        </w:rPr>
        <w:t>Rüzgâr</w:t>
      </w:r>
      <w:r w:rsidR="00445F3E" w:rsidRPr="00445F3E">
        <w:rPr>
          <w:rFonts w:ascii="Arial" w:hAnsi="Arial" w:cs="Arial"/>
        </w:rPr>
        <w:t xml:space="preserve"> ve güneş santrallerinin elektrik</w:t>
      </w:r>
      <w:r w:rsidR="00445F3E">
        <w:rPr>
          <w:rFonts w:ascii="Arial" w:hAnsi="Arial" w:cs="Arial"/>
        </w:rPr>
        <w:t xml:space="preserve"> </w:t>
      </w:r>
      <w:r w:rsidR="00445F3E" w:rsidRPr="00445F3E">
        <w:rPr>
          <w:rFonts w:ascii="Arial" w:hAnsi="Arial" w:cs="Arial"/>
        </w:rPr>
        <w:t>üretiminde payı toplamda %13’e çıkarken, düşük su</w:t>
      </w:r>
      <w:r w:rsidR="00445F3E">
        <w:rPr>
          <w:rFonts w:ascii="Arial" w:hAnsi="Arial" w:cs="Arial"/>
        </w:rPr>
        <w:t xml:space="preserve"> </w:t>
      </w:r>
      <w:r w:rsidR="00445F3E" w:rsidRPr="00445F3E">
        <w:rPr>
          <w:rFonts w:ascii="Arial" w:hAnsi="Arial" w:cs="Arial"/>
        </w:rPr>
        <w:t>seviyelerinden dolayı hidroelektrik santrallerin yıllık elektrik</w:t>
      </w:r>
      <w:r w:rsidR="00445F3E">
        <w:rPr>
          <w:rFonts w:ascii="Arial" w:hAnsi="Arial" w:cs="Arial"/>
        </w:rPr>
        <w:t xml:space="preserve"> </w:t>
      </w:r>
      <w:r w:rsidR="00445F3E" w:rsidRPr="00445F3E">
        <w:rPr>
          <w:rFonts w:ascii="Arial" w:hAnsi="Arial" w:cs="Arial"/>
        </w:rPr>
        <w:t>üretiminde %29 azalma kaydedildi. Elektrik enerjisi</w:t>
      </w:r>
      <w:r w:rsidR="00445F3E">
        <w:rPr>
          <w:rFonts w:ascii="Arial" w:hAnsi="Arial" w:cs="Arial"/>
        </w:rPr>
        <w:t xml:space="preserve"> </w:t>
      </w:r>
      <w:r w:rsidR="00445F3E" w:rsidRPr="00445F3E">
        <w:rPr>
          <w:rFonts w:ascii="Arial" w:hAnsi="Arial" w:cs="Arial"/>
        </w:rPr>
        <w:t>üretiminde hidroelektrik santrallerinin payındaki bu düşüş,</w:t>
      </w:r>
      <w:r w:rsidR="00445F3E">
        <w:rPr>
          <w:rFonts w:ascii="Arial" w:hAnsi="Arial" w:cs="Arial"/>
        </w:rPr>
        <w:t xml:space="preserve"> </w:t>
      </w:r>
      <w:r w:rsidR="00445F3E" w:rsidRPr="00445F3E">
        <w:rPr>
          <w:rFonts w:ascii="Arial" w:hAnsi="Arial" w:cs="Arial"/>
        </w:rPr>
        <w:t>doğal gaz santrallerindeki artan üretim ile karşılandı. Güneşe</w:t>
      </w:r>
      <w:r w:rsidR="00445F3E">
        <w:rPr>
          <w:rFonts w:ascii="Arial" w:hAnsi="Arial" w:cs="Arial"/>
        </w:rPr>
        <w:t xml:space="preserve"> </w:t>
      </w:r>
      <w:r w:rsidR="00445F3E" w:rsidRPr="00445F3E">
        <w:rPr>
          <w:rFonts w:ascii="Arial" w:hAnsi="Arial" w:cs="Arial"/>
        </w:rPr>
        <w:t xml:space="preserve">dayalı kurulu güç yıl sonunda 7,9 </w:t>
      </w:r>
      <w:proofErr w:type="spellStart"/>
      <w:r w:rsidR="00445F3E" w:rsidRPr="00445F3E">
        <w:rPr>
          <w:rFonts w:ascii="Arial" w:hAnsi="Arial" w:cs="Arial"/>
        </w:rPr>
        <w:t>GW’a</w:t>
      </w:r>
      <w:proofErr w:type="spellEnd"/>
      <w:r w:rsidR="00445F3E" w:rsidRPr="00445F3E">
        <w:rPr>
          <w:rFonts w:ascii="Arial" w:hAnsi="Arial" w:cs="Arial"/>
        </w:rPr>
        <w:t xml:space="preserve"> ulaşırken, toplam</w:t>
      </w:r>
      <w:r w:rsidR="00445F3E">
        <w:rPr>
          <w:rFonts w:ascii="Arial" w:hAnsi="Arial" w:cs="Arial"/>
        </w:rPr>
        <w:t xml:space="preserve"> </w:t>
      </w:r>
      <w:r w:rsidR="00445F3E" w:rsidRPr="00445F3E">
        <w:rPr>
          <w:rFonts w:ascii="Arial" w:hAnsi="Arial" w:cs="Arial"/>
        </w:rPr>
        <w:t xml:space="preserve">117 </w:t>
      </w:r>
      <w:proofErr w:type="spellStart"/>
      <w:r w:rsidR="00445F3E" w:rsidRPr="00445F3E">
        <w:rPr>
          <w:rFonts w:ascii="Arial" w:hAnsi="Arial" w:cs="Arial"/>
        </w:rPr>
        <w:t>TWh</w:t>
      </w:r>
      <w:proofErr w:type="spellEnd"/>
      <w:r w:rsidR="00445F3E" w:rsidRPr="00445F3E">
        <w:rPr>
          <w:rFonts w:ascii="Arial" w:hAnsi="Arial" w:cs="Arial"/>
        </w:rPr>
        <w:t xml:space="preserve"> olarak gerçekleşen yenilenebilir üretimin %64’ü</w:t>
      </w:r>
      <w:r w:rsidR="00445F3E">
        <w:rPr>
          <w:rFonts w:ascii="Arial" w:hAnsi="Arial" w:cs="Arial"/>
        </w:rPr>
        <w:t xml:space="preserve"> </w:t>
      </w:r>
      <w:r w:rsidR="00445F3E" w:rsidRPr="00445F3E">
        <w:rPr>
          <w:rFonts w:ascii="Arial" w:hAnsi="Arial" w:cs="Arial"/>
        </w:rPr>
        <w:t>Yenilenebilir Enerji Kaynaklarını Destekleme Mekanizması</w:t>
      </w:r>
      <w:r w:rsidR="00445F3E">
        <w:rPr>
          <w:rFonts w:ascii="Arial" w:hAnsi="Arial" w:cs="Arial"/>
        </w:rPr>
        <w:t xml:space="preserve"> </w:t>
      </w:r>
      <w:r w:rsidR="00445F3E" w:rsidRPr="00445F3E">
        <w:rPr>
          <w:rFonts w:ascii="Arial" w:hAnsi="Arial" w:cs="Arial"/>
        </w:rPr>
        <w:t>(YEKDEM) kapsamında faaliyet gösteren santrallerden</w:t>
      </w:r>
      <w:r w:rsidR="00445F3E">
        <w:rPr>
          <w:rFonts w:ascii="Arial" w:hAnsi="Arial" w:cs="Arial"/>
        </w:rPr>
        <w:t xml:space="preserve"> </w:t>
      </w:r>
      <w:r w:rsidR="00445F3E" w:rsidRPr="00445F3E">
        <w:rPr>
          <w:rFonts w:ascii="Arial" w:hAnsi="Arial" w:cs="Arial"/>
        </w:rPr>
        <w:t>geldi. Yenilenebilir enerji kaynaklarının elektrik üretimindeki</w:t>
      </w:r>
      <w:r w:rsidR="00445F3E">
        <w:rPr>
          <w:rFonts w:ascii="Arial" w:hAnsi="Arial" w:cs="Arial"/>
        </w:rPr>
        <w:t xml:space="preserve"> </w:t>
      </w:r>
      <w:r w:rsidR="00445F3E" w:rsidRPr="00445F3E">
        <w:rPr>
          <w:rFonts w:ascii="Arial" w:hAnsi="Arial" w:cs="Arial"/>
        </w:rPr>
        <w:t>aylık payı ilk defa Nisan 2021’de %50’ye ulaştı.</w:t>
      </w:r>
    </w:p>
    <w:p w14:paraId="64780A2F" w14:textId="14605305" w:rsidR="00445F3E" w:rsidRDefault="00445F3E" w:rsidP="00445F3E">
      <w:pPr>
        <w:spacing w:after="0" w:line="300" w:lineRule="auto"/>
        <w:contextualSpacing/>
        <w:jc w:val="both"/>
        <w:rPr>
          <w:rFonts w:ascii="Arial" w:hAnsi="Arial" w:cs="Arial"/>
        </w:rPr>
      </w:pPr>
    </w:p>
    <w:p w14:paraId="4E5D9259" w14:textId="47A01A59" w:rsidR="00AC557A" w:rsidRPr="001D763A" w:rsidRDefault="00AC557A" w:rsidP="00445F3E">
      <w:pPr>
        <w:spacing w:after="0" w:line="300" w:lineRule="auto"/>
        <w:contextualSpacing/>
        <w:jc w:val="both"/>
        <w:rPr>
          <w:rFonts w:ascii="Arial" w:hAnsi="Arial" w:cs="Arial"/>
          <w:b/>
          <w:bCs/>
        </w:rPr>
      </w:pPr>
      <w:r w:rsidRPr="001D763A">
        <w:rPr>
          <w:rFonts w:ascii="Arial" w:hAnsi="Arial" w:cs="Arial"/>
          <w:b/>
          <w:bCs/>
        </w:rPr>
        <w:t>Toplam elektrik tüketimi</w:t>
      </w:r>
      <w:r w:rsidR="001D763A" w:rsidRPr="001D763A">
        <w:rPr>
          <w:rFonts w:ascii="Arial" w:hAnsi="Arial" w:cs="Arial"/>
          <w:b/>
          <w:bCs/>
        </w:rPr>
        <w:t xml:space="preserve">nde </w:t>
      </w:r>
      <w:r w:rsidRPr="001D763A">
        <w:rPr>
          <w:rFonts w:ascii="Arial" w:hAnsi="Arial" w:cs="Arial"/>
          <w:b/>
          <w:bCs/>
        </w:rPr>
        <w:t>%9’luk yıllık büyüme</w:t>
      </w:r>
      <w:r w:rsidR="001D763A" w:rsidRPr="001D763A">
        <w:rPr>
          <w:rFonts w:ascii="Arial" w:hAnsi="Arial" w:cs="Arial"/>
          <w:b/>
          <w:bCs/>
        </w:rPr>
        <w:t xml:space="preserve"> yaşandı</w:t>
      </w:r>
    </w:p>
    <w:p w14:paraId="5D706A57" w14:textId="4D077067" w:rsidR="00445F3E" w:rsidRDefault="00445F3E" w:rsidP="00445F3E">
      <w:pPr>
        <w:spacing w:after="0" w:line="300" w:lineRule="auto"/>
        <w:contextualSpacing/>
        <w:jc w:val="both"/>
        <w:rPr>
          <w:rFonts w:ascii="Arial" w:hAnsi="Arial" w:cs="Arial"/>
        </w:rPr>
      </w:pPr>
      <w:r w:rsidRPr="00445F3E">
        <w:rPr>
          <w:rFonts w:ascii="Arial" w:hAnsi="Arial" w:cs="Arial"/>
        </w:rPr>
        <w:t xml:space="preserve">Elektrik tüketimindeki yıldan yıla değişim, </w:t>
      </w:r>
      <w:r w:rsidR="00AC557A">
        <w:rPr>
          <w:rFonts w:ascii="Arial" w:hAnsi="Arial" w:cs="Arial"/>
        </w:rPr>
        <w:t>Türkiye’nin</w:t>
      </w:r>
      <w:r w:rsidRPr="00445F3E">
        <w:rPr>
          <w:rFonts w:ascii="Arial" w:hAnsi="Arial" w:cs="Arial"/>
        </w:rPr>
        <w:t xml:space="preserve"> GSYH</w:t>
      </w:r>
      <w:r>
        <w:rPr>
          <w:rFonts w:ascii="Arial" w:hAnsi="Arial" w:cs="Arial"/>
        </w:rPr>
        <w:t xml:space="preserve"> </w:t>
      </w:r>
      <w:r w:rsidRPr="00445F3E">
        <w:rPr>
          <w:rFonts w:ascii="Arial" w:hAnsi="Arial" w:cs="Arial"/>
        </w:rPr>
        <w:t>büyüme oranıyla uyumlu bir şekilde ilerle</w:t>
      </w:r>
      <w:r w:rsidR="00AC557A">
        <w:rPr>
          <w:rFonts w:ascii="Arial" w:hAnsi="Arial" w:cs="Arial"/>
        </w:rPr>
        <w:t>di</w:t>
      </w:r>
      <w:r w:rsidRPr="00445F3E">
        <w:rPr>
          <w:rFonts w:ascii="Arial" w:hAnsi="Arial" w:cs="Arial"/>
        </w:rPr>
        <w:t>. Öte</w:t>
      </w:r>
      <w:r>
        <w:rPr>
          <w:rFonts w:ascii="Arial" w:hAnsi="Arial" w:cs="Arial"/>
        </w:rPr>
        <w:t xml:space="preserve"> </w:t>
      </w:r>
      <w:r w:rsidRPr="00445F3E">
        <w:rPr>
          <w:rFonts w:ascii="Arial" w:hAnsi="Arial" w:cs="Arial"/>
        </w:rPr>
        <w:t>yandan, her yıl artmaya devam eden kişi başı elektrik</w:t>
      </w:r>
      <w:r>
        <w:rPr>
          <w:rFonts w:ascii="Arial" w:hAnsi="Arial" w:cs="Arial"/>
        </w:rPr>
        <w:t xml:space="preserve"> </w:t>
      </w:r>
      <w:r w:rsidRPr="00445F3E">
        <w:rPr>
          <w:rFonts w:ascii="Arial" w:hAnsi="Arial" w:cs="Arial"/>
        </w:rPr>
        <w:t>tüketimi son 10 yıldır kişi başına düşen GSYH’d</w:t>
      </w:r>
      <w:r w:rsidR="00AC557A">
        <w:rPr>
          <w:rFonts w:ascii="Arial" w:hAnsi="Arial" w:cs="Arial"/>
        </w:rPr>
        <w:t>e</w:t>
      </w:r>
      <w:r w:rsidRPr="00445F3E">
        <w:rPr>
          <w:rFonts w:ascii="Arial" w:hAnsi="Arial" w:cs="Arial"/>
        </w:rPr>
        <w:t>n tamamen</w:t>
      </w:r>
      <w:r>
        <w:rPr>
          <w:rFonts w:ascii="Arial" w:hAnsi="Arial" w:cs="Arial"/>
        </w:rPr>
        <w:t xml:space="preserve"> </w:t>
      </w:r>
      <w:r w:rsidRPr="00445F3E">
        <w:rPr>
          <w:rFonts w:ascii="Arial" w:hAnsi="Arial" w:cs="Arial"/>
        </w:rPr>
        <w:t xml:space="preserve">ayrışmış </w:t>
      </w:r>
      <w:r w:rsidR="00AC557A">
        <w:rPr>
          <w:rFonts w:ascii="Arial" w:hAnsi="Arial" w:cs="Arial"/>
        </w:rPr>
        <w:t>göründü</w:t>
      </w:r>
      <w:r w:rsidRPr="00445F3E">
        <w:rPr>
          <w:rFonts w:ascii="Arial" w:hAnsi="Arial" w:cs="Arial"/>
        </w:rPr>
        <w:t>. Türkiye’nin toplam elektrik tüketimi,</w:t>
      </w:r>
      <w:r>
        <w:rPr>
          <w:rFonts w:ascii="Arial" w:hAnsi="Arial" w:cs="Arial"/>
        </w:rPr>
        <w:t xml:space="preserve"> </w:t>
      </w:r>
      <w:r w:rsidRPr="00445F3E">
        <w:rPr>
          <w:rFonts w:ascii="Arial" w:hAnsi="Arial" w:cs="Arial"/>
        </w:rPr>
        <w:t xml:space="preserve">2021 sonu itibarıyla %9’luk yıllık büyümeyle 327 </w:t>
      </w:r>
      <w:proofErr w:type="spellStart"/>
      <w:r w:rsidRPr="00445F3E">
        <w:rPr>
          <w:rFonts w:ascii="Arial" w:hAnsi="Arial" w:cs="Arial"/>
        </w:rPr>
        <w:t>TWh’e</w:t>
      </w:r>
      <w:proofErr w:type="spellEnd"/>
      <w:r>
        <w:rPr>
          <w:rFonts w:ascii="Arial" w:hAnsi="Arial" w:cs="Arial"/>
        </w:rPr>
        <w:t xml:space="preserve"> </w:t>
      </w:r>
      <w:r w:rsidRPr="00445F3E">
        <w:rPr>
          <w:rFonts w:ascii="Arial" w:hAnsi="Arial" w:cs="Arial"/>
        </w:rPr>
        <w:t>ulaştı. Elektrik tüketiminde sanayi %44 ile başı çekerken,</w:t>
      </w:r>
      <w:r>
        <w:rPr>
          <w:rFonts w:ascii="Arial" w:hAnsi="Arial" w:cs="Arial"/>
        </w:rPr>
        <w:t xml:space="preserve"> </w:t>
      </w:r>
      <w:r w:rsidRPr="00445F3E">
        <w:rPr>
          <w:rFonts w:ascii="Arial" w:hAnsi="Arial" w:cs="Arial"/>
        </w:rPr>
        <w:t>bunu %24’lük eşit pay ile mesken ve ticarethaneler</w:t>
      </w:r>
      <w:r>
        <w:rPr>
          <w:rFonts w:ascii="Arial" w:hAnsi="Arial" w:cs="Arial"/>
        </w:rPr>
        <w:t xml:space="preserve"> </w:t>
      </w:r>
      <w:r w:rsidR="00AC557A">
        <w:rPr>
          <w:rFonts w:ascii="Arial" w:hAnsi="Arial" w:cs="Arial"/>
        </w:rPr>
        <w:t>izledi</w:t>
      </w:r>
      <w:r w:rsidRPr="00445F3E">
        <w:rPr>
          <w:rFonts w:ascii="Arial" w:hAnsi="Arial" w:cs="Arial"/>
        </w:rPr>
        <w:t>. Aydınlatma ve tarımsal sulama, sırasıyla %2 ve</w:t>
      </w:r>
      <w:r>
        <w:rPr>
          <w:rFonts w:ascii="Arial" w:hAnsi="Arial" w:cs="Arial"/>
        </w:rPr>
        <w:t xml:space="preserve"> </w:t>
      </w:r>
      <w:r w:rsidRPr="00445F3E">
        <w:rPr>
          <w:rFonts w:ascii="Arial" w:hAnsi="Arial" w:cs="Arial"/>
        </w:rPr>
        <w:t>%5 ile elektriğin diğer tüketim alanlarını oluşturdu.</w:t>
      </w:r>
    </w:p>
    <w:p w14:paraId="68BCE4E5" w14:textId="31A61B21" w:rsidR="00445F3E" w:rsidRDefault="00445F3E" w:rsidP="00445F3E">
      <w:pPr>
        <w:spacing w:after="0" w:line="300" w:lineRule="auto"/>
        <w:contextualSpacing/>
        <w:jc w:val="both"/>
        <w:rPr>
          <w:rFonts w:ascii="Arial" w:hAnsi="Arial" w:cs="Arial"/>
        </w:rPr>
      </w:pPr>
    </w:p>
    <w:p w14:paraId="2C4147CC" w14:textId="306CD418" w:rsidR="001D763A" w:rsidRPr="001D763A" w:rsidRDefault="001D763A" w:rsidP="00445F3E">
      <w:pPr>
        <w:spacing w:after="0" w:line="300" w:lineRule="auto"/>
        <w:contextualSpacing/>
        <w:jc w:val="both"/>
        <w:rPr>
          <w:rFonts w:ascii="Arial" w:hAnsi="Arial" w:cs="Arial"/>
          <w:b/>
          <w:bCs/>
        </w:rPr>
      </w:pPr>
      <w:r w:rsidRPr="001D763A">
        <w:rPr>
          <w:rFonts w:ascii="Arial" w:hAnsi="Arial" w:cs="Arial"/>
          <w:b/>
          <w:bCs/>
        </w:rPr>
        <w:t xml:space="preserve">Meskenlerde yıllık elektrik tüketimi yaklaşık 3.000 </w:t>
      </w:r>
      <w:proofErr w:type="spellStart"/>
      <w:r w:rsidRPr="001D763A">
        <w:rPr>
          <w:rFonts w:ascii="Arial" w:hAnsi="Arial" w:cs="Arial"/>
          <w:b/>
          <w:bCs/>
        </w:rPr>
        <w:t>kWh</w:t>
      </w:r>
      <w:proofErr w:type="spellEnd"/>
      <w:r w:rsidRPr="001D763A">
        <w:rPr>
          <w:rFonts w:ascii="Arial" w:hAnsi="Arial" w:cs="Arial"/>
          <w:b/>
          <w:bCs/>
        </w:rPr>
        <w:t xml:space="preserve"> oldu</w:t>
      </w:r>
    </w:p>
    <w:p w14:paraId="4C6B9715" w14:textId="0AE68B92" w:rsidR="00445F3E" w:rsidRDefault="00445F3E" w:rsidP="00445F3E">
      <w:pPr>
        <w:spacing w:after="0" w:line="300" w:lineRule="auto"/>
        <w:contextualSpacing/>
        <w:jc w:val="both"/>
        <w:rPr>
          <w:rFonts w:ascii="Arial" w:hAnsi="Arial" w:cs="Arial"/>
        </w:rPr>
      </w:pPr>
      <w:r w:rsidRPr="00445F3E">
        <w:rPr>
          <w:rFonts w:ascii="Arial" w:hAnsi="Arial" w:cs="Arial"/>
        </w:rPr>
        <w:t>Yıl sonu itibarıyla mesken abone sayısı 39 milyona yaklaştı,</w:t>
      </w:r>
      <w:r>
        <w:rPr>
          <w:rFonts w:ascii="Arial" w:hAnsi="Arial" w:cs="Arial"/>
        </w:rPr>
        <w:t xml:space="preserve"> </w:t>
      </w:r>
      <w:r w:rsidRPr="00445F3E">
        <w:rPr>
          <w:rFonts w:ascii="Arial" w:hAnsi="Arial" w:cs="Arial"/>
        </w:rPr>
        <w:t>ticarethane abone sayısı ise 7 milyonu geçti. 2020’nin ikinci</w:t>
      </w:r>
      <w:r>
        <w:rPr>
          <w:rFonts w:ascii="Arial" w:hAnsi="Arial" w:cs="Arial"/>
        </w:rPr>
        <w:t xml:space="preserve"> </w:t>
      </w:r>
      <w:r w:rsidRPr="00445F3E">
        <w:rPr>
          <w:rFonts w:ascii="Arial" w:hAnsi="Arial" w:cs="Arial"/>
        </w:rPr>
        <w:t>yarısındaki azalmaya karşın 2021 yılı abone sayısındaki en</w:t>
      </w:r>
      <w:r>
        <w:rPr>
          <w:rFonts w:ascii="Arial" w:hAnsi="Arial" w:cs="Arial"/>
        </w:rPr>
        <w:t xml:space="preserve"> </w:t>
      </w:r>
      <w:r w:rsidRPr="00445F3E">
        <w:rPr>
          <w:rFonts w:ascii="Arial" w:hAnsi="Arial" w:cs="Arial"/>
        </w:rPr>
        <w:t>yüksek artış hızı %8 ile sanayide oldu ve 87 bini geçti.</w:t>
      </w:r>
      <w:r>
        <w:rPr>
          <w:rFonts w:ascii="Arial" w:hAnsi="Arial" w:cs="Arial"/>
        </w:rPr>
        <w:t xml:space="preserve"> </w:t>
      </w:r>
      <w:r w:rsidRPr="00445F3E">
        <w:rPr>
          <w:rFonts w:ascii="Arial" w:hAnsi="Arial" w:cs="Arial"/>
        </w:rPr>
        <w:t>Ülke genelinde mesken abonesi başına ortalama yıllık</w:t>
      </w:r>
      <w:r>
        <w:rPr>
          <w:rFonts w:ascii="Arial" w:hAnsi="Arial" w:cs="Arial"/>
        </w:rPr>
        <w:t xml:space="preserve"> </w:t>
      </w:r>
      <w:r w:rsidRPr="00445F3E">
        <w:rPr>
          <w:rFonts w:ascii="Arial" w:hAnsi="Arial" w:cs="Arial"/>
        </w:rPr>
        <w:t xml:space="preserve">elektrik enerjisi tüketimi yaklaşık 3.000 </w:t>
      </w:r>
      <w:proofErr w:type="spellStart"/>
      <w:r w:rsidRPr="00445F3E">
        <w:rPr>
          <w:rFonts w:ascii="Arial" w:hAnsi="Arial" w:cs="Arial"/>
        </w:rPr>
        <w:t>kWh</w:t>
      </w:r>
      <w:proofErr w:type="spellEnd"/>
      <w:r w:rsidRPr="00445F3E">
        <w:rPr>
          <w:rFonts w:ascii="Arial" w:hAnsi="Arial" w:cs="Arial"/>
        </w:rPr>
        <w:t xml:space="preserve"> </w:t>
      </w:r>
      <w:r w:rsidR="001D763A">
        <w:rPr>
          <w:rFonts w:ascii="Arial" w:hAnsi="Arial" w:cs="Arial"/>
        </w:rPr>
        <w:t xml:space="preserve">olarak hesaplandı. </w:t>
      </w:r>
      <w:r w:rsidRPr="00445F3E">
        <w:rPr>
          <w:rFonts w:ascii="Arial" w:hAnsi="Arial" w:cs="Arial"/>
        </w:rPr>
        <w:t>Güncel serbest tüketici limiti ise yıllık 1.100</w:t>
      </w:r>
      <w:r>
        <w:rPr>
          <w:rFonts w:ascii="Arial" w:hAnsi="Arial" w:cs="Arial"/>
        </w:rPr>
        <w:t xml:space="preserve"> </w:t>
      </w:r>
      <w:proofErr w:type="spellStart"/>
      <w:r w:rsidRPr="00445F3E">
        <w:rPr>
          <w:rFonts w:ascii="Arial" w:hAnsi="Arial" w:cs="Arial"/>
        </w:rPr>
        <w:t>kWh</w:t>
      </w:r>
      <w:proofErr w:type="spellEnd"/>
      <w:r w:rsidRPr="00445F3E">
        <w:rPr>
          <w:rFonts w:ascii="Arial" w:hAnsi="Arial" w:cs="Arial"/>
        </w:rPr>
        <w:t xml:space="preserve"> olarak </w:t>
      </w:r>
      <w:r w:rsidR="001D763A">
        <w:rPr>
          <w:rFonts w:ascii="Arial" w:hAnsi="Arial" w:cs="Arial"/>
        </w:rPr>
        <w:t>belirlendi</w:t>
      </w:r>
      <w:r w:rsidRPr="00445F3E">
        <w:rPr>
          <w:rFonts w:ascii="Arial" w:hAnsi="Arial" w:cs="Arial"/>
        </w:rPr>
        <w:t>.</w:t>
      </w:r>
    </w:p>
    <w:p w14:paraId="5761DC7C" w14:textId="64CDB696" w:rsidR="00445F3E" w:rsidRDefault="00445F3E" w:rsidP="00445F3E">
      <w:pPr>
        <w:spacing w:after="0" w:line="300" w:lineRule="auto"/>
        <w:contextualSpacing/>
        <w:jc w:val="both"/>
        <w:rPr>
          <w:rFonts w:ascii="Arial" w:hAnsi="Arial" w:cs="Arial"/>
        </w:rPr>
      </w:pPr>
    </w:p>
    <w:p w14:paraId="42E276E7" w14:textId="26F00BF8" w:rsidR="001D763A" w:rsidRPr="001D763A" w:rsidRDefault="001D763A" w:rsidP="00445F3E">
      <w:pPr>
        <w:spacing w:after="0" w:line="300" w:lineRule="auto"/>
        <w:contextualSpacing/>
        <w:jc w:val="both"/>
        <w:rPr>
          <w:rFonts w:ascii="Arial" w:hAnsi="Arial" w:cs="Arial"/>
          <w:b/>
          <w:bCs/>
        </w:rPr>
      </w:pPr>
      <w:r w:rsidRPr="001D763A">
        <w:rPr>
          <w:rFonts w:ascii="Arial" w:hAnsi="Arial" w:cs="Arial"/>
          <w:b/>
          <w:bCs/>
        </w:rPr>
        <w:t>Elektrik üretiminde son beş yılın en yüksek artışı</w:t>
      </w:r>
    </w:p>
    <w:p w14:paraId="1F6345D0" w14:textId="5EDD247D" w:rsidR="00445F3E" w:rsidRDefault="00445F3E" w:rsidP="00445F3E">
      <w:pPr>
        <w:spacing w:after="0" w:line="300" w:lineRule="auto"/>
        <w:contextualSpacing/>
        <w:jc w:val="both"/>
        <w:rPr>
          <w:rFonts w:ascii="Arial" w:hAnsi="Arial" w:cs="Arial"/>
        </w:rPr>
      </w:pPr>
      <w:r w:rsidRPr="00445F3E">
        <w:rPr>
          <w:rFonts w:ascii="Arial" w:hAnsi="Arial" w:cs="Arial"/>
        </w:rPr>
        <w:t xml:space="preserve">Elektrik üretimi son beş yılın en yüksek artışı olan yıllık %9’luk büyüme ile 329 </w:t>
      </w:r>
      <w:proofErr w:type="spellStart"/>
      <w:r w:rsidRPr="00445F3E">
        <w:rPr>
          <w:rFonts w:ascii="Arial" w:hAnsi="Arial" w:cs="Arial"/>
        </w:rPr>
        <w:t>TWh</w:t>
      </w:r>
      <w:proofErr w:type="spellEnd"/>
      <w:r w:rsidRPr="00445F3E">
        <w:rPr>
          <w:rFonts w:ascii="Arial" w:hAnsi="Arial" w:cs="Arial"/>
        </w:rPr>
        <w:t xml:space="preserve"> olarak gerçekleşti. Elektrik üretiminde</w:t>
      </w:r>
      <w:r>
        <w:rPr>
          <w:rFonts w:ascii="Arial" w:hAnsi="Arial" w:cs="Arial"/>
        </w:rPr>
        <w:t xml:space="preserve"> </w:t>
      </w:r>
      <w:r w:rsidRPr="00445F3E">
        <w:rPr>
          <w:rFonts w:ascii="Arial" w:hAnsi="Arial" w:cs="Arial"/>
        </w:rPr>
        <w:t>doğal gazın payı geçen iki yıla kıyasla arttı ve %33 olarak gerçekleşti. Doğal gaz santrallerini sırasıyla toplam %30 ile</w:t>
      </w:r>
      <w:r>
        <w:rPr>
          <w:rFonts w:ascii="Arial" w:hAnsi="Arial" w:cs="Arial"/>
        </w:rPr>
        <w:t xml:space="preserve"> </w:t>
      </w:r>
      <w:r w:rsidRPr="00445F3E">
        <w:rPr>
          <w:rFonts w:ascii="Arial" w:hAnsi="Arial" w:cs="Arial"/>
        </w:rPr>
        <w:t>ithal kömür ve linyit santralleri ve toplam %17 ile akarsu ve barajlı hidroelektrik santraller izledi. 2021 yılında hidroelektrik</w:t>
      </w:r>
      <w:r>
        <w:rPr>
          <w:rFonts w:ascii="Arial" w:hAnsi="Arial" w:cs="Arial"/>
        </w:rPr>
        <w:t xml:space="preserve"> </w:t>
      </w:r>
      <w:r w:rsidRPr="00445F3E">
        <w:rPr>
          <w:rFonts w:ascii="Arial" w:hAnsi="Arial" w:cs="Arial"/>
        </w:rPr>
        <w:t>santrallerin üretimindeki düşüş, doğal gazdaki artış ile karşılandı.</w:t>
      </w:r>
    </w:p>
    <w:p w14:paraId="24CF59D8" w14:textId="69934804" w:rsidR="00C36A84" w:rsidRDefault="00C36A84" w:rsidP="00445F3E">
      <w:pPr>
        <w:spacing w:after="0" w:line="300" w:lineRule="auto"/>
        <w:contextualSpacing/>
        <w:jc w:val="both"/>
        <w:rPr>
          <w:rFonts w:ascii="Arial" w:hAnsi="Arial" w:cs="Arial"/>
        </w:rPr>
      </w:pPr>
    </w:p>
    <w:p w14:paraId="523EB42B" w14:textId="3124EBD7" w:rsidR="001D763A" w:rsidRPr="001D763A" w:rsidRDefault="001D763A" w:rsidP="00445F3E">
      <w:pPr>
        <w:spacing w:after="0" w:line="300" w:lineRule="auto"/>
        <w:contextualSpacing/>
        <w:jc w:val="both"/>
        <w:rPr>
          <w:rFonts w:ascii="Arial" w:hAnsi="Arial" w:cs="Arial"/>
          <w:b/>
          <w:bCs/>
        </w:rPr>
      </w:pPr>
      <w:r w:rsidRPr="001D763A">
        <w:rPr>
          <w:rFonts w:ascii="Arial" w:hAnsi="Arial" w:cs="Arial"/>
          <w:b/>
          <w:bCs/>
        </w:rPr>
        <w:t>Enerji üretiminde rüzgâr ve güneş rekor kırdı</w:t>
      </w:r>
    </w:p>
    <w:p w14:paraId="0FC00AC2" w14:textId="6A9350A8" w:rsidR="00C36A84" w:rsidRDefault="00C36A84" w:rsidP="00C36A84">
      <w:pPr>
        <w:spacing w:after="0" w:line="300" w:lineRule="auto"/>
        <w:contextualSpacing/>
        <w:jc w:val="both"/>
        <w:rPr>
          <w:rFonts w:ascii="Arial" w:hAnsi="Arial" w:cs="Arial"/>
        </w:rPr>
      </w:pPr>
      <w:r>
        <w:rPr>
          <w:rFonts w:ascii="Arial" w:hAnsi="Arial" w:cs="Arial"/>
        </w:rPr>
        <w:t>Yenilenebilir enerji</w:t>
      </w:r>
      <w:r w:rsidR="001D763A">
        <w:rPr>
          <w:rFonts w:ascii="Arial" w:hAnsi="Arial" w:cs="Arial"/>
        </w:rPr>
        <w:t xml:space="preserve"> ile ilgili verilerin de yer aldığı rapora göre, </w:t>
      </w:r>
      <w:r w:rsidRPr="00C36A84">
        <w:rPr>
          <w:rFonts w:ascii="Arial" w:hAnsi="Arial" w:cs="Arial"/>
        </w:rPr>
        <w:t xml:space="preserve">2021 yılında </w:t>
      </w:r>
      <w:r w:rsidR="001D763A">
        <w:rPr>
          <w:rFonts w:ascii="Arial" w:hAnsi="Arial" w:cs="Arial"/>
        </w:rPr>
        <w:t xml:space="preserve">enerji üretiminde </w:t>
      </w:r>
      <w:r w:rsidRPr="00C36A84">
        <w:rPr>
          <w:rFonts w:ascii="Arial" w:hAnsi="Arial" w:cs="Arial"/>
        </w:rPr>
        <w:t xml:space="preserve">hem </w:t>
      </w:r>
      <w:r w:rsidR="001D763A" w:rsidRPr="00C36A84">
        <w:rPr>
          <w:rFonts w:ascii="Arial" w:hAnsi="Arial" w:cs="Arial"/>
        </w:rPr>
        <w:t>rüzgâr</w:t>
      </w:r>
      <w:r w:rsidRPr="00C36A84">
        <w:rPr>
          <w:rFonts w:ascii="Arial" w:hAnsi="Arial" w:cs="Arial"/>
        </w:rPr>
        <w:t xml:space="preserve"> hem de güneş rekor kırdı ve üretimde payları sırasıyla %9 ve %4 oldu. Hidroelektrik, </w:t>
      </w:r>
      <w:r w:rsidR="006A7309" w:rsidRPr="00C36A84">
        <w:rPr>
          <w:rFonts w:ascii="Arial" w:hAnsi="Arial" w:cs="Arial"/>
        </w:rPr>
        <w:t>rüzgâr</w:t>
      </w:r>
      <w:r w:rsidRPr="00C36A84">
        <w:rPr>
          <w:rFonts w:ascii="Arial" w:hAnsi="Arial" w:cs="Arial"/>
        </w:rPr>
        <w:t xml:space="preserve">, jeotermal, </w:t>
      </w:r>
      <w:proofErr w:type="spellStart"/>
      <w:r w:rsidRPr="00C36A84">
        <w:rPr>
          <w:rFonts w:ascii="Arial" w:hAnsi="Arial" w:cs="Arial"/>
        </w:rPr>
        <w:t>biyokütle</w:t>
      </w:r>
      <w:proofErr w:type="spellEnd"/>
      <w:r w:rsidRPr="00C36A84">
        <w:rPr>
          <w:rFonts w:ascii="Arial" w:hAnsi="Arial" w:cs="Arial"/>
        </w:rPr>
        <w:t xml:space="preserve"> ve güneş santrallerinden gelen toplam yenilenebilir elektrik üretimi</w:t>
      </w:r>
      <w:r>
        <w:rPr>
          <w:rFonts w:ascii="Arial" w:hAnsi="Arial" w:cs="Arial"/>
        </w:rPr>
        <w:t xml:space="preserve"> </w:t>
      </w:r>
      <w:r w:rsidRPr="00C36A84">
        <w:rPr>
          <w:rFonts w:ascii="Arial" w:hAnsi="Arial" w:cs="Arial"/>
        </w:rPr>
        <w:t xml:space="preserve">117 </w:t>
      </w:r>
      <w:proofErr w:type="spellStart"/>
      <w:r w:rsidRPr="00C36A84">
        <w:rPr>
          <w:rFonts w:ascii="Arial" w:hAnsi="Arial" w:cs="Arial"/>
        </w:rPr>
        <w:t>TWh</w:t>
      </w:r>
      <w:proofErr w:type="spellEnd"/>
      <w:r w:rsidRPr="00C36A84">
        <w:rPr>
          <w:rFonts w:ascii="Arial" w:hAnsi="Arial" w:cs="Arial"/>
        </w:rPr>
        <w:t xml:space="preserve"> ile yıllık üretimin %35’ini sağladı.</w:t>
      </w:r>
      <w:r w:rsidR="001D763A">
        <w:rPr>
          <w:rFonts w:ascii="Arial" w:hAnsi="Arial" w:cs="Arial"/>
        </w:rPr>
        <w:t xml:space="preserve"> </w:t>
      </w:r>
      <w:r w:rsidRPr="00C36A84">
        <w:rPr>
          <w:rFonts w:ascii="Arial" w:hAnsi="Arial" w:cs="Arial"/>
        </w:rPr>
        <w:t>Yenilenebilir üretimin %64’</w:t>
      </w:r>
      <w:r w:rsidR="001D763A">
        <w:rPr>
          <w:rFonts w:ascii="Arial" w:hAnsi="Arial" w:cs="Arial"/>
        </w:rPr>
        <w:t>ü</w:t>
      </w:r>
      <w:r w:rsidRPr="00C36A84">
        <w:rPr>
          <w:rFonts w:ascii="Arial" w:hAnsi="Arial" w:cs="Arial"/>
        </w:rPr>
        <w:t xml:space="preserve">ne karşılık gelen 74 </w:t>
      </w:r>
      <w:proofErr w:type="spellStart"/>
      <w:r w:rsidRPr="00C36A84">
        <w:rPr>
          <w:rFonts w:ascii="Arial" w:hAnsi="Arial" w:cs="Arial"/>
        </w:rPr>
        <w:t>TWh</w:t>
      </w:r>
      <w:proofErr w:type="spellEnd"/>
      <w:r w:rsidRPr="00C36A84">
        <w:rPr>
          <w:rFonts w:ascii="Arial" w:hAnsi="Arial" w:cs="Arial"/>
        </w:rPr>
        <w:t xml:space="preserve"> YEKDEM kapsamında</w:t>
      </w:r>
      <w:r>
        <w:rPr>
          <w:rFonts w:ascii="Arial" w:hAnsi="Arial" w:cs="Arial"/>
        </w:rPr>
        <w:t xml:space="preserve"> </w:t>
      </w:r>
      <w:r w:rsidRPr="00C36A84">
        <w:rPr>
          <w:rFonts w:ascii="Arial" w:hAnsi="Arial" w:cs="Arial"/>
        </w:rPr>
        <w:t xml:space="preserve">gerçekleşti. YEKDEM katılımında </w:t>
      </w:r>
      <w:r w:rsidR="001D763A" w:rsidRPr="00C36A84">
        <w:rPr>
          <w:rFonts w:ascii="Arial" w:hAnsi="Arial" w:cs="Arial"/>
        </w:rPr>
        <w:t>rüzgâr</w:t>
      </w:r>
      <w:r w:rsidRPr="00C36A84">
        <w:rPr>
          <w:rFonts w:ascii="Arial" w:hAnsi="Arial" w:cs="Arial"/>
        </w:rPr>
        <w:t xml:space="preserve"> santralleri 25 </w:t>
      </w:r>
      <w:proofErr w:type="spellStart"/>
      <w:r w:rsidRPr="00C36A84">
        <w:rPr>
          <w:rFonts w:ascii="Arial" w:hAnsi="Arial" w:cs="Arial"/>
        </w:rPr>
        <w:t>TWh</w:t>
      </w:r>
      <w:proofErr w:type="spellEnd"/>
      <w:r w:rsidRPr="00C36A84">
        <w:rPr>
          <w:rFonts w:ascii="Arial" w:hAnsi="Arial" w:cs="Arial"/>
        </w:rPr>
        <w:t xml:space="preserve"> ile ilk sırada, hidroelektrik santraller ise 22 </w:t>
      </w:r>
      <w:proofErr w:type="spellStart"/>
      <w:r w:rsidRPr="00C36A84">
        <w:rPr>
          <w:rFonts w:ascii="Arial" w:hAnsi="Arial" w:cs="Arial"/>
        </w:rPr>
        <w:t>TWh</w:t>
      </w:r>
      <w:proofErr w:type="spellEnd"/>
      <w:r w:rsidRPr="00C36A84">
        <w:rPr>
          <w:rFonts w:ascii="Arial" w:hAnsi="Arial" w:cs="Arial"/>
        </w:rPr>
        <w:t xml:space="preserve"> ile ikinci sırada</w:t>
      </w:r>
      <w:r>
        <w:rPr>
          <w:rFonts w:ascii="Arial" w:hAnsi="Arial" w:cs="Arial"/>
        </w:rPr>
        <w:t xml:space="preserve"> </w:t>
      </w:r>
      <w:r w:rsidRPr="00C36A84">
        <w:rPr>
          <w:rFonts w:ascii="Arial" w:hAnsi="Arial" w:cs="Arial"/>
        </w:rPr>
        <w:t>yer aldı.</w:t>
      </w:r>
    </w:p>
    <w:p w14:paraId="626830DF" w14:textId="65FAA599" w:rsidR="00445F3E" w:rsidRDefault="00445F3E" w:rsidP="00445F3E">
      <w:pPr>
        <w:spacing w:after="0" w:line="300" w:lineRule="auto"/>
        <w:contextualSpacing/>
        <w:jc w:val="both"/>
        <w:rPr>
          <w:rFonts w:ascii="Arial" w:hAnsi="Arial" w:cs="Arial"/>
        </w:rPr>
      </w:pPr>
    </w:p>
    <w:p w14:paraId="5BAFC1DC" w14:textId="5A312176" w:rsidR="001D763A" w:rsidRPr="001D763A" w:rsidRDefault="001D763A" w:rsidP="00445F3E">
      <w:pPr>
        <w:spacing w:after="0" w:line="300" w:lineRule="auto"/>
        <w:contextualSpacing/>
        <w:jc w:val="both"/>
        <w:rPr>
          <w:rFonts w:ascii="Arial" w:hAnsi="Arial" w:cs="Arial"/>
          <w:b/>
          <w:bCs/>
        </w:rPr>
      </w:pPr>
      <w:r w:rsidRPr="001D763A">
        <w:rPr>
          <w:rFonts w:ascii="Arial" w:hAnsi="Arial" w:cs="Arial"/>
          <w:b/>
          <w:bCs/>
        </w:rPr>
        <w:t xml:space="preserve">Enerji fiyatlarında çok ciddi artışlar </w:t>
      </w:r>
      <w:r>
        <w:rPr>
          <w:rFonts w:ascii="Arial" w:hAnsi="Arial" w:cs="Arial"/>
          <w:b/>
          <w:bCs/>
        </w:rPr>
        <w:t>görüldü</w:t>
      </w:r>
    </w:p>
    <w:p w14:paraId="31272C63" w14:textId="417CA60A" w:rsidR="00445F3E" w:rsidRDefault="00C36A84" w:rsidP="00C36A84">
      <w:pPr>
        <w:spacing w:after="0" w:line="300" w:lineRule="auto"/>
        <w:contextualSpacing/>
        <w:jc w:val="both"/>
        <w:rPr>
          <w:rFonts w:ascii="Arial" w:hAnsi="Arial" w:cs="Arial"/>
        </w:rPr>
      </w:pPr>
      <w:r w:rsidRPr="00C36A84">
        <w:rPr>
          <w:rFonts w:ascii="Arial" w:hAnsi="Arial" w:cs="Arial"/>
        </w:rPr>
        <w:t>2021 yılının özellikle son çeyreğinde elektrik piyasa fiyatlarında çok ciddi artışlar yaşandı. Artışın nedenleri arasında</w:t>
      </w:r>
      <w:r>
        <w:rPr>
          <w:rFonts w:ascii="Arial" w:hAnsi="Arial" w:cs="Arial"/>
        </w:rPr>
        <w:t xml:space="preserve"> </w:t>
      </w:r>
      <w:r w:rsidRPr="00C36A84">
        <w:rPr>
          <w:rFonts w:ascii="Arial" w:hAnsi="Arial" w:cs="Arial"/>
        </w:rPr>
        <w:t xml:space="preserve">kısıtlamaların sona ermesi ile artan talep, kuraklıktan dolayı </w:t>
      </w:r>
      <w:r w:rsidRPr="00C36A84">
        <w:rPr>
          <w:rFonts w:ascii="Arial" w:hAnsi="Arial" w:cs="Arial"/>
        </w:rPr>
        <w:lastRenderedPageBreak/>
        <w:t>hidroelektrik santrallerin düşük doluluk oranları, mevsim</w:t>
      </w:r>
      <w:r>
        <w:rPr>
          <w:rFonts w:ascii="Arial" w:hAnsi="Arial" w:cs="Arial"/>
        </w:rPr>
        <w:t xml:space="preserve"> </w:t>
      </w:r>
      <w:r w:rsidRPr="00C36A84">
        <w:rPr>
          <w:rFonts w:ascii="Arial" w:hAnsi="Arial" w:cs="Arial"/>
        </w:rPr>
        <w:t>normalleri üstündeki yaz sıcaklıkları, rekor düzeylere çıkan ithal kömür ve doğal gaz fiyatları ve doğal gaz ithalatında artan</w:t>
      </w:r>
      <w:r>
        <w:rPr>
          <w:rFonts w:ascii="Arial" w:hAnsi="Arial" w:cs="Arial"/>
        </w:rPr>
        <w:t xml:space="preserve"> </w:t>
      </w:r>
      <w:r w:rsidRPr="00C36A84">
        <w:rPr>
          <w:rFonts w:ascii="Arial" w:hAnsi="Arial" w:cs="Arial"/>
        </w:rPr>
        <w:t xml:space="preserve">spot </w:t>
      </w:r>
      <w:proofErr w:type="spellStart"/>
      <w:r w:rsidRPr="00C36A84">
        <w:rPr>
          <w:rFonts w:ascii="Arial" w:hAnsi="Arial" w:cs="Arial"/>
        </w:rPr>
        <w:t>LNG’nin</w:t>
      </w:r>
      <w:proofErr w:type="spellEnd"/>
      <w:r w:rsidRPr="00C36A84">
        <w:rPr>
          <w:rFonts w:ascii="Arial" w:hAnsi="Arial" w:cs="Arial"/>
        </w:rPr>
        <w:t xml:space="preserve"> payı sayılabilir.</w:t>
      </w:r>
    </w:p>
    <w:p w14:paraId="37BB0E47" w14:textId="1E1F7AC2" w:rsidR="00C36A84" w:rsidRDefault="00C36A84" w:rsidP="00C36A84">
      <w:pPr>
        <w:spacing w:after="0" w:line="300" w:lineRule="auto"/>
        <w:contextualSpacing/>
        <w:jc w:val="both"/>
        <w:rPr>
          <w:rFonts w:ascii="Arial" w:hAnsi="Arial" w:cs="Arial"/>
        </w:rPr>
      </w:pPr>
    </w:p>
    <w:p w14:paraId="38B52A76" w14:textId="449E8984" w:rsidR="00C36A84" w:rsidRDefault="0097123D" w:rsidP="00C36A84">
      <w:pPr>
        <w:spacing w:after="0" w:line="300" w:lineRule="auto"/>
        <w:contextualSpacing/>
        <w:jc w:val="both"/>
        <w:rPr>
          <w:rFonts w:ascii="Arial" w:hAnsi="Arial" w:cs="Arial"/>
          <w:b/>
          <w:bCs/>
        </w:rPr>
      </w:pPr>
      <w:r w:rsidRPr="0097123D">
        <w:rPr>
          <w:rFonts w:ascii="Arial" w:hAnsi="Arial" w:cs="Arial"/>
          <w:b/>
          <w:bCs/>
        </w:rPr>
        <w:t>Türkiye’</w:t>
      </w:r>
      <w:r>
        <w:rPr>
          <w:rFonts w:ascii="Arial" w:hAnsi="Arial" w:cs="Arial"/>
          <w:b/>
          <w:bCs/>
        </w:rPr>
        <w:t xml:space="preserve">de </w:t>
      </w:r>
      <w:r w:rsidRPr="0097123D">
        <w:rPr>
          <w:rFonts w:ascii="Arial" w:hAnsi="Arial" w:cs="Arial"/>
          <w:b/>
          <w:bCs/>
        </w:rPr>
        <w:t xml:space="preserve">doğal gaz </w:t>
      </w:r>
      <w:r>
        <w:rPr>
          <w:rFonts w:ascii="Arial" w:hAnsi="Arial" w:cs="Arial"/>
          <w:b/>
          <w:bCs/>
        </w:rPr>
        <w:t xml:space="preserve">talebinin </w:t>
      </w:r>
      <w:r w:rsidRPr="0097123D">
        <w:rPr>
          <w:rFonts w:ascii="Arial" w:hAnsi="Arial" w:cs="Arial"/>
          <w:b/>
          <w:bCs/>
        </w:rPr>
        <w:t xml:space="preserve">%99’undan fazlası ithalat yoluyla </w:t>
      </w:r>
      <w:r>
        <w:rPr>
          <w:rFonts w:ascii="Arial" w:hAnsi="Arial" w:cs="Arial"/>
          <w:b/>
          <w:bCs/>
        </w:rPr>
        <w:t>karşılanıyor</w:t>
      </w:r>
    </w:p>
    <w:p w14:paraId="35AF9170" w14:textId="376DDAB9" w:rsidR="001B535E" w:rsidRDefault="00C36A84" w:rsidP="001B535E">
      <w:pPr>
        <w:spacing w:after="0" w:line="300" w:lineRule="auto"/>
        <w:contextualSpacing/>
        <w:jc w:val="both"/>
        <w:rPr>
          <w:rFonts w:ascii="Arial" w:hAnsi="Arial" w:cs="Arial"/>
        </w:rPr>
      </w:pPr>
      <w:r w:rsidRPr="00C36A84">
        <w:rPr>
          <w:rFonts w:ascii="Arial" w:hAnsi="Arial" w:cs="Arial"/>
        </w:rPr>
        <w:t>2021 yılı, Türkiye doğal gaz piyasası için de kolay kolay</w:t>
      </w:r>
      <w:r>
        <w:rPr>
          <w:rFonts w:ascii="Arial" w:hAnsi="Arial" w:cs="Arial"/>
        </w:rPr>
        <w:t xml:space="preserve"> </w:t>
      </w:r>
      <w:r w:rsidRPr="00C36A84">
        <w:rPr>
          <w:rFonts w:ascii="Arial" w:hAnsi="Arial" w:cs="Arial"/>
        </w:rPr>
        <w:t>hafızalardan silinmeyecek gelişmelere sahne oldu.</w:t>
      </w:r>
      <w:r>
        <w:rPr>
          <w:rFonts w:ascii="Arial" w:hAnsi="Arial" w:cs="Arial"/>
        </w:rPr>
        <w:t xml:space="preserve"> </w:t>
      </w:r>
      <w:r w:rsidR="0097123D">
        <w:rPr>
          <w:rFonts w:ascii="Arial" w:hAnsi="Arial" w:cs="Arial"/>
        </w:rPr>
        <w:t xml:space="preserve">Rapora göre </w:t>
      </w:r>
      <w:r w:rsidRPr="00C36A84">
        <w:rPr>
          <w:rFonts w:ascii="Arial" w:hAnsi="Arial" w:cs="Arial"/>
        </w:rPr>
        <w:t>Türkiye’nin ortalama yıllık tüketiminin %26’sına karşılık gelen 15,9 milyar m3 miktarlı uzun dönemli doğal gaz kontratlarının geçen yıl içerisinde sona ermeye başlaması, ülkenin doğal gaz arz tercihlerini yeniden belirlemesi gerekliliğini ortaya çıkardı.</w:t>
      </w:r>
      <w:r w:rsidR="0097123D">
        <w:rPr>
          <w:rFonts w:ascii="Arial" w:hAnsi="Arial" w:cs="Arial"/>
        </w:rPr>
        <w:t xml:space="preserve"> </w:t>
      </w:r>
      <w:r w:rsidRPr="00C36A84">
        <w:rPr>
          <w:rFonts w:ascii="Arial" w:hAnsi="Arial" w:cs="Arial"/>
        </w:rPr>
        <w:t>Yıllık doğal gaz talebi 60 milyar m3 seviyesine ulaşan</w:t>
      </w:r>
      <w:r>
        <w:rPr>
          <w:rFonts w:ascii="Arial" w:hAnsi="Arial" w:cs="Arial"/>
        </w:rPr>
        <w:t xml:space="preserve"> </w:t>
      </w:r>
      <w:r w:rsidRPr="00C36A84">
        <w:rPr>
          <w:rFonts w:ascii="Arial" w:hAnsi="Arial" w:cs="Arial"/>
        </w:rPr>
        <w:t>Türkiye</w:t>
      </w:r>
      <w:r w:rsidR="0097123D">
        <w:rPr>
          <w:rFonts w:ascii="Arial" w:hAnsi="Arial" w:cs="Arial"/>
        </w:rPr>
        <w:t>;</w:t>
      </w:r>
      <w:r w:rsidRPr="00C36A84">
        <w:rPr>
          <w:rFonts w:ascii="Arial" w:hAnsi="Arial" w:cs="Arial"/>
        </w:rPr>
        <w:t xml:space="preserve"> Almanya ve İtalya ile birlikte Avrupa’nın en büyük</w:t>
      </w:r>
      <w:r>
        <w:rPr>
          <w:rFonts w:ascii="Arial" w:hAnsi="Arial" w:cs="Arial"/>
        </w:rPr>
        <w:t xml:space="preserve"> </w:t>
      </w:r>
      <w:r w:rsidRPr="00C36A84">
        <w:rPr>
          <w:rFonts w:ascii="Arial" w:hAnsi="Arial" w:cs="Arial"/>
        </w:rPr>
        <w:t>pazarlarından biri olmayı sürdürüyor.</w:t>
      </w:r>
      <w:r>
        <w:rPr>
          <w:rFonts w:ascii="Arial" w:hAnsi="Arial" w:cs="Arial"/>
        </w:rPr>
        <w:t xml:space="preserve"> </w:t>
      </w:r>
      <w:r w:rsidRPr="00C36A84">
        <w:rPr>
          <w:rFonts w:ascii="Arial" w:hAnsi="Arial" w:cs="Arial"/>
        </w:rPr>
        <w:t xml:space="preserve">Ancak Türkiye’nin doğal gaz üretiminin </w:t>
      </w:r>
      <w:proofErr w:type="gramStart"/>
      <w:r w:rsidRPr="00C36A84">
        <w:rPr>
          <w:rFonts w:ascii="Arial" w:hAnsi="Arial" w:cs="Arial"/>
        </w:rPr>
        <w:t>2011</w:t>
      </w:r>
      <w:r w:rsidR="006A7309">
        <w:rPr>
          <w:rFonts w:ascii="Arial" w:hAnsi="Arial" w:cs="Arial"/>
        </w:rPr>
        <w:t xml:space="preserve"> </w:t>
      </w:r>
      <w:r w:rsidRPr="00C36A84">
        <w:rPr>
          <w:rFonts w:ascii="Arial" w:hAnsi="Arial" w:cs="Arial"/>
        </w:rPr>
        <w:t>-</w:t>
      </w:r>
      <w:proofErr w:type="gramEnd"/>
      <w:r w:rsidR="0097123D">
        <w:rPr>
          <w:rFonts w:ascii="Arial" w:hAnsi="Arial" w:cs="Arial"/>
        </w:rPr>
        <w:t xml:space="preserve"> </w:t>
      </w:r>
      <w:r w:rsidRPr="00C36A84">
        <w:rPr>
          <w:rFonts w:ascii="Arial" w:hAnsi="Arial" w:cs="Arial"/>
        </w:rPr>
        <w:t>2021 döneminde ulaştığı 476,82 milyon m3 ortalama miktar, talebin %99’undan fazlasının ithalat yoluyla karşılanmasına</w:t>
      </w:r>
      <w:r>
        <w:rPr>
          <w:rFonts w:ascii="Arial" w:hAnsi="Arial" w:cs="Arial"/>
        </w:rPr>
        <w:t xml:space="preserve"> </w:t>
      </w:r>
      <w:r w:rsidRPr="00C36A84">
        <w:rPr>
          <w:rFonts w:ascii="Arial" w:hAnsi="Arial" w:cs="Arial"/>
        </w:rPr>
        <w:t>neden oluyor.</w:t>
      </w:r>
      <w:r w:rsidR="001B535E">
        <w:rPr>
          <w:rFonts w:ascii="Arial" w:hAnsi="Arial" w:cs="Arial"/>
        </w:rPr>
        <w:t xml:space="preserve"> </w:t>
      </w:r>
      <w:r w:rsidR="006A7309">
        <w:rPr>
          <w:rFonts w:ascii="Arial" w:hAnsi="Arial" w:cs="Arial"/>
        </w:rPr>
        <w:t xml:space="preserve">Türkiye </w:t>
      </w:r>
      <w:r w:rsidR="001B535E" w:rsidRPr="00C36A84">
        <w:rPr>
          <w:rFonts w:ascii="Arial" w:hAnsi="Arial" w:cs="Arial"/>
        </w:rPr>
        <w:t>Avrupa’nın en büyük</w:t>
      </w:r>
      <w:r w:rsidR="001B535E">
        <w:rPr>
          <w:rFonts w:ascii="Arial" w:hAnsi="Arial" w:cs="Arial"/>
        </w:rPr>
        <w:t xml:space="preserve"> </w:t>
      </w:r>
      <w:r w:rsidR="001B535E" w:rsidRPr="00C36A84">
        <w:rPr>
          <w:rFonts w:ascii="Arial" w:hAnsi="Arial" w:cs="Arial"/>
        </w:rPr>
        <w:t xml:space="preserve">pazarlarından biri olmayı </w:t>
      </w:r>
      <w:r w:rsidR="006A7309">
        <w:rPr>
          <w:rFonts w:ascii="Arial" w:hAnsi="Arial" w:cs="Arial"/>
        </w:rPr>
        <w:t xml:space="preserve">sürdürse de </w:t>
      </w:r>
      <w:r w:rsidR="001B535E">
        <w:rPr>
          <w:rFonts w:ascii="Arial" w:hAnsi="Arial" w:cs="Arial"/>
        </w:rPr>
        <w:t xml:space="preserve">sınırlı </w:t>
      </w:r>
      <w:r w:rsidR="001B535E" w:rsidRPr="00C36A84">
        <w:rPr>
          <w:rFonts w:ascii="Arial" w:hAnsi="Arial" w:cs="Arial"/>
        </w:rPr>
        <w:t>doğal gaz</w:t>
      </w:r>
      <w:r w:rsidR="001B535E">
        <w:rPr>
          <w:rFonts w:ascii="Arial" w:hAnsi="Arial" w:cs="Arial"/>
        </w:rPr>
        <w:t xml:space="preserve"> üretimi</w:t>
      </w:r>
      <w:r w:rsidR="001B535E" w:rsidRPr="00C36A84">
        <w:rPr>
          <w:rFonts w:ascii="Arial" w:hAnsi="Arial" w:cs="Arial"/>
        </w:rPr>
        <w:t xml:space="preserve">, talebin </w:t>
      </w:r>
      <w:r w:rsidR="001B535E">
        <w:rPr>
          <w:rFonts w:ascii="Arial" w:hAnsi="Arial" w:cs="Arial"/>
        </w:rPr>
        <w:t xml:space="preserve">neredeyse tamamının </w:t>
      </w:r>
      <w:r w:rsidR="001B535E" w:rsidRPr="00C36A84">
        <w:rPr>
          <w:rFonts w:ascii="Arial" w:hAnsi="Arial" w:cs="Arial"/>
        </w:rPr>
        <w:t>ithalat yoluyla karşılanmasına</w:t>
      </w:r>
      <w:r w:rsidR="001B535E">
        <w:rPr>
          <w:rFonts w:ascii="Arial" w:hAnsi="Arial" w:cs="Arial"/>
        </w:rPr>
        <w:t xml:space="preserve"> </w:t>
      </w:r>
      <w:r w:rsidR="001B535E" w:rsidRPr="00C36A84">
        <w:rPr>
          <w:rFonts w:ascii="Arial" w:hAnsi="Arial" w:cs="Arial"/>
        </w:rPr>
        <w:t>neden oluyor.</w:t>
      </w:r>
    </w:p>
    <w:p w14:paraId="44CA05B5" w14:textId="2B6B5260" w:rsidR="00C36A84" w:rsidRDefault="00C36A84" w:rsidP="00C36A84">
      <w:pPr>
        <w:spacing w:after="0" w:line="300" w:lineRule="auto"/>
        <w:contextualSpacing/>
        <w:jc w:val="both"/>
        <w:rPr>
          <w:rFonts w:ascii="Arial" w:hAnsi="Arial" w:cs="Arial"/>
        </w:rPr>
      </w:pPr>
    </w:p>
    <w:p w14:paraId="04DBD2BD" w14:textId="4BBC0332" w:rsidR="0097123D" w:rsidRPr="0097123D" w:rsidRDefault="0097123D" w:rsidP="00C36A84">
      <w:pPr>
        <w:spacing w:after="0" w:line="300" w:lineRule="auto"/>
        <w:contextualSpacing/>
        <w:jc w:val="both"/>
        <w:rPr>
          <w:rFonts w:ascii="Arial" w:hAnsi="Arial" w:cs="Arial"/>
          <w:b/>
          <w:bCs/>
        </w:rPr>
      </w:pPr>
      <w:r w:rsidRPr="0097123D">
        <w:rPr>
          <w:rFonts w:ascii="Arial" w:hAnsi="Arial" w:cs="Arial"/>
          <w:b/>
          <w:bCs/>
        </w:rPr>
        <w:t>Türkiye’nin en fazla doğal gaz ithal ettiği ülke Rusya</w:t>
      </w:r>
    </w:p>
    <w:p w14:paraId="2BCA7A3A" w14:textId="7C9B15AA" w:rsidR="0097123D" w:rsidRPr="00C36A84" w:rsidRDefault="0097123D" w:rsidP="0097123D">
      <w:pPr>
        <w:spacing w:after="0" w:line="300" w:lineRule="auto"/>
        <w:contextualSpacing/>
        <w:jc w:val="both"/>
        <w:rPr>
          <w:rFonts w:ascii="Arial" w:hAnsi="Arial" w:cs="Arial"/>
        </w:rPr>
      </w:pPr>
      <w:r w:rsidRPr="00FA7B23">
        <w:rPr>
          <w:rFonts w:ascii="Arial" w:hAnsi="Arial" w:cs="Arial"/>
        </w:rPr>
        <w:t>Türkiye, 2021 yılı içerisinde ithal ettiği 58,70 milyar m3 doğal gazın %44,87’sine karşılık gelen 26,34 milyar m3’ü Rusya</w:t>
      </w:r>
      <w:r>
        <w:rPr>
          <w:rFonts w:ascii="Arial" w:hAnsi="Arial" w:cs="Arial"/>
        </w:rPr>
        <w:t xml:space="preserve"> </w:t>
      </w:r>
      <w:r w:rsidRPr="00FA7B23">
        <w:rPr>
          <w:rFonts w:ascii="Arial" w:hAnsi="Arial" w:cs="Arial"/>
        </w:rPr>
        <w:t>Federasyonu’ndan ithal etti. Boru hatları ile gaz ithal edilen İran’ın payı 9,43 milyar m3 ile %16</w:t>
      </w:r>
      <w:r>
        <w:rPr>
          <w:rFonts w:ascii="Arial" w:hAnsi="Arial" w:cs="Arial"/>
        </w:rPr>
        <w:t>,</w:t>
      </w:r>
      <w:r w:rsidRPr="00FA7B23">
        <w:rPr>
          <w:rFonts w:ascii="Arial" w:hAnsi="Arial" w:cs="Arial"/>
        </w:rPr>
        <w:t>07 olurken, Azerbaycan’ın</w:t>
      </w:r>
      <w:r>
        <w:rPr>
          <w:rFonts w:ascii="Arial" w:hAnsi="Arial" w:cs="Arial"/>
        </w:rPr>
        <w:t xml:space="preserve"> </w:t>
      </w:r>
      <w:r w:rsidRPr="00FA7B23">
        <w:rPr>
          <w:rFonts w:ascii="Arial" w:hAnsi="Arial" w:cs="Arial"/>
        </w:rPr>
        <w:t>payı ise Nisan 2021 döneminde süresi biten 6,6 milyar m3/yıl kontrat nedeniyle 8,82 milyar m3 ile %15,03 oranına geriledi.</w:t>
      </w:r>
      <w:r>
        <w:rPr>
          <w:rFonts w:ascii="Arial" w:hAnsi="Arial" w:cs="Arial"/>
        </w:rPr>
        <w:t xml:space="preserve"> </w:t>
      </w:r>
      <w:r w:rsidRPr="00FA7B23">
        <w:rPr>
          <w:rFonts w:ascii="Arial" w:hAnsi="Arial" w:cs="Arial"/>
        </w:rPr>
        <w:t>Azerbaycan’dan ithal edilen doğal gaz miktarı, bu nedenle bir önceki seneye göre 2,73 milyar m3 azaldı.</w:t>
      </w:r>
      <w:r>
        <w:rPr>
          <w:rFonts w:ascii="Arial" w:hAnsi="Arial" w:cs="Arial"/>
        </w:rPr>
        <w:t xml:space="preserve"> </w:t>
      </w:r>
    </w:p>
    <w:p w14:paraId="6DBDF770" w14:textId="77777777" w:rsidR="0097123D" w:rsidRPr="00C36A84" w:rsidRDefault="0097123D" w:rsidP="00C36A84">
      <w:pPr>
        <w:spacing w:after="0" w:line="300" w:lineRule="auto"/>
        <w:contextualSpacing/>
        <w:jc w:val="both"/>
        <w:rPr>
          <w:rFonts w:ascii="Arial" w:hAnsi="Arial" w:cs="Arial"/>
        </w:rPr>
      </w:pPr>
    </w:p>
    <w:p w14:paraId="4DAAAB2F" w14:textId="1B31D685" w:rsidR="00C36A84" w:rsidRDefault="001E5460" w:rsidP="00C36A84">
      <w:pPr>
        <w:spacing w:after="0" w:line="300" w:lineRule="auto"/>
        <w:contextualSpacing/>
        <w:jc w:val="both"/>
        <w:rPr>
          <w:rFonts w:ascii="Arial" w:hAnsi="Arial" w:cs="Arial"/>
          <w:b/>
          <w:bCs/>
        </w:rPr>
      </w:pPr>
      <w:r>
        <w:rPr>
          <w:rFonts w:ascii="Arial" w:hAnsi="Arial" w:cs="Arial"/>
          <w:b/>
          <w:bCs/>
        </w:rPr>
        <w:t xml:space="preserve">Türkiye’nin ham </w:t>
      </w:r>
      <w:r w:rsidRPr="001E5460">
        <w:rPr>
          <w:rFonts w:ascii="Arial" w:hAnsi="Arial" w:cs="Arial"/>
          <w:b/>
          <w:bCs/>
        </w:rPr>
        <w:t xml:space="preserve">petrol stoku, net ithalatı 100 gün karşılamaya yetecek </w:t>
      </w:r>
      <w:r>
        <w:rPr>
          <w:rFonts w:ascii="Arial" w:hAnsi="Arial" w:cs="Arial"/>
          <w:b/>
          <w:bCs/>
        </w:rPr>
        <w:t>düzeyde</w:t>
      </w:r>
    </w:p>
    <w:p w14:paraId="1ADB9170" w14:textId="12B14EFA" w:rsidR="001B535E" w:rsidRPr="00DB4AB8" w:rsidRDefault="001B535E" w:rsidP="001B535E">
      <w:pPr>
        <w:spacing w:after="0" w:line="300" w:lineRule="auto"/>
        <w:contextualSpacing/>
        <w:jc w:val="both"/>
        <w:rPr>
          <w:rFonts w:ascii="Arial" w:hAnsi="Arial" w:cs="Arial"/>
        </w:rPr>
      </w:pPr>
      <w:r>
        <w:rPr>
          <w:rFonts w:ascii="Arial" w:hAnsi="Arial" w:cs="Arial"/>
        </w:rPr>
        <w:t>Doğal gaza benzer şekilde ülkemizin h</w:t>
      </w:r>
      <w:r w:rsidRPr="00DB4AB8">
        <w:rPr>
          <w:rFonts w:ascii="Arial" w:hAnsi="Arial" w:cs="Arial"/>
        </w:rPr>
        <w:t>am petrol ihtiyacının %90’ı</w:t>
      </w:r>
      <w:r>
        <w:rPr>
          <w:rFonts w:ascii="Arial" w:hAnsi="Arial" w:cs="Arial"/>
        </w:rPr>
        <w:t xml:space="preserve"> da </w:t>
      </w:r>
      <w:r w:rsidRPr="00DB4AB8">
        <w:rPr>
          <w:rFonts w:ascii="Arial" w:hAnsi="Arial" w:cs="Arial"/>
        </w:rPr>
        <w:t xml:space="preserve">ithalat yoluyla </w:t>
      </w:r>
      <w:r>
        <w:rPr>
          <w:rFonts w:ascii="Arial" w:hAnsi="Arial" w:cs="Arial"/>
        </w:rPr>
        <w:t>karşılanıyor</w:t>
      </w:r>
      <w:r w:rsidRPr="00DB4AB8">
        <w:rPr>
          <w:rFonts w:ascii="Arial" w:hAnsi="Arial" w:cs="Arial"/>
        </w:rPr>
        <w:t xml:space="preserve">. </w:t>
      </w:r>
      <w:r>
        <w:rPr>
          <w:rFonts w:ascii="Arial" w:hAnsi="Arial" w:cs="Arial"/>
        </w:rPr>
        <w:t xml:space="preserve">Türkiye </w:t>
      </w:r>
      <w:r w:rsidRPr="00DB4AB8">
        <w:rPr>
          <w:rFonts w:ascii="Arial" w:hAnsi="Arial" w:cs="Arial"/>
        </w:rPr>
        <w:t xml:space="preserve">2021 yılında 3,4 milyon ton ham petrol </w:t>
      </w:r>
      <w:r w:rsidR="000B22C3">
        <w:rPr>
          <w:rFonts w:ascii="Arial" w:hAnsi="Arial" w:cs="Arial"/>
        </w:rPr>
        <w:t xml:space="preserve">üretti. </w:t>
      </w:r>
      <w:r>
        <w:rPr>
          <w:rFonts w:ascii="Arial" w:hAnsi="Arial" w:cs="Arial"/>
        </w:rPr>
        <w:t xml:space="preserve">Bu </w:t>
      </w:r>
      <w:r w:rsidRPr="00DB4AB8">
        <w:rPr>
          <w:rFonts w:ascii="Arial" w:hAnsi="Arial" w:cs="Arial"/>
        </w:rPr>
        <w:t>toplam 34,8 milyon ton</w:t>
      </w:r>
      <w:r>
        <w:rPr>
          <w:rFonts w:ascii="Arial" w:hAnsi="Arial" w:cs="Arial"/>
        </w:rPr>
        <w:t xml:space="preserve"> </w:t>
      </w:r>
      <w:r w:rsidRPr="00DB4AB8">
        <w:rPr>
          <w:rFonts w:ascii="Arial" w:hAnsi="Arial" w:cs="Arial"/>
        </w:rPr>
        <w:t>olan arzın %10’unu oluşturdu.</w:t>
      </w:r>
      <w:r>
        <w:rPr>
          <w:rFonts w:ascii="Arial" w:hAnsi="Arial" w:cs="Arial"/>
        </w:rPr>
        <w:t xml:space="preserve"> </w:t>
      </w:r>
      <w:r w:rsidRPr="00DB4AB8">
        <w:rPr>
          <w:rFonts w:ascii="Arial" w:hAnsi="Arial" w:cs="Arial"/>
        </w:rPr>
        <w:t>Derlenen aylık bildirimlere göre Türkiye’nin rafinerilerinde tutulan toplam ham petrol stoku,</w:t>
      </w:r>
      <w:r>
        <w:rPr>
          <w:rFonts w:ascii="Arial" w:hAnsi="Arial" w:cs="Arial"/>
        </w:rPr>
        <w:t xml:space="preserve"> </w:t>
      </w:r>
      <w:r w:rsidRPr="00DB4AB8">
        <w:rPr>
          <w:rFonts w:ascii="Arial" w:hAnsi="Arial" w:cs="Arial"/>
        </w:rPr>
        <w:t>2021 yılı sonu itibarıyla ülkenin net ithalatını 100 gün</w:t>
      </w:r>
      <w:r>
        <w:rPr>
          <w:rFonts w:ascii="Arial" w:hAnsi="Arial" w:cs="Arial"/>
        </w:rPr>
        <w:t xml:space="preserve"> </w:t>
      </w:r>
      <w:r w:rsidRPr="00DB4AB8">
        <w:rPr>
          <w:rFonts w:ascii="Arial" w:hAnsi="Arial" w:cs="Arial"/>
        </w:rPr>
        <w:t>karşılamaya yetecek düzeyde.</w:t>
      </w:r>
    </w:p>
    <w:p w14:paraId="44E8E55F" w14:textId="77777777" w:rsidR="001E5460" w:rsidRDefault="001E5460" w:rsidP="00DB4AB8">
      <w:pPr>
        <w:spacing w:after="0" w:line="300" w:lineRule="auto"/>
        <w:contextualSpacing/>
        <w:jc w:val="both"/>
        <w:rPr>
          <w:rFonts w:ascii="Arial" w:hAnsi="Arial" w:cs="Arial"/>
        </w:rPr>
      </w:pPr>
    </w:p>
    <w:p w14:paraId="4D3A322B" w14:textId="5F4BFE9A" w:rsidR="00DB4AB8" w:rsidRPr="001E5460" w:rsidRDefault="001E5460" w:rsidP="00DB4AB8">
      <w:pPr>
        <w:spacing w:after="0" w:line="300" w:lineRule="auto"/>
        <w:contextualSpacing/>
        <w:jc w:val="both"/>
        <w:rPr>
          <w:rFonts w:ascii="Arial" w:hAnsi="Arial" w:cs="Arial"/>
          <w:b/>
          <w:bCs/>
        </w:rPr>
      </w:pPr>
      <w:r w:rsidRPr="001E5460">
        <w:rPr>
          <w:rFonts w:ascii="Arial" w:hAnsi="Arial" w:cs="Arial"/>
          <w:b/>
          <w:bCs/>
        </w:rPr>
        <w:t>Türkiye, günlük ham petrol üretimini 2023 yılına kadar %75 oranında artırmayı hedefliyor</w:t>
      </w:r>
    </w:p>
    <w:p w14:paraId="63F5262E" w14:textId="21CD8996" w:rsidR="00DB4AB8" w:rsidRPr="00DB4AB8" w:rsidRDefault="00DB4AB8" w:rsidP="00DB4AB8">
      <w:pPr>
        <w:spacing w:after="0" w:line="300" w:lineRule="auto"/>
        <w:contextualSpacing/>
        <w:jc w:val="both"/>
        <w:rPr>
          <w:rFonts w:ascii="Arial" w:hAnsi="Arial" w:cs="Arial"/>
        </w:rPr>
      </w:pPr>
      <w:r w:rsidRPr="00DB4AB8">
        <w:rPr>
          <w:rFonts w:ascii="Arial" w:hAnsi="Arial" w:cs="Arial"/>
        </w:rPr>
        <w:t>Artan ham petrol talebi ve arzda %90 oranında dışa</w:t>
      </w:r>
      <w:r>
        <w:rPr>
          <w:rFonts w:ascii="Arial" w:hAnsi="Arial" w:cs="Arial"/>
        </w:rPr>
        <w:t xml:space="preserve"> </w:t>
      </w:r>
      <w:r w:rsidRPr="00DB4AB8">
        <w:rPr>
          <w:rFonts w:ascii="Arial" w:hAnsi="Arial" w:cs="Arial"/>
        </w:rPr>
        <w:t>bağımlılık karşısında son yıllarda yeni petrol sahaları için</w:t>
      </w:r>
      <w:r>
        <w:rPr>
          <w:rFonts w:ascii="Arial" w:hAnsi="Arial" w:cs="Arial"/>
        </w:rPr>
        <w:t xml:space="preserve"> </w:t>
      </w:r>
      <w:r w:rsidRPr="00DB4AB8">
        <w:rPr>
          <w:rFonts w:ascii="Arial" w:hAnsi="Arial" w:cs="Arial"/>
        </w:rPr>
        <w:t>arama çalışmalarını hızlandı. Mevcut kuyuların çoğunun</w:t>
      </w:r>
      <w:r>
        <w:rPr>
          <w:rFonts w:ascii="Arial" w:hAnsi="Arial" w:cs="Arial"/>
        </w:rPr>
        <w:t xml:space="preserve"> </w:t>
      </w:r>
      <w:r w:rsidRPr="00DB4AB8">
        <w:rPr>
          <w:rFonts w:ascii="Arial" w:hAnsi="Arial" w:cs="Arial"/>
        </w:rPr>
        <w:t>üretim verimi, sahaların ilerleyen yaşı nedeniyle düşüyor.</w:t>
      </w:r>
      <w:r>
        <w:rPr>
          <w:rFonts w:ascii="Arial" w:hAnsi="Arial" w:cs="Arial"/>
        </w:rPr>
        <w:t xml:space="preserve"> </w:t>
      </w:r>
      <w:r w:rsidRPr="00DB4AB8">
        <w:rPr>
          <w:rFonts w:ascii="Arial" w:hAnsi="Arial" w:cs="Arial"/>
        </w:rPr>
        <w:t>Ancak TPAO, günlük ham petrol üretiminin 2023 yılına kadar</w:t>
      </w:r>
      <w:r>
        <w:rPr>
          <w:rFonts w:ascii="Arial" w:hAnsi="Arial" w:cs="Arial"/>
        </w:rPr>
        <w:t xml:space="preserve"> </w:t>
      </w:r>
      <w:r w:rsidRPr="00DB4AB8">
        <w:rPr>
          <w:rFonts w:ascii="Arial" w:hAnsi="Arial" w:cs="Arial"/>
        </w:rPr>
        <w:t>%75 oranında artmasını hedefliyor. Bu doğrultuda yeni</w:t>
      </w:r>
      <w:r>
        <w:rPr>
          <w:rFonts w:ascii="Arial" w:hAnsi="Arial" w:cs="Arial"/>
        </w:rPr>
        <w:t xml:space="preserve"> </w:t>
      </w:r>
      <w:r w:rsidRPr="00DB4AB8">
        <w:rPr>
          <w:rFonts w:ascii="Arial" w:hAnsi="Arial" w:cs="Arial"/>
        </w:rPr>
        <w:t>konvansiyonel olmayan arama faaliyetlerine ek olarak, son</w:t>
      </w:r>
      <w:r>
        <w:rPr>
          <w:rFonts w:ascii="Arial" w:hAnsi="Arial" w:cs="Arial"/>
        </w:rPr>
        <w:t xml:space="preserve"> </w:t>
      </w:r>
      <w:r w:rsidRPr="00DB4AB8">
        <w:rPr>
          <w:rFonts w:ascii="Arial" w:hAnsi="Arial" w:cs="Arial"/>
        </w:rPr>
        <w:t>yıllarda kamu envanterine katılan iki sismik araştırma ve üç</w:t>
      </w:r>
      <w:r w:rsidR="001E5460">
        <w:rPr>
          <w:rFonts w:ascii="Arial" w:hAnsi="Arial" w:cs="Arial"/>
        </w:rPr>
        <w:t xml:space="preserve"> </w:t>
      </w:r>
      <w:r w:rsidRPr="00DB4AB8">
        <w:rPr>
          <w:rFonts w:ascii="Arial" w:hAnsi="Arial" w:cs="Arial"/>
        </w:rPr>
        <w:t>sondaj gemisinden oluşan filoyla Karadeniz ve Akdeniz’de</w:t>
      </w:r>
      <w:r>
        <w:rPr>
          <w:rFonts w:ascii="Arial" w:hAnsi="Arial" w:cs="Arial"/>
        </w:rPr>
        <w:t xml:space="preserve"> </w:t>
      </w:r>
      <w:r w:rsidRPr="00DB4AB8">
        <w:rPr>
          <w:rFonts w:ascii="Arial" w:hAnsi="Arial" w:cs="Arial"/>
        </w:rPr>
        <w:t>arama faaliyetlerine başlandı. Sakarya sahasındaki derin</w:t>
      </w:r>
      <w:r>
        <w:rPr>
          <w:rFonts w:ascii="Arial" w:hAnsi="Arial" w:cs="Arial"/>
        </w:rPr>
        <w:t xml:space="preserve"> </w:t>
      </w:r>
      <w:r w:rsidRPr="00DB4AB8">
        <w:rPr>
          <w:rFonts w:ascii="Arial" w:hAnsi="Arial" w:cs="Arial"/>
        </w:rPr>
        <w:t>deniz sondajları sonucunda 2020 yılında Tuna-1 kuyusunda</w:t>
      </w:r>
      <w:r>
        <w:rPr>
          <w:rFonts w:ascii="Arial" w:hAnsi="Arial" w:cs="Arial"/>
        </w:rPr>
        <w:t xml:space="preserve"> </w:t>
      </w:r>
      <w:r w:rsidRPr="00DB4AB8">
        <w:rPr>
          <w:rFonts w:ascii="Arial" w:hAnsi="Arial" w:cs="Arial"/>
        </w:rPr>
        <w:t>ve 2021 yılında Amasra-1 kuyusunda bulunan doğal gaz</w:t>
      </w:r>
      <w:r>
        <w:rPr>
          <w:rFonts w:ascii="Arial" w:hAnsi="Arial" w:cs="Arial"/>
        </w:rPr>
        <w:t xml:space="preserve"> </w:t>
      </w:r>
      <w:r w:rsidRPr="00DB4AB8">
        <w:rPr>
          <w:rFonts w:ascii="Arial" w:hAnsi="Arial" w:cs="Arial"/>
        </w:rPr>
        <w:t>rezervleri, açıklanan ilk keşifler oldu.</w:t>
      </w:r>
    </w:p>
    <w:p w14:paraId="4EC6A81F" w14:textId="01734A91" w:rsidR="00DB4AB8" w:rsidRDefault="00DB4AB8" w:rsidP="00DB4AB8">
      <w:pPr>
        <w:spacing w:after="0" w:line="300" w:lineRule="auto"/>
        <w:contextualSpacing/>
        <w:jc w:val="both"/>
        <w:rPr>
          <w:rFonts w:ascii="Arial" w:hAnsi="Arial" w:cs="Arial"/>
        </w:rPr>
      </w:pPr>
    </w:p>
    <w:p w14:paraId="3F005060" w14:textId="0094AAE8" w:rsidR="001E5460" w:rsidRPr="001E5460" w:rsidRDefault="001E5460" w:rsidP="00DB4AB8">
      <w:pPr>
        <w:spacing w:after="0" w:line="300" w:lineRule="auto"/>
        <w:contextualSpacing/>
        <w:jc w:val="both"/>
        <w:rPr>
          <w:rFonts w:ascii="Arial" w:hAnsi="Arial" w:cs="Arial"/>
          <w:b/>
          <w:bCs/>
        </w:rPr>
      </w:pPr>
      <w:r w:rsidRPr="001E5460">
        <w:rPr>
          <w:rFonts w:ascii="Arial" w:hAnsi="Arial" w:cs="Arial"/>
          <w:b/>
          <w:bCs/>
        </w:rPr>
        <w:t>Akaryakıtta en fazla talep motorinde</w:t>
      </w:r>
    </w:p>
    <w:p w14:paraId="750F8DC7" w14:textId="704047F4" w:rsidR="00DB4AB8" w:rsidRPr="00DB4AB8" w:rsidRDefault="00DB4AB8" w:rsidP="00DB4AB8">
      <w:pPr>
        <w:spacing w:after="0" w:line="300" w:lineRule="auto"/>
        <w:contextualSpacing/>
        <w:jc w:val="both"/>
        <w:rPr>
          <w:rFonts w:ascii="Arial" w:hAnsi="Arial" w:cs="Arial"/>
        </w:rPr>
      </w:pPr>
      <w:r w:rsidRPr="00DB4AB8">
        <w:rPr>
          <w:rFonts w:ascii="Arial" w:hAnsi="Arial" w:cs="Arial"/>
        </w:rPr>
        <w:t>Türkiye’de yılda toplam 40 milyon ton ham petrol işleme</w:t>
      </w:r>
      <w:r>
        <w:rPr>
          <w:rFonts w:ascii="Arial" w:hAnsi="Arial" w:cs="Arial"/>
        </w:rPr>
        <w:t xml:space="preserve"> </w:t>
      </w:r>
      <w:r w:rsidRPr="00DB4AB8">
        <w:rPr>
          <w:rFonts w:ascii="Arial" w:hAnsi="Arial" w:cs="Arial"/>
        </w:rPr>
        <w:t xml:space="preserve">kapasitesine sahip beş adet rafineri </w:t>
      </w:r>
      <w:r w:rsidR="001E5460">
        <w:rPr>
          <w:rFonts w:ascii="Arial" w:hAnsi="Arial" w:cs="Arial"/>
        </w:rPr>
        <w:t>bulunuyor</w:t>
      </w:r>
      <w:r w:rsidRPr="00DB4AB8">
        <w:rPr>
          <w:rFonts w:ascii="Arial" w:hAnsi="Arial" w:cs="Arial"/>
        </w:rPr>
        <w:t xml:space="preserve">. </w:t>
      </w:r>
      <w:r w:rsidR="001E5460">
        <w:rPr>
          <w:rFonts w:ascii="Arial" w:hAnsi="Arial" w:cs="Arial"/>
        </w:rPr>
        <w:t xml:space="preserve">Bu </w:t>
      </w:r>
      <w:r w:rsidRPr="00DB4AB8">
        <w:rPr>
          <w:rFonts w:ascii="Arial" w:hAnsi="Arial" w:cs="Arial"/>
        </w:rPr>
        <w:t xml:space="preserve">rafinerilerin 2021 yılında ürettikleri toplam 26,2 milyon ton akaryakıt, Türkiye’nin </w:t>
      </w:r>
      <w:r w:rsidRPr="00DB4AB8">
        <w:rPr>
          <w:rFonts w:ascii="Arial" w:hAnsi="Arial" w:cs="Arial"/>
        </w:rPr>
        <w:lastRenderedPageBreak/>
        <w:t>37</w:t>
      </w:r>
      <w:r w:rsidR="001E5460">
        <w:rPr>
          <w:rFonts w:ascii="Arial" w:hAnsi="Arial" w:cs="Arial"/>
        </w:rPr>
        <w:t>,</w:t>
      </w:r>
      <w:r w:rsidRPr="00DB4AB8">
        <w:rPr>
          <w:rFonts w:ascii="Arial" w:hAnsi="Arial" w:cs="Arial"/>
        </w:rPr>
        <w:t>4 milyon ton akaryakıt arzının %70’ini</w:t>
      </w:r>
      <w:r>
        <w:rPr>
          <w:rFonts w:ascii="Arial" w:hAnsi="Arial" w:cs="Arial"/>
        </w:rPr>
        <w:t xml:space="preserve"> </w:t>
      </w:r>
      <w:r w:rsidRPr="00DB4AB8">
        <w:rPr>
          <w:rFonts w:ascii="Arial" w:hAnsi="Arial" w:cs="Arial"/>
        </w:rPr>
        <w:t>oluşturdu. Kalan 11,2 milyon ton ise %81’i motorin olmak üzere ithal edildi. Öte yandan 2021 yılında oluşan toplam talebin</w:t>
      </w:r>
      <w:r>
        <w:rPr>
          <w:rFonts w:ascii="Arial" w:hAnsi="Arial" w:cs="Arial"/>
        </w:rPr>
        <w:t xml:space="preserve"> </w:t>
      </w:r>
      <w:r w:rsidRPr="00DB4AB8">
        <w:rPr>
          <w:rFonts w:ascii="Arial" w:hAnsi="Arial" w:cs="Arial"/>
        </w:rPr>
        <w:t>%78’i tüketime, %22’i ise ihracata yönelik oldu.</w:t>
      </w:r>
      <w:r w:rsidR="001E5460">
        <w:rPr>
          <w:rFonts w:ascii="Arial" w:hAnsi="Arial" w:cs="Arial"/>
        </w:rPr>
        <w:t xml:space="preserve"> </w:t>
      </w:r>
      <w:r w:rsidRPr="00DB4AB8">
        <w:rPr>
          <w:rFonts w:ascii="Arial" w:hAnsi="Arial" w:cs="Arial"/>
        </w:rPr>
        <w:t>Kısıtlamaların kalkmasıyla artan ulaşım faaliyetlerinin de etkisiyle akaryakıt talebi Mart 2021’den itibaren yükseldi. Motorin,</w:t>
      </w:r>
      <w:r>
        <w:rPr>
          <w:rFonts w:ascii="Arial" w:hAnsi="Arial" w:cs="Arial"/>
        </w:rPr>
        <w:t xml:space="preserve"> </w:t>
      </w:r>
      <w:r w:rsidRPr="00DB4AB8">
        <w:rPr>
          <w:rFonts w:ascii="Arial" w:hAnsi="Arial" w:cs="Arial"/>
        </w:rPr>
        <w:t>28,8 milyon ton ile toplam yıllık talebin %74’ünü oluşturdu. Bunu 4,7 milyon ton ile benzin ve 3</w:t>
      </w:r>
      <w:r w:rsidR="001E5460">
        <w:rPr>
          <w:rFonts w:ascii="Arial" w:hAnsi="Arial" w:cs="Arial"/>
        </w:rPr>
        <w:t>,</w:t>
      </w:r>
      <w:r w:rsidRPr="00DB4AB8">
        <w:rPr>
          <w:rFonts w:ascii="Arial" w:hAnsi="Arial" w:cs="Arial"/>
        </w:rPr>
        <w:t>5 milyon ton ile havacılık</w:t>
      </w:r>
      <w:r>
        <w:rPr>
          <w:rFonts w:ascii="Arial" w:hAnsi="Arial" w:cs="Arial"/>
        </w:rPr>
        <w:t xml:space="preserve"> </w:t>
      </w:r>
      <w:r w:rsidRPr="00DB4AB8">
        <w:rPr>
          <w:rFonts w:ascii="Arial" w:hAnsi="Arial" w:cs="Arial"/>
        </w:rPr>
        <w:t xml:space="preserve">yakıtları izledi. Denizcilik yakıtı talebi 1,3 milyon ton iken </w:t>
      </w:r>
      <w:proofErr w:type="spellStart"/>
      <w:r w:rsidRPr="00DB4AB8">
        <w:rPr>
          <w:rFonts w:ascii="Arial" w:hAnsi="Arial" w:cs="Arial"/>
        </w:rPr>
        <w:t>fuel</w:t>
      </w:r>
      <w:proofErr w:type="spellEnd"/>
      <w:r w:rsidRPr="00DB4AB8">
        <w:rPr>
          <w:rFonts w:ascii="Arial" w:hAnsi="Arial" w:cs="Arial"/>
        </w:rPr>
        <w:t xml:space="preserve"> </w:t>
      </w:r>
      <w:proofErr w:type="spellStart"/>
      <w:r w:rsidRPr="00DB4AB8">
        <w:rPr>
          <w:rFonts w:ascii="Arial" w:hAnsi="Arial" w:cs="Arial"/>
        </w:rPr>
        <w:t>oil</w:t>
      </w:r>
      <w:proofErr w:type="spellEnd"/>
      <w:r w:rsidRPr="00DB4AB8">
        <w:rPr>
          <w:rFonts w:ascii="Arial" w:hAnsi="Arial" w:cs="Arial"/>
        </w:rPr>
        <w:t xml:space="preserve"> talebi 0,5 milyon ton oldu.</w:t>
      </w:r>
    </w:p>
    <w:p w14:paraId="65004C36" w14:textId="577893F9" w:rsidR="0028718E" w:rsidRDefault="0028718E" w:rsidP="00DB4AB8">
      <w:pPr>
        <w:spacing w:after="0" w:line="300" w:lineRule="auto"/>
        <w:contextualSpacing/>
        <w:jc w:val="both"/>
        <w:rPr>
          <w:rFonts w:ascii="Arial" w:hAnsi="Arial" w:cs="Arial"/>
        </w:rPr>
      </w:pPr>
    </w:p>
    <w:p w14:paraId="47D1A7ED" w14:textId="67D71C89" w:rsidR="0028718E" w:rsidRPr="00DB4AB8" w:rsidRDefault="0028718E" w:rsidP="00C4496F">
      <w:pPr>
        <w:rPr>
          <w:rFonts w:ascii="Arial" w:hAnsi="Arial" w:cs="Arial"/>
        </w:rPr>
      </w:pPr>
      <w:r>
        <w:rPr>
          <w:rFonts w:ascii="Arial" w:hAnsi="Arial" w:cs="Arial"/>
        </w:rPr>
        <w:t>Raporun tamamına</w:t>
      </w:r>
      <w:r w:rsidRPr="00C4496F">
        <w:rPr>
          <w:rFonts w:ascii="Arial" w:hAnsi="Arial" w:cs="Arial"/>
        </w:rPr>
        <w:t xml:space="preserve"> </w:t>
      </w:r>
      <w:hyperlink r:id="rId11" w:history="1">
        <w:r w:rsidR="00C4496F" w:rsidRPr="00C4496F">
          <w:rPr>
            <w:rStyle w:val="Kpr"/>
            <w:rFonts w:ascii="Arial" w:hAnsi="Arial" w:cs="Arial"/>
          </w:rPr>
          <w:t>buradan</w:t>
        </w:r>
      </w:hyperlink>
      <w:r w:rsidR="00C4496F">
        <w:t xml:space="preserve"> </w:t>
      </w:r>
      <w:r>
        <w:rPr>
          <w:rFonts w:ascii="Arial" w:hAnsi="Arial" w:cs="Arial"/>
        </w:rPr>
        <w:t>ulaşabilirsiniz.</w:t>
      </w:r>
    </w:p>
    <w:p w14:paraId="5D19A030" w14:textId="77777777" w:rsidR="00DB4AB8" w:rsidRPr="00DB4AB8" w:rsidRDefault="00DB4AB8" w:rsidP="00DB4AB8">
      <w:pPr>
        <w:spacing w:after="0" w:line="300" w:lineRule="auto"/>
        <w:contextualSpacing/>
        <w:jc w:val="both"/>
        <w:rPr>
          <w:rFonts w:ascii="Arial" w:hAnsi="Arial" w:cs="Arial"/>
          <w:b/>
          <w:bCs/>
        </w:rPr>
      </w:pPr>
    </w:p>
    <w:p w14:paraId="2383D20D" w14:textId="77777777" w:rsidR="00D322B8" w:rsidRPr="00997F8E" w:rsidRDefault="00D322B8" w:rsidP="004A399D">
      <w:pPr>
        <w:spacing w:after="0" w:line="240" w:lineRule="auto"/>
        <w:contextualSpacing/>
        <w:jc w:val="both"/>
        <w:rPr>
          <w:b/>
          <w:bCs/>
          <w:sz w:val="16"/>
          <w:szCs w:val="16"/>
          <w:u w:val="single"/>
        </w:rPr>
      </w:pPr>
      <w:r w:rsidRPr="00997F8E">
        <w:rPr>
          <w:b/>
          <w:sz w:val="16"/>
          <w:szCs w:val="16"/>
          <w:u w:val="single"/>
        </w:rPr>
        <w:t>KPMG Hakkında</w:t>
      </w:r>
    </w:p>
    <w:p w14:paraId="131DF718" w14:textId="77777777" w:rsidR="00D322B8" w:rsidRPr="00997F8E" w:rsidRDefault="00D322B8" w:rsidP="004A399D">
      <w:pPr>
        <w:spacing w:after="0" w:line="240" w:lineRule="auto"/>
        <w:contextualSpacing/>
        <w:jc w:val="both"/>
        <w:rPr>
          <w:color w:val="000000"/>
          <w:sz w:val="24"/>
          <w:szCs w:val="24"/>
        </w:rPr>
      </w:pPr>
      <w:r w:rsidRPr="00997F8E">
        <w:rPr>
          <w:color w:val="000000"/>
          <w:sz w:val="18"/>
          <w:szCs w:val="18"/>
        </w:rPr>
        <w:t xml:space="preserve">Denetim, vergi ve danışmanlık alanında teknoloji temelli hizmetler sunan KPMG, geçmişi 1867 yılına dayanan, üye firmalar ağı sistemiyle 145 ülkede 236 binin üzerinde çalışanıyla faaliyet gösteriyor. Finansal hizmetler, tüketici ürünleri, otomotiv; endüstriyel sektörlerden gıda, perakende, enerji, telekomünikasyon, kimya gibi pek çok sektöre danışmanlık hizmeti sağlıyor. KPMG Türkiye ise İstanbul merkez ofisinin yanı sıra Ankara, İzmir ve Bursa ofisleriyle, 1982 yılından beri 1.850 çalışanıyla her sektörden 4 binin üzerinde firmaya sektörler özelinde hizmet veriyor. 2020 yılında küresel ağın </w:t>
      </w:r>
      <w:proofErr w:type="spellStart"/>
      <w:r w:rsidRPr="00997F8E">
        <w:rPr>
          <w:color w:val="000000"/>
          <w:sz w:val="18"/>
          <w:szCs w:val="18"/>
        </w:rPr>
        <w:t>Lighthouse</w:t>
      </w:r>
      <w:proofErr w:type="spellEnd"/>
      <w:r w:rsidRPr="00997F8E">
        <w:rPr>
          <w:color w:val="000000"/>
          <w:sz w:val="18"/>
          <w:szCs w:val="18"/>
        </w:rPr>
        <w:t xml:space="preserve"> lisansını alarak yeni teknolojilerde dünyadaki mükemmeliyet merkezleri arasına giren KPMG Türkiye, müşterilerine değer yaratan çözümler sunuyor. Detaylı bilgi için</w:t>
      </w:r>
      <w:r w:rsidRPr="00997F8E">
        <w:rPr>
          <w:rStyle w:val="apple-converted-space"/>
          <w:color w:val="000000"/>
          <w:sz w:val="18"/>
          <w:szCs w:val="18"/>
        </w:rPr>
        <w:t> </w:t>
      </w:r>
      <w:hyperlink r:id="rId12" w:tooltip="http://www.kpmg.com.tr/" w:history="1">
        <w:r w:rsidRPr="00997F8E">
          <w:rPr>
            <w:rStyle w:val="Kpr"/>
            <w:color w:val="954F72"/>
            <w:sz w:val="18"/>
            <w:szCs w:val="18"/>
          </w:rPr>
          <w:t>www.kpmg.com.tr</w:t>
        </w:r>
      </w:hyperlink>
      <w:r w:rsidRPr="00997F8E">
        <w:rPr>
          <w:rStyle w:val="apple-converted-space"/>
          <w:color w:val="000000"/>
          <w:sz w:val="18"/>
          <w:szCs w:val="18"/>
        </w:rPr>
        <w:t> </w:t>
      </w:r>
      <w:r w:rsidRPr="00997F8E">
        <w:rPr>
          <w:color w:val="000000"/>
          <w:sz w:val="18"/>
          <w:szCs w:val="18"/>
        </w:rPr>
        <w:t>adresine başvurabilirsiniz.</w:t>
      </w:r>
    </w:p>
    <w:p w14:paraId="7F9D1A4C" w14:textId="77777777" w:rsidR="00D322B8" w:rsidRPr="00997F8E" w:rsidRDefault="00D322B8" w:rsidP="004A399D">
      <w:pPr>
        <w:pBdr>
          <w:top w:val="nil"/>
          <w:left w:val="nil"/>
          <w:bottom w:val="nil"/>
          <w:right w:val="nil"/>
          <w:between w:val="nil"/>
        </w:pBdr>
        <w:spacing w:after="0" w:line="240" w:lineRule="auto"/>
        <w:contextualSpacing/>
        <w:jc w:val="both"/>
        <w:rPr>
          <w:sz w:val="18"/>
          <w:szCs w:val="18"/>
        </w:rPr>
      </w:pPr>
    </w:p>
    <w:p w14:paraId="4906D9DC" w14:textId="4B8BD0B3" w:rsidR="00D322B8" w:rsidRPr="00997F8E" w:rsidRDefault="00D322B8" w:rsidP="004A399D">
      <w:pPr>
        <w:pBdr>
          <w:top w:val="nil"/>
          <w:left w:val="nil"/>
          <w:bottom w:val="nil"/>
          <w:right w:val="nil"/>
          <w:between w:val="nil"/>
        </w:pBdr>
        <w:spacing w:after="0" w:line="240" w:lineRule="auto"/>
        <w:contextualSpacing/>
        <w:jc w:val="both"/>
        <w:rPr>
          <w:rFonts w:ascii="Tahoma" w:eastAsia="Tahoma" w:hAnsi="Tahoma" w:cs="Tahoma"/>
          <w:b/>
          <w:sz w:val="18"/>
          <w:szCs w:val="18"/>
        </w:rPr>
      </w:pPr>
      <w:r w:rsidRPr="00997F8E">
        <w:rPr>
          <w:rFonts w:ascii="Tahoma" w:eastAsia="Tahoma" w:hAnsi="Tahoma" w:cs="Tahoma"/>
          <w:b/>
          <w:sz w:val="18"/>
          <w:szCs w:val="18"/>
        </w:rPr>
        <w:t xml:space="preserve">Bilgi </w:t>
      </w:r>
      <w:r w:rsidR="004D1FE9" w:rsidRPr="00997F8E">
        <w:rPr>
          <w:rFonts w:ascii="Tahoma" w:eastAsia="Tahoma" w:hAnsi="Tahoma" w:cs="Tahoma"/>
          <w:b/>
          <w:sz w:val="18"/>
          <w:szCs w:val="18"/>
        </w:rPr>
        <w:t>i</w:t>
      </w:r>
      <w:r w:rsidRPr="00997F8E">
        <w:rPr>
          <w:rFonts w:ascii="Tahoma" w:eastAsia="Tahoma" w:hAnsi="Tahoma" w:cs="Tahoma"/>
          <w:b/>
          <w:sz w:val="18"/>
          <w:szCs w:val="18"/>
        </w:rPr>
        <w:t xml:space="preserve">çin: </w:t>
      </w:r>
      <w:r w:rsidRPr="00997F8E">
        <w:rPr>
          <w:rFonts w:ascii="Tahoma" w:eastAsia="Tahoma" w:hAnsi="Tahoma" w:cs="Tahoma"/>
          <w:b/>
          <w:sz w:val="18"/>
          <w:szCs w:val="18"/>
        </w:rPr>
        <w:tab/>
      </w:r>
    </w:p>
    <w:p w14:paraId="26E09754" w14:textId="77777777" w:rsidR="00D322B8" w:rsidRPr="00997F8E" w:rsidRDefault="00D322B8" w:rsidP="004A399D">
      <w:pPr>
        <w:pBdr>
          <w:top w:val="nil"/>
          <w:left w:val="nil"/>
          <w:bottom w:val="nil"/>
          <w:right w:val="nil"/>
          <w:between w:val="nil"/>
        </w:pBdr>
        <w:spacing w:after="0" w:line="240" w:lineRule="auto"/>
        <w:contextualSpacing/>
        <w:jc w:val="both"/>
        <w:rPr>
          <w:rFonts w:ascii="Tahoma" w:eastAsia="Tahoma" w:hAnsi="Tahoma" w:cs="Tahoma"/>
          <w:bCs/>
          <w:color w:val="000000" w:themeColor="text1"/>
          <w:sz w:val="18"/>
          <w:szCs w:val="18"/>
        </w:rPr>
      </w:pPr>
      <w:r w:rsidRPr="00997F8E">
        <w:rPr>
          <w:rFonts w:ascii="Tahoma" w:eastAsia="Tahoma" w:hAnsi="Tahoma" w:cs="Tahoma"/>
          <w:color w:val="000000" w:themeColor="text1"/>
          <w:sz w:val="18"/>
          <w:szCs w:val="18"/>
        </w:rPr>
        <w:t>Ceren Moral Aru</w:t>
      </w:r>
    </w:p>
    <w:p w14:paraId="111A3328" w14:textId="77777777" w:rsidR="00D322B8" w:rsidRPr="00997F8E" w:rsidRDefault="00D322B8" w:rsidP="004A399D">
      <w:pPr>
        <w:pBdr>
          <w:top w:val="nil"/>
          <w:left w:val="nil"/>
          <w:bottom w:val="nil"/>
          <w:right w:val="nil"/>
          <w:between w:val="nil"/>
        </w:pBdr>
        <w:spacing w:after="0" w:line="240" w:lineRule="auto"/>
        <w:contextualSpacing/>
        <w:jc w:val="both"/>
        <w:rPr>
          <w:rFonts w:ascii="Tahoma" w:eastAsia="Tahoma" w:hAnsi="Tahoma" w:cs="Tahoma"/>
          <w:bCs/>
          <w:color w:val="000000" w:themeColor="text1"/>
          <w:sz w:val="18"/>
          <w:szCs w:val="18"/>
        </w:rPr>
      </w:pPr>
      <w:r w:rsidRPr="00997F8E">
        <w:rPr>
          <w:rFonts w:ascii="Tahoma" w:eastAsia="Tahoma" w:hAnsi="Tahoma" w:cs="Tahoma"/>
          <w:color w:val="000000" w:themeColor="text1"/>
          <w:sz w:val="18"/>
          <w:szCs w:val="18"/>
        </w:rPr>
        <w:t>0533 921 43 53</w:t>
      </w:r>
    </w:p>
    <w:p w14:paraId="35293D81" w14:textId="77777777" w:rsidR="00D322B8" w:rsidRPr="00997F8E" w:rsidRDefault="00D322B8" w:rsidP="004A399D">
      <w:pPr>
        <w:pBdr>
          <w:top w:val="nil"/>
          <w:left w:val="nil"/>
          <w:bottom w:val="nil"/>
          <w:right w:val="nil"/>
          <w:between w:val="nil"/>
        </w:pBdr>
        <w:spacing w:after="0" w:line="240" w:lineRule="auto"/>
        <w:contextualSpacing/>
        <w:jc w:val="both"/>
        <w:rPr>
          <w:rFonts w:ascii="Tahoma" w:eastAsia="Tahoma" w:hAnsi="Tahoma" w:cs="Tahoma"/>
          <w:bCs/>
          <w:color w:val="000000" w:themeColor="text1"/>
          <w:sz w:val="18"/>
          <w:szCs w:val="18"/>
        </w:rPr>
      </w:pPr>
      <w:r w:rsidRPr="00997F8E">
        <w:rPr>
          <w:rFonts w:ascii="Tahoma" w:eastAsia="Tahoma" w:hAnsi="Tahoma" w:cs="Tahoma"/>
          <w:color w:val="000000" w:themeColor="text1"/>
          <w:sz w:val="18"/>
          <w:szCs w:val="18"/>
        </w:rPr>
        <w:t>cerenm@marjinal.com.tr</w:t>
      </w:r>
    </w:p>
    <w:p w14:paraId="3359F04C" w14:textId="77777777" w:rsidR="00D322B8" w:rsidRPr="00997F8E" w:rsidRDefault="00D322B8" w:rsidP="00FB099A">
      <w:pPr>
        <w:rPr>
          <w:rFonts w:ascii="Arial" w:hAnsi="Arial" w:cs="Arial"/>
        </w:rPr>
      </w:pPr>
    </w:p>
    <w:p w14:paraId="62516F6D" w14:textId="77777777" w:rsidR="00511A4F" w:rsidRPr="00997F8E" w:rsidRDefault="00511A4F" w:rsidP="00FB099A">
      <w:pPr>
        <w:rPr>
          <w:rFonts w:ascii="Arial" w:hAnsi="Arial" w:cs="Arial"/>
        </w:rPr>
      </w:pPr>
    </w:p>
    <w:p w14:paraId="2699C430" w14:textId="2F228AE0" w:rsidR="00AD1559" w:rsidRPr="00997F8E" w:rsidRDefault="00AD1559" w:rsidP="0097526A">
      <w:pPr>
        <w:pStyle w:val="chrome"/>
        <w:shd w:val="clear" w:color="auto" w:fill="FFFFFF"/>
        <w:spacing w:before="0" w:beforeAutospacing="0" w:after="0" w:afterAutospacing="0"/>
        <w:textAlignment w:val="baseline"/>
        <w:rPr>
          <w:rFonts w:ascii="Arial" w:hAnsi="Arial" w:cs="Arial"/>
          <w:color w:val="333333"/>
          <w:sz w:val="22"/>
          <w:szCs w:val="22"/>
        </w:rPr>
      </w:pPr>
    </w:p>
    <w:p w14:paraId="6C7DDD1E" w14:textId="3398AD21" w:rsidR="00376CAF" w:rsidRPr="00997F8E" w:rsidRDefault="00376CAF" w:rsidP="00FB099A">
      <w:pPr>
        <w:rPr>
          <w:rFonts w:ascii="Arial" w:eastAsia="Times New Roman" w:hAnsi="Arial" w:cs="Arial"/>
          <w:color w:val="000000"/>
        </w:rPr>
      </w:pPr>
    </w:p>
    <w:p w14:paraId="2AB1866D" w14:textId="1B96F09F" w:rsidR="00376CAF" w:rsidRPr="00997F8E" w:rsidRDefault="00376CAF" w:rsidP="00376CAF">
      <w:pPr>
        <w:rPr>
          <w:rFonts w:ascii="Arial" w:hAnsi="Arial" w:cs="Arial"/>
        </w:rPr>
      </w:pPr>
    </w:p>
    <w:sectPr w:rsidR="00376CAF" w:rsidRPr="00997F8E" w:rsidSect="00D322B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3D59" w14:textId="77777777" w:rsidR="00E2161F" w:rsidRDefault="00E2161F" w:rsidP="00D322B8">
      <w:pPr>
        <w:spacing w:after="0" w:line="240" w:lineRule="auto"/>
      </w:pPr>
      <w:r>
        <w:separator/>
      </w:r>
    </w:p>
  </w:endnote>
  <w:endnote w:type="continuationSeparator" w:id="0">
    <w:p w14:paraId="5B2302F0" w14:textId="77777777" w:rsidR="00E2161F" w:rsidRDefault="00E2161F" w:rsidP="00D322B8">
      <w:pPr>
        <w:spacing w:after="0" w:line="240" w:lineRule="auto"/>
      </w:pPr>
      <w:r>
        <w:continuationSeparator/>
      </w:r>
    </w:p>
  </w:endnote>
  <w:endnote w:type="continuationNotice" w:id="1">
    <w:p w14:paraId="23D6EE67" w14:textId="77777777" w:rsidR="00E2161F" w:rsidRDefault="00E21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5FC1" w14:textId="77777777" w:rsidR="00425686" w:rsidRDefault="0042568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880C" w14:textId="77777777" w:rsidR="00E2161F" w:rsidRDefault="00E2161F" w:rsidP="00D322B8">
      <w:pPr>
        <w:spacing w:after="0" w:line="240" w:lineRule="auto"/>
      </w:pPr>
      <w:r>
        <w:separator/>
      </w:r>
    </w:p>
  </w:footnote>
  <w:footnote w:type="continuationSeparator" w:id="0">
    <w:p w14:paraId="6A777790" w14:textId="77777777" w:rsidR="00E2161F" w:rsidRDefault="00E2161F" w:rsidP="00D322B8">
      <w:pPr>
        <w:spacing w:after="0" w:line="240" w:lineRule="auto"/>
      </w:pPr>
      <w:r>
        <w:continuationSeparator/>
      </w:r>
    </w:p>
  </w:footnote>
  <w:footnote w:type="continuationNotice" w:id="1">
    <w:p w14:paraId="281CBCFF" w14:textId="77777777" w:rsidR="00E2161F" w:rsidRDefault="00E216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BA12" w14:textId="4EEF8F9A" w:rsidR="00D322B8" w:rsidRDefault="00D322B8">
    <w:pPr>
      <w:pStyle w:val="stBilgi"/>
    </w:pPr>
    <w:r w:rsidRPr="009A4977">
      <w:rPr>
        <w:rFonts w:ascii="Tahoma" w:hAnsi="Tahoma" w:cs="Tahoma"/>
        <w:noProof/>
        <w:lang w:eastAsia="tr-TR"/>
      </w:rPr>
      <w:drawing>
        <wp:anchor distT="0" distB="0" distL="114300" distR="114300" simplePos="0" relativeHeight="251659264" behindDoc="0" locked="0" layoutInCell="1" hidden="0" allowOverlap="1" wp14:anchorId="5764EE0C" wp14:editId="7D305421">
          <wp:simplePos x="0" y="0"/>
          <wp:positionH relativeFrom="column">
            <wp:posOffset>-158750</wp:posOffset>
          </wp:positionH>
          <wp:positionV relativeFrom="paragraph">
            <wp:posOffset>-248285</wp:posOffset>
          </wp:positionV>
          <wp:extent cx="1057275" cy="4445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89" b="20467"/>
                  <a:stretch>
                    <a:fillRect/>
                  </a:stretch>
                </pic:blipFill>
                <pic:spPr>
                  <a:xfrm>
                    <a:off x="0" y="0"/>
                    <a:ext cx="1057275" cy="44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588A"/>
    <w:multiLevelType w:val="hybridMultilevel"/>
    <w:tmpl w:val="3B441F80"/>
    <w:lvl w:ilvl="0" w:tplc="36444AA6">
      <w:start w:val="2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2FB52FD"/>
    <w:multiLevelType w:val="hybridMultilevel"/>
    <w:tmpl w:val="F5F09F5A"/>
    <w:lvl w:ilvl="0" w:tplc="F0F442EE">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08422C"/>
    <w:multiLevelType w:val="hybridMultilevel"/>
    <w:tmpl w:val="42AC419E"/>
    <w:lvl w:ilvl="0" w:tplc="61846716">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674BD1"/>
    <w:multiLevelType w:val="hybridMultilevel"/>
    <w:tmpl w:val="C1BA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726876">
    <w:abstractNumId w:val="0"/>
  </w:num>
  <w:num w:numId="2" w16cid:durableId="12342888">
    <w:abstractNumId w:val="2"/>
  </w:num>
  <w:num w:numId="3" w16cid:durableId="918834780">
    <w:abstractNumId w:val="1"/>
  </w:num>
  <w:num w:numId="4" w16cid:durableId="1179347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9A"/>
    <w:rsid w:val="00000694"/>
    <w:rsid w:val="00000B59"/>
    <w:rsid w:val="00003A13"/>
    <w:rsid w:val="0002393F"/>
    <w:rsid w:val="00030E0C"/>
    <w:rsid w:val="00037DC0"/>
    <w:rsid w:val="0004713C"/>
    <w:rsid w:val="00057F69"/>
    <w:rsid w:val="000823CF"/>
    <w:rsid w:val="000859AF"/>
    <w:rsid w:val="00086CCC"/>
    <w:rsid w:val="00087103"/>
    <w:rsid w:val="00095268"/>
    <w:rsid w:val="000B22C3"/>
    <w:rsid w:val="000C46F9"/>
    <w:rsid w:val="000C5AB6"/>
    <w:rsid w:val="000D38DD"/>
    <w:rsid w:val="001379EB"/>
    <w:rsid w:val="001878E6"/>
    <w:rsid w:val="00197D29"/>
    <w:rsid w:val="001A6F9F"/>
    <w:rsid w:val="001B0E50"/>
    <w:rsid w:val="001B535E"/>
    <w:rsid w:val="001D763A"/>
    <w:rsid w:val="001E1645"/>
    <w:rsid w:val="001E5460"/>
    <w:rsid w:val="002054E4"/>
    <w:rsid w:val="00207324"/>
    <w:rsid w:val="002159B8"/>
    <w:rsid w:val="00226B77"/>
    <w:rsid w:val="00251E53"/>
    <w:rsid w:val="00251F02"/>
    <w:rsid w:val="0026094B"/>
    <w:rsid w:val="00270661"/>
    <w:rsid w:val="002724D1"/>
    <w:rsid w:val="0028718E"/>
    <w:rsid w:val="002B3AE7"/>
    <w:rsid w:val="002C69A1"/>
    <w:rsid w:val="002D3A9A"/>
    <w:rsid w:val="002E7933"/>
    <w:rsid w:val="00320E15"/>
    <w:rsid w:val="0032289A"/>
    <w:rsid w:val="00344941"/>
    <w:rsid w:val="003468D7"/>
    <w:rsid w:val="003656F3"/>
    <w:rsid w:val="00370DEB"/>
    <w:rsid w:val="00376CAF"/>
    <w:rsid w:val="00376EE4"/>
    <w:rsid w:val="003A593A"/>
    <w:rsid w:val="003B1C61"/>
    <w:rsid w:val="003C0FFB"/>
    <w:rsid w:val="003C190F"/>
    <w:rsid w:val="003C439A"/>
    <w:rsid w:val="003D4F02"/>
    <w:rsid w:val="003E2420"/>
    <w:rsid w:val="004136C3"/>
    <w:rsid w:val="00425686"/>
    <w:rsid w:val="00430650"/>
    <w:rsid w:val="00433B51"/>
    <w:rsid w:val="00445F3E"/>
    <w:rsid w:val="0044605C"/>
    <w:rsid w:val="00497BB9"/>
    <w:rsid w:val="004A399D"/>
    <w:rsid w:val="004D1FE9"/>
    <w:rsid w:val="004D5E3E"/>
    <w:rsid w:val="004F4625"/>
    <w:rsid w:val="004F4A67"/>
    <w:rsid w:val="00511A4F"/>
    <w:rsid w:val="005175DD"/>
    <w:rsid w:val="0056796C"/>
    <w:rsid w:val="005A4CA5"/>
    <w:rsid w:val="005C587C"/>
    <w:rsid w:val="00637C15"/>
    <w:rsid w:val="006524A0"/>
    <w:rsid w:val="0065331B"/>
    <w:rsid w:val="006620CF"/>
    <w:rsid w:val="006844CE"/>
    <w:rsid w:val="006923D1"/>
    <w:rsid w:val="00693178"/>
    <w:rsid w:val="006A7309"/>
    <w:rsid w:val="006C59F5"/>
    <w:rsid w:val="006D40E2"/>
    <w:rsid w:val="006E2959"/>
    <w:rsid w:val="00712EA5"/>
    <w:rsid w:val="0072012D"/>
    <w:rsid w:val="00745D55"/>
    <w:rsid w:val="007534ED"/>
    <w:rsid w:val="007614EB"/>
    <w:rsid w:val="00761AD2"/>
    <w:rsid w:val="007636E3"/>
    <w:rsid w:val="007711BF"/>
    <w:rsid w:val="007D3441"/>
    <w:rsid w:val="00804BEF"/>
    <w:rsid w:val="00812B22"/>
    <w:rsid w:val="00815963"/>
    <w:rsid w:val="00860951"/>
    <w:rsid w:val="00876803"/>
    <w:rsid w:val="008A3556"/>
    <w:rsid w:val="008D091F"/>
    <w:rsid w:val="009228B8"/>
    <w:rsid w:val="0093489B"/>
    <w:rsid w:val="00946277"/>
    <w:rsid w:val="00954474"/>
    <w:rsid w:val="0097123D"/>
    <w:rsid w:val="0097526A"/>
    <w:rsid w:val="00997F8E"/>
    <w:rsid w:val="009A4076"/>
    <w:rsid w:val="009C145B"/>
    <w:rsid w:val="009C40DD"/>
    <w:rsid w:val="009D20C9"/>
    <w:rsid w:val="009F352B"/>
    <w:rsid w:val="00A05523"/>
    <w:rsid w:val="00A236E4"/>
    <w:rsid w:val="00A23CC9"/>
    <w:rsid w:val="00A2669F"/>
    <w:rsid w:val="00A33A58"/>
    <w:rsid w:val="00A82827"/>
    <w:rsid w:val="00A842EF"/>
    <w:rsid w:val="00A87956"/>
    <w:rsid w:val="00A90A63"/>
    <w:rsid w:val="00A97A31"/>
    <w:rsid w:val="00AC557A"/>
    <w:rsid w:val="00AD1559"/>
    <w:rsid w:val="00AD337D"/>
    <w:rsid w:val="00AD54D6"/>
    <w:rsid w:val="00AD7908"/>
    <w:rsid w:val="00AE0852"/>
    <w:rsid w:val="00AE0C5E"/>
    <w:rsid w:val="00B05134"/>
    <w:rsid w:val="00B07BDF"/>
    <w:rsid w:val="00B25D38"/>
    <w:rsid w:val="00BA1F99"/>
    <w:rsid w:val="00BB0308"/>
    <w:rsid w:val="00BF0F13"/>
    <w:rsid w:val="00BF16D4"/>
    <w:rsid w:val="00C26165"/>
    <w:rsid w:val="00C33EC5"/>
    <w:rsid w:val="00C36A84"/>
    <w:rsid w:val="00C4496F"/>
    <w:rsid w:val="00C6078E"/>
    <w:rsid w:val="00C61C73"/>
    <w:rsid w:val="00C76ED8"/>
    <w:rsid w:val="00C7784A"/>
    <w:rsid w:val="00C8241D"/>
    <w:rsid w:val="00C97C6C"/>
    <w:rsid w:val="00CA0069"/>
    <w:rsid w:val="00CD7F12"/>
    <w:rsid w:val="00D322B8"/>
    <w:rsid w:val="00D3667E"/>
    <w:rsid w:val="00D36E76"/>
    <w:rsid w:val="00D42939"/>
    <w:rsid w:val="00D60FFE"/>
    <w:rsid w:val="00D64BF4"/>
    <w:rsid w:val="00D97160"/>
    <w:rsid w:val="00DA6E98"/>
    <w:rsid w:val="00DA7165"/>
    <w:rsid w:val="00DB4AB8"/>
    <w:rsid w:val="00DB6158"/>
    <w:rsid w:val="00DD1909"/>
    <w:rsid w:val="00E0077A"/>
    <w:rsid w:val="00E05755"/>
    <w:rsid w:val="00E1434C"/>
    <w:rsid w:val="00E2161F"/>
    <w:rsid w:val="00E6627F"/>
    <w:rsid w:val="00E85F70"/>
    <w:rsid w:val="00EB3B3E"/>
    <w:rsid w:val="00EB6C5E"/>
    <w:rsid w:val="00EC33D2"/>
    <w:rsid w:val="00EF55A7"/>
    <w:rsid w:val="00F02DC7"/>
    <w:rsid w:val="00F130A7"/>
    <w:rsid w:val="00F24DC1"/>
    <w:rsid w:val="00F3167F"/>
    <w:rsid w:val="00F40D4D"/>
    <w:rsid w:val="00FA7B23"/>
    <w:rsid w:val="00FB099A"/>
    <w:rsid w:val="00FF3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AE21"/>
  <w15:chartTrackingRefBased/>
  <w15:docId w15:val="{E76F4AA9-5752-416A-BAA5-E4D660B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5D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D55"/>
    <w:rPr>
      <w:rFonts w:ascii="Segoe UI" w:hAnsi="Segoe UI" w:cs="Segoe UI"/>
      <w:sz w:val="18"/>
      <w:szCs w:val="18"/>
    </w:rPr>
  </w:style>
  <w:style w:type="paragraph" w:styleId="ListeParagraf">
    <w:name w:val="List Paragraph"/>
    <w:basedOn w:val="Normal"/>
    <w:uiPriority w:val="34"/>
    <w:qFormat/>
    <w:rsid w:val="00A97A31"/>
    <w:pPr>
      <w:ind w:left="720"/>
      <w:contextualSpacing/>
    </w:pPr>
  </w:style>
  <w:style w:type="paragraph" w:customStyle="1" w:styleId="chrome">
    <w:name w:val="chrome"/>
    <w:basedOn w:val="Normal"/>
    <w:rsid w:val="00A97A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526A"/>
    <w:rPr>
      <w:b/>
      <w:bCs/>
    </w:rPr>
  </w:style>
  <w:style w:type="paragraph" w:styleId="stBilgi">
    <w:name w:val="header"/>
    <w:basedOn w:val="Normal"/>
    <w:link w:val="stBilgiChar"/>
    <w:uiPriority w:val="99"/>
    <w:unhideWhenUsed/>
    <w:rsid w:val="00D322B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322B8"/>
  </w:style>
  <w:style w:type="paragraph" w:styleId="AltBilgi">
    <w:name w:val="footer"/>
    <w:basedOn w:val="Normal"/>
    <w:link w:val="AltBilgiChar"/>
    <w:uiPriority w:val="99"/>
    <w:unhideWhenUsed/>
    <w:rsid w:val="00D322B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322B8"/>
  </w:style>
  <w:style w:type="paragraph" w:styleId="Dzeltme">
    <w:name w:val="Revision"/>
    <w:hidden/>
    <w:uiPriority w:val="99"/>
    <w:semiHidden/>
    <w:rsid w:val="00D322B8"/>
    <w:pPr>
      <w:spacing w:after="0" w:line="240" w:lineRule="auto"/>
    </w:pPr>
  </w:style>
  <w:style w:type="character" w:styleId="Kpr">
    <w:name w:val="Hyperlink"/>
    <w:basedOn w:val="VarsaylanParagrafYazTipi"/>
    <w:uiPriority w:val="99"/>
    <w:unhideWhenUsed/>
    <w:rsid w:val="00D322B8"/>
    <w:rPr>
      <w:color w:val="0563C1" w:themeColor="hyperlink"/>
      <w:u w:val="single"/>
    </w:rPr>
  </w:style>
  <w:style w:type="character" w:customStyle="1" w:styleId="apple-converted-space">
    <w:name w:val="apple-converted-space"/>
    <w:basedOn w:val="VarsaylanParagrafYazTipi"/>
    <w:rsid w:val="00D322B8"/>
  </w:style>
  <w:style w:type="character" w:styleId="AklamaBavurusu">
    <w:name w:val="annotation reference"/>
    <w:basedOn w:val="VarsaylanParagrafYazTipi"/>
    <w:uiPriority w:val="99"/>
    <w:semiHidden/>
    <w:unhideWhenUsed/>
    <w:rsid w:val="00812B22"/>
    <w:rPr>
      <w:sz w:val="16"/>
      <w:szCs w:val="16"/>
    </w:rPr>
  </w:style>
  <w:style w:type="paragraph" w:styleId="AklamaMetni">
    <w:name w:val="annotation text"/>
    <w:basedOn w:val="Normal"/>
    <w:link w:val="AklamaMetniChar"/>
    <w:uiPriority w:val="99"/>
    <w:semiHidden/>
    <w:unhideWhenUsed/>
    <w:rsid w:val="00812B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12B22"/>
    <w:rPr>
      <w:sz w:val="20"/>
      <w:szCs w:val="20"/>
    </w:rPr>
  </w:style>
  <w:style w:type="paragraph" w:styleId="AklamaKonusu">
    <w:name w:val="annotation subject"/>
    <w:basedOn w:val="AklamaMetni"/>
    <w:next w:val="AklamaMetni"/>
    <w:link w:val="AklamaKonusuChar"/>
    <w:uiPriority w:val="99"/>
    <w:semiHidden/>
    <w:unhideWhenUsed/>
    <w:rsid w:val="00812B22"/>
    <w:rPr>
      <w:b/>
      <w:bCs/>
    </w:rPr>
  </w:style>
  <w:style w:type="character" w:customStyle="1" w:styleId="AklamaKonusuChar">
    <w:name w:val="Açıklama Konusu Char"/>
    <w:basedOn w:val="AklamaMetniChar"/>
    <w:link w:val="AklamaKonusu"/>
    <w:uiPriority w:val="99"/>
    <w:semiHidden/>
    <w:rsid w:val="00812B22"/>
    <w:rPr>
      <w:b/>
      <w:bCs/>
      <w:sz w:val="20"/>
      <w:szCs w:val="20"/>
    </w:rPr>
  </w:style>
  <w:style w:type="character" w:styleId="zmlenmeyenBahsetme">
    <w:name w:val="Unresolved Mention"/>
    <w:basedOn w:val="VarsaylanParagrafYazTipi"/>
    <w:uiPriority w:val="99"/>
    <w:semiHidden/>
    <w:unhideWhenUsed/>
    <w:rsid w:val="00BA1F99"/>
    <w:rPr>
      <w:color w:val="605E5C"/>
      <w:shd w:val="clear" w:color="auto" w:fill="E1DFDD"/>
    </w:rPr>
  </w:style>
  <w:style w:type="paragraph" w:styleId="NormalWeb">
    <w:name w:val="Normal (Web)"/>
    <w:basedOn w:val="Normal"/>
    <w:uiPriority w:val="99"/>
    <w:semiHidden/>
    <w:unhideWhenUsed/>
    <w:rsid w:val="00376EE4"/>
    <w:pPr>
      <w:spacing w:before="100" w:beforeAutospacing="1" w:after="100" w:afterAutospacing="1" w:line="240" w:lineRule="auto"/>
    </w:pPr>
    <w:rPr>
      <w:rFonts w:ascii="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4274">
      <w:bodyDiv w:val="1"/>
      <w:marLeft w:val="0"/>
      <w:marRight w:val="0"/>
      <w:marTop w:val="0"/>
      <w:marBottom w:val="0"/>
      <w:divBdr>
        <w:top w:val="none" w:sz="0" w:space="0" w:color="auto"/>
        <w:left w:val="none" w:sz="0" w:space="0" w:color="auto"/>
        <w:bottom w:val="none" w:sz="0" w:space="0" w:color="auto"/>
        <w:right w:val="none" w:sz="0" w:space="0" w:color="auto"/>
      </w:divBdr>
    </w:div>
    <w:div w:id="182210584">
      <w:bodyDiv w:val="1"/>
      <w:marLeft w:val="0"/>
      <w:marRight w:val="0"/>
      <w:marTop w:val="0"/>
      <w:marBottom w:val="0"/>
      <w:divBdr>
        <w:top w:val="none" w:sz="0" w:space="0" w:color="auto"/>
        <w:left w:val="none" w:sz="0" w:space="0" w:color="auto"/>
        <w:bottom w:val="none" w:sz="0" w:space="0" w:color="auto"/>
        <w:right w:val="none" w:sz="0" w:space="0" w:color="auto"/>
      </w:divBdr>
    </w:div>
    <w:div w:id="365105162">
      <w:bodyDiv w:val="1"/>
      <w:marLeft w:val="0"/>
      <w:marRight w:val="0"/>
      <w:marTop w:val="0"/>
      <w:marBottom w:val="0"/>
      <w:divBdr>
        <w:top w:val="none" w:sz="0" w:space="0" w:color="auto"/>
        <w:left w:val="none" w:sz="0" w:space="0" w:color="auto"/>
        <w:bottom w:val="none" w:sz="0" w:space="0" w:color="auto"/>
        <w:right w:val="none" w:sz="0" w:space="0" w:color="auto"/>
      </w:divBdr>
    </w:div>
    <w:div w:id="446512573">
      <w:bodyDiv w:val="1"/>
      <w:marLeft w:val="0"/>
      <w:marRight w:val="0"/>
      <w:marTop w:val="0"/>
      <w:marBottom w:val="0"/>
      <w:divBdr>
        <w:top w:val="none" w:sz="0" w:space="0" w:color="auto"/>
        <w:left w:val="none" w:sz="0" w:space="0" w:color="auto"/>
        <w:bottom w:val="none" w:sz="0" w:space="0" w:color="auto"/>
        <w:right w:val="none" w:sz="0" w:space="0" w:color="auto"/>
      </w:divBdr>
    </w:div>
    <w:div w:id="467279409">
      <w:bodyDiv w:val="1"/>
      <w:marLeft w:val="0"/>
      <w:marRight w:val="0"/>
      <w:marTop w:val="0"/>
      <w:marBottom w:val="0"/>
      <w:divBdr>
        <w:top w:val="none" w:sz="0" w:space="0" w:color="auto"/>
        <w:left w:val="none" w:sz="0" w:space="0" w:color="auto"/>
        <w:bottom w:val="none" w:sz="0" w:space="0" w:color="auto"/>
        <w:right w:val="none" w:sz="0" w:space="0" w:color="auto"/>
      </w:divBdr>
    </w:div>
    <w:div w:id="535388604">
      <w:bodyDiv w:val="1"/>
      <w:marLeft w:val="0"/>
      <w:marRight w:val="0"/>
      <w:marTop w:val="0"/>
      <w:marBottom w:val="0"/>
      <w:divBdr>
        <w:top w:val="none" w:sz="0" w:space="0" w:color="auto"/>
        <w:left w:val="none" w:sz="0" w:space="0" w:color="auto"/>
        <w:bottom w:val="none" w:sz="0" w:space="0" w:color="auto"/>
        <w:right w:val="none" w:sz="0" w:space="0" w:color="auto"/>
      </w:divBdr>
    </w:div>
    <w:div w:id="590745509">
      <w:bodyDiv w:val="1"/>
      <w:marLeft w:val="0"/>
      <w:marRight w:val="0"/>
      <w:marTop w:val="0"/>
      <w:marBottom w:val="0"/>
      <w:divBdr>
        <w:top w:val="none" w:sz="0" w:space="0" w:color="auto"/>
        <w:left w:val="none" w:sz="0" w:space="0" w:color="auto"/>
        <w:bottom w:val="none" w:sz="0" w:space="0" w:color="auto"/>
        <w:right w:val="none" w:sz="0" w:space="0" w:color="auto"/>
      </w:divBdr>
    </w:div>
    <w:div w:id="745105014">
      <w:bodyDiv w:val="1"/>
      <w:marLeft w:val="0"/>
      <w:marRight w:val="0"/>
      <w:marTop w:val="0"/>
      <w:marBottom w:val="0"/>
      <w:divBdr>
        <w:top w:val="none" w:sz="0" w:space="0" w:color="auto"/>
        <w:left w:val="none" w:sz="0" w:space="0" w:color="auto"/>
        <w:bottom w:val="none" w:sz="0" w:space="0" w:color="auto"/>
        <w:right w:val="none" w:sz="0" w:space="0" w:color="auto"/>
      </w:divBdr>
    </w:div>
    <w:div w:id="752897020">
      <w:bodyDiv w:val="1"/>
      <w:marLeft w:val="0"/>
      <w:marRight w:val="0"/>
      <w:marTop w:val="0"/>
      <w:marBottom w:val="0"/>
      <w:divBdr>
        <w:top w:val="none" w:sz="0" w:space="0" w:color="auto"/>
        <w:left w:val="none" w:sz="0" w:space="0" w:color="auto"/>
        <w:bottom w:val="none" w:sz="0" w:space="0" w:color="auto"/>
        <w:right w:val="none" w:sz="0" w:space="0" w:color="auto"/>
      </w:divBdr>
    </w:div>
    <w:div w:id="1215122337">
      <w:bodyDiv w:val="1"/>
      <w:marLeft w:val="0"/>
      <w:marRight w:val="0"/>
      <w:marTop w:val="0"/>
      <w:marBottom w:val="0"/>
      <w:divBdr>
        <w:top w:val="none" w:sz="0" w:space="0" w:color="auto"/>
        <w:left w:val="none" w:sz="0" w:space="0" w:color="auto"/>
        <w:bottom w:val="none" w:sz="0" w:space="0" w:color="auto"/>
        <w:right w:val="none" w:sz="0" w:space="0" w:color="auto"/>
      </w:divBdr>
    </w:div>
    <w:div w:id="1218005910">
      <w:bodyDiv w:val="1"/>
      <w:marLeft w:val="0"/>
      <w:marRight w:val="0"/>
      <w:marTop w:val="0"/>
      <w:marBottom w:val="0"/>
      <w:divBdr>
        <w:top w:val="none" w:sz="0" w:space="0" w:color="auto"/>
        <w:left w:val="none" w:sz="0" w:space="0" w:color="auto"/>
        <w:bottom w:val="none" w:sz="0" w:space="0" w:color="auto"/>
        <w:right w:val="none" w:sz="0" w:space="0" w:color="auto"/>
      </w:divBdr>
    </w:div>
    <w:div w:id="1326200746">
      <w:bodyDiv w:val="1"/>
      <w:marLeft w:val="0"/>
      <w:marRight w:val="0"/>
      <w:marTop w:val="0"/>
      <w:marBottom w:val="0"/>
      <w:divBdr>
        <w:top w:val="none" w:sz="0" w:space="0" w:color="auto"/>
        <w:left w:val="none" w:sz="0" w:space="0" w:color="auto"/>
        <w:bottom w:val="none" w:sz="0" w:space="0" w:color="auto"/>
        <w:right w:val="none" w:sz="0" w:space="0" w:color="auto"/>
      </w:divBdr>
      <w:divsChild>
        <w:div w:id="1037437247">
          <w:marLeft w:val="0"/>
          <w:marRight w:val="0"/>
          <w:marTop w:val="0"/>
          <w:marBottom w:val="0"/>
          <w:divBdr>
            <w:top w:val="none" w:sz="0" w:space="0" w:color="auto"/>
            <w:left w:val="none" w:sz="0" w:space="0" w:color="auto"/>
            <w:bottom w:val="none" w:sz="0" w:space="0" w:color="auto"/>
            <w:right w:val="none" w:sz="0" w:space="0" w:color="auto"/>
          </w:divBdr>
        </w:div>
      </w:divsChild>
    </w:div>
    <w:div w:id="1660503089">
      <w:bodyDiv w:val="1"/>
      <w:marLeft w:val="0"/>
      <w:marRight w:val="0"/>
      <w:marTop w:val="0"/>
      <w:marBottom w:val="0"/>
      <w:divBdr>
        <w:top w:val="none" w:sz="0" w:space="0" w:color="auto"/>
        <w:left w:val="none" w:sz="0" w:space="0" w:color="auto"/>
        <w:bottom w:val="none" w:sz="0" w:space="0" w:color="auto"/>
        <w:right w:val="none" w:sz="0" w:space="0" w:color="auto"/>
      </w:divBdr>
    </w:div>
    <w:div w:id="20430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pmg.com.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kpmg/tr/tr/home/gorusler/2022/04/enerji-sektorel-baki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6" ma:contentTypeDescription="Yeni belge oluşturun." ma:contentTypeScope="" ma:versionID="fdb6c7ad7942d1b10164383405b10877">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e99f613e407c6275916e9c393daa9db7"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Props1.xml><?xml version="1.0" encoding="utf-8"?>
<ds:datastoreItem xmlns:ds="http://schemas.openxmlformats.org/officeDocument/2006/customXml" ds:itemID="{1B4740DE-2664-485B-B45B-62F406D5B39C}">
  <ds:schemaRefs>
    <ds:schemaRef ds:uri="http://schemas.microsoft.com/sharepoint/v3/contenttype/forms"/>
  </ds:schemaRefs>
</ds:datastoreItem>
</file>

<file path=customXml/itemProps2.xml><?xml version="1.0" encoding="utf-8"?>
<ds:datastoreItem xmlns:ds="http://schemas.openxmlformats.org/officeDocument/2006/customXml" ds:itemID="{EC7B7E1F-A9E9-403C-A671-851238D4E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D4E05-00EA-4451-928A-F9BAFA0D8FD2}">
  <ds:schemaRefs>
    <ds:schemaRef ds:uri="http://schemas.openxmlformats.org/officeDocument/2006/bibliography"/>
  </ds:schemaRefs>
</ds:datastoreItem>
</file>

<file path=customXml/itemProps4.xml><?xml version="1.0" encoding="utf-8"?>
<ds:datastoreItem xmlns:ds="http://schemas.openxmlformats.org/officeDocument/2006/customXml" ds:itemID="{96224102-6347-4E14-AE3E-A328867965D4}">
  <ds:schemaRefs>
    <ds:schemaRef ds:uri="http://schemas.microsoft.com/office/2006/metadata/properties"/>
    <ds:schemaRef ds:uri="http://schemas.microsoft.com/office/infopath/2007/PartnerControls"/>
    <ds:schemaRef ds:uri="a6a5f7e4-2986-46c3-893f-0e0d1047cb8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1605</Words>
  <Characters>9151</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KPMG</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Balci, Berra</dc:creator>
  <cp:keywords/>
  <dc:description/>
  <cp:lastModifiedBy>Ceren Moral</cp:lastModifiedBy>
  <cp:revision>4</cp:revision>
  <dcterms:created xsi:type="dcterms:W3CDTF">2022-04-13T00:33:00Z</dcterms:created>
  <dcterms:modified xsi:type="dcterms:W3CDTF">2022-04-13T08:35:00Z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