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261F7" w14:textId="36C08159" w:rsidR="00E362EF" w:rsidRPr="00201CF2" w:rsidRDefault="00161352">
      <w:pPr>
        <w:pStyle w:val="Heading1"/>
      </w:pPr>
      <w:r w:rsidRPr="00201CF2">
        <w:t xml:space="preserve">Export </w:t>
      </w:r>
      <w:r w:rsidR="3935E71C" w:rsidRPr="00201CF2">
        <w:t>a</w:t>
      </w:r>
      <w:r w:rsidRPr="00201CF2">
        <w:t xml:space="preserve">ssurance </w:t>
      </w:r>
      <w:r w:rsidR="769E370A" w:rsidRPr="00201CF2">
        <w:t>r</w:t>
      </w:r>
      <w:r w:rsidRPr="00201CF2">
        <w:t>eform</w:t>
      </w:r>
      <w:r w:rsidR="634EF298" w:rsidRPr="00201CF2">
        <w:t>: o</w:t>
      </w:r>
      <w:r w:rsidRPr="00201CF2">
        <w:t xml:space="preserve">ptions </w:t>
      </w:r>
      <w:r w:rsidR="69B99D42" w:rsidRPr="00201CF2">
        <w:t>p</w:t>
      </w:r>
      <w:r w:rsidRPr="00201CF2">
        <w:t>aper</w:t>
      </w:r>
      <w:r w:rsidR="00CB5BC8" w:rsidRPr="00201CF2">
        <w:t xml:space="preserve"> </w:t>
      </w:r>
      <w:r w:rsidR="00470231" w:rsidRPr="00201CF2">
        <w:t>–</w:t>
      </w:r>
      <w:r w:rsidR="47330489" w:rsidRPr="00201CF2">
        <w:t xml:space="preserve"> s</w:t>
      </w:r>
      <w:r w:rsidR="00CB5BC8" w:rsidRPr="00201CF2">
        <w:t>ummary</w:t>
      </w:r>
    </w:p>
    <w:p w14:paraId="6947E75B" w14:textId="12AD7570" w:rsidR="00E362EF" w:rsidRPr="00201CF2" w:rsidRDefault="00161352" w:rsidP="001B1009">
      <w:pPr>
        <w:pStyle w:val="Heading2"/>
        <w:numPr>
          <w:ilvl w:val="0"/>
          <w:numId w:val="0"/>
        </w:numPr>
        <w:ind w:left="720" w:hanging="720"/>
      </w:pPr>
      <w:r w:rsidRPr="00201CF2">
        <w:t>Overview</w:t>
      </w:r>
    </w:p>
    <w:p w14:paraId="1E3CC59F" w14:textId="1F837213" w:rsidR="0024310F" w:rsidRPr="00773C2C" w:rsidRDefault="00161352" w:rsidP="00161352">
      <w:r w:rsidRPr="00773C2C">
        <w:t xml:space="preserve">The Export </w:t>
      </w:r>
      <w:r w:rsidR="005F4775" w:rsidRPr="00773C2C">
        <w:t>a</w:t>
      </w:r>
      <w:r w:rsidRPr="00773C2C">
        <w:t xml:space="preserve">ssurance </w:t>
      </w:r>
      <w:r w:rsidR="005F4775" w:rsidRPr="00773C2C">
        <w:t>r</w:t>
      </w:r>
      <w:r w:rsidRPr="00773C2C">
        <w:t>eform</w:t>
      </w:r>
      <w:r w:rsidR="001956D4" w:rsidRPr="00773C2C">
        <w:t>:</w:t>
      </w:r>
      <w:r w:rsidRPr="00773C2C">
        <w:t xml:space="preserve"> options paper </w:t>
      </w:r>
      <w:r w:rsidR="00C50760" w:rsidRPr="00773C2C">
        <w:t>outlines</w:t>
      </w:r>
      <w:r w:rsidRPr="00773C2C">
        <w:t xml:space="preserve"> the need for reform in Australia</w:t>
      </w:r>
      <w:r w:rsidR="00AB3C65" w:rsidRPr="00773C2C">
        <w:t>’</w:t>
      </w:r>
      <w:r w:rsidRPr="00773C2C">
        <w:t>s export assurance system for non-prescribed goods (NPGs).</w:t>
      </w:r>
      <w:r w:rsidR="0024310F" w:rsidRPr="00773C2C">
        <w:t xml:space="preserve"> </w:t>
      </w:r>
      <w:r w:rsidR="003C63BF" w:rsidRPr="00773C2C">
        <w:t xml:space="preserve">We need </w:t>
      </w:r>
      <w:r w:rsidRPr="00773C2C">
        <w:t>reform</w:t>
      </w:r>
      <w:r w:rsidR="0024310F" w:rsidRPr="00773C2C">
        <w:t xml:space="preserve"> because:</w:t>
      </w:r>
    </w:p>
    <w:p w14:paraId="311F5020" w14:textId="5E761F11" w:rsidR="0024310F" w:rsidRPr="00773C2C" w:rsidRDefault="00161352" w:rsidP="00E0052E">
      <w:pPr>
        <w:pStyle w:val="ListBullet"/>
      </w:pPr>
      <w:r w:rsidRPr="00773C2C">
        <w:t xml:space="preserve">importing countries </w:t>
      </w:r>
      <w:r w:rsidR="00D25E87">
        <w:t>require</w:t>
      </w:r>
      <w:r w:rsidR="00D25E87" w:rsidRPr="00773C2C">
        <w:t xml:space="preserve"> </w:t>
      </w:r>
      <w:r w:rsidRPr="00773C2C">
        <w:t>more assurances</w:t>
      </w:r>
    </w:p>
    <w:p w14:paraId="2D8C9CC1" w14:textId="7D7E44F8" w:rsidR="0024310F" w:rsidRPr="00773C2C" w:rsidRDefault="00161352" w:rsidP="00E0052E">
      <w:pPr>
        <w:pStyle w:val="ListBullet"/>
      </w:pPr>
      <w:r w:rsidRPr="00773C2C">
        <w:t xml:space="preserve">cost recovery </w:t>
      </w:r>
      <w:r w:rsidR="002647AF" w:rsidRPr="00773C2C">
        <w:t>is</w:t>
      </w:r>
      <w:r w:rsidRPr="00773C2C">
        <w:t xml:space="preserve"> </w:t>
      </w:r>
      <w:r w:rsidR="00507D38">
        <w:t>not appropriately</w:t>
      </w:r>
      <w:r w:rsidR="00507D38" w:rsidRPr="00773C2C">
        <w:t xml:space="preserve"> </w:t>
      </w:r>
      <w:r w:rsidR="004F04FA">
        <w:t>attributed to where the costs originate</w:t>
      </w:r>
    </w:p>
    <w:p w14:paraId="2CF28C89" w14:textId="3F79B5DB" w:rsidR="0024310F" w:rsidRPr="00773C2C" w:rsidRDefault="0024310F" w:rsidP="00E0052E">
      <w:pPr>
        <w:pStyle w:val="ListBullet"/>
      </w:pPr>
      <w:r w:rsidRPr="00773C2C">
        <w:t xml:space="preserve">the </w:t>
      </w:r>
      <w:r w:rsidR="008C2765">
        <w:t xml:space="preserve">current </w:t>
      </w:r>
      <w:r w:rsidRPr="00773C2C">
        <w:t xml:space="preserve">regulatory system is </w:t>
      </w:r>
      <w:r w:rsidR="008F4FF5">
        <w:t>unsustainable</w:t>
      </w:r>
      <w:r w:rsidR="008F4FF5" w:rsidRPr="00773C2C">
        <w:t xml:space="preserve"> </w:t>
      </w:r>
      <w:r w:rsidRPr="00773C2C">
        <w:t>in the long term</w:t>
      </w:r>
      <w:r w:rsidR="00161352" w:rsidRPr="00773C2C">
        <w:t>.</w:t>
      </w:r>
    </w:p>
    <w:p w14:paraId="6C1D6C5D" w14:textId="0CE8DA0A" w:rsidR="00161352" w:rsidRPr="00773C2C" w:rsidRDefault="00161352" w:rsidP="00161352">
      <w:r w:rsidRPr="00773C2C">
        <w:t xml:space="preserve">The paper proposes </w:t>
      </w:r>
      <w:r w:rsidR="2F6F33D3" w:rsidRPr="00773C2C">
        <w:t>3</w:t>
      </w:r>
      <w:r w:rsidR="00A60FF7" w:rsidRPr="00773C2C">
        <w:t xml:space="preserve"> </w:t>
      </w:r>
      <w:r w:rsidRPr="00773C2C">
        <w:t>options for reform</w:t>
      </w:r>
      <w:r w:rsidR="001E1E03">
        <w:t xml:space="preserve"> to</w:t>
      </w:r>
      <w:r w:rsidRPr="00773C2C">
        <w:t xml:space="preserve"> help maintain and</w:t>
      </w:r>
      <w:r w:rsidR="00F85EAF" w:rsidRPr="00773C2C">
        <w:t xml:space="preserve"> safeguard</w:t>
      </w:r>
      <w:r w:rsidRPr="00773C2C">
        <w:t xml:space="preserve"> market access for Australian exporters of NPGs. </w:t>
      </w:r>
      <w:r w:rsidR="002F4D19" w:rsidRPr="00773C2C">
        <w:t>The Department of Agriculture, Fisheries and Forestry</w:t>
      </w:r>
      <w:r w:rsidR="001638A2" w:rsidRPr="00773C2C">
        <w:t xml:space="preserve"> are </w:t>
      </w:r>
      <w:r w:rsidR="00916ED1">
        <w:t>seeking</w:t>
      </w:r>
      <w:r w:rsidR="001638A2" w:rsidRPr="00773C2C">
        <w:t xml:space="preserve"> you</w:t>
      </w:r>
      <w:r w:rsidR="00916ED1">
        <w:t>r</w:t>
      </w:r>
      <w:r w:rsidRPr="00773C2C">
        <w:t xml:space="preserve"> feedback on the </w:t>
      </w:r>
      <w:r w:rsidR="000E6FFC" w:rsidRPr="00773C2C">
        <w:t>3 </w:t>
      </w:r>
      <w:r w:rsidRPr="00773C2C">
        <w:t xml:space="preserve">options it </w:t>
      </w:r>
      <w:r w:rsidR="00A9305E" w:rsidRPr="00773C2C">
        <w:t>covers</w:t>
      </w:r>
      <w:r w:rsidR="0071544B" w:rsidRPr="0071544B">
        <w:t xml:space="preserve"> </w:t>
      </w:r>
      <w:r w:rsidR="0071544B">
        <w:t xml:space="preserve">in the </w:t>
      </w:r>
      <w:r w:rsidR="0071544B" w:rsidRPr="00773C2C">
        <w:t>paper</w:t>
      </w:r>
      <w:r w:rsidRPr="00773C2C">
        <w:t xml:space="preserve"> via a Have Your Say survey.</w:t>
      </w:r>
    </w:p>
    <w:p w14:paraId="02F17FE4" w14:textId="47053EDA" w:rsidR="00E362EF" w:rsidRPr="00773C2C" w:rsidRDefault="00161352" w:rsidP="00161352">
      <w:pPr>
        <w:pStyle w:val="Heading2"/>
        <w:numPr>
          <w:ilvl w:val="0"/>
          <w:numId w:val="0"/>
        </w:numPr>
        <w:ind w:left="720" w:hanging="720"/>
      </w:pPr>
      <w:r w:rsidRPr="00773C2C">
        <w:t>Which industries are affected</w:t>
      </w:r>
    </w:p>
    <w:p w14:paraId="3F676618" w14:textId="0EAF5612" w:rsidR="00161352" w:rsidRPr="00773C2C" w:rsidRDefault="008172EA" w:rsidP="00161352">
      <w:r w:rsidRPr="00773C2C">
        <w:t xml:space="preserve">The reforms will affect </w:t>
      </w:r>
      <w:r w:rsidR="00BF7469" w:rsidRPr="00773C2C">
        <w:t>the w</w:t>
      </w:r>
      <w:r w:rsidR="00161352" w:rsidRPr="00773C2C">
        <w:t xml:space="preserve">ool, rendered products, skins and hides, pet food, stock feed, feed additives, processed foods, honey, pharmaceuticals, blood products </w:t>
      </w:r>
      <w:r w:rsidR="00BF7469" w:rsidRPr="00773C2C">
        <w:t xml:space="preserve">industries </w:t>
      </w:r>
      <w:r w:rsidR="00161352" w:rsidRPr="00773C2C">
        <w:t>and more. These industries have grown significantly and were worth $9.4 billion in 2023. Under our export legislation</w:t>
      </w:r>
      <w:r w:rsidR="00A5744A" w:rsidRPr="00773C2C">
        <w:t>, the goods exported by these industries are referred to</w:t>
      </w:r>
      <w:r w:rsidR="00161352" w:rsidRPr="00773C2C">
        <w:t xml:space="preserve"> </w:t>
      </w:r>
      <w:r w:rsidR="00A5744A" w:rsidRPr="00773C2C">
        <w:t>as</w:t>
      </w:r>
      <w:r w:rsidR="00161352" w:rsidRPr="00773C2C">
        <w:t xml:space="preserve"> NPGs.</w:t>
      </w:r>
    </w:p>
    <w:p w14:paraId="7E8C6E57" w14:textId="75E5E44E" w:rsidR="00E362EF" w:rsidRPr="00773C2C" w:rsidRDefault="00161352" w:rsidP="00161352">
      <w:pPr>
        <w:pStyle w:val="Heading2"/>
        <w:numPr>
          <w:ilvl w:val="0"/>
          <w:numId w:val="0"/>
        </w:numPr>
        <w:ind w:left="720" w:hanging="720"/>
      </w:pPr>
      <w:bookmarkStart w:id="0" w:name="_Toc430782151"/>
      <w:bookmarkStart w:id="1" w:name="_Toc511376519"/>
      <w:r w:rsidRPr="00773C2C">
        <w:t xml:space="preserve">Why </w:t>
      </w:r>
      <w:r w:rsidR="007B19A3" w:rsidRPr="00773C2C">
        <w:t xml:space="preserve">reform </w:t>
      </w:r>
      <w:r w:rsidR="00A5744A" w:rsidRPr="00773C2C">
        <w:t>is</w:t>
      </w:r>
      <w:r w:rsidR="007B19A3" w:rsidRPr="00773C2C">
        <w:t xml:space="preserve"> proposed</w:t>
      </w:r>
      <w:bookmarkEnd w:id="0"/>
      <w:bookmarkEnd w:id="1"/>
    </w:p>
    <w:p w14:paraId="54A68E98" w14:textId="1DE76A89" w:rsidR="00161352" w:rsidRPr="00773C2C" w:rsidRDefault="00161352" w:rsidP="00161352">
      <w:r w:rsidRPr="00773C2C">
        <w:t>The key reasons for the reform are:</w:t>
      </w:r>
    </w:p>
    <w:p w14:paraId="14B92FA5" w14:textId="14306B66" w:rsidR="00161352" w:rsidRPr="00773C2C" w:rsidRDefault="00161352" w:rsidP="00161352">
      <w:pPr>
        <w:pStyle w:val="ListNumber"/>
        <w:numPr>
          <w:ilvl w:val="0"/>
          <w:numId w:val="16"/>
        </w:numPr>
      </w:pPr>
      <w:r w:rsidRPr="00773C2C">
        <w:rPr>
          <w:b/>
          <w:bCs/>
        </w:rPr>
        <w:t xml:space="preserve">Importing countries </w:t>
      </w:r>
      <w:r w:rsidR="00A819B3" w:rsidRPr="00773C2C">
        <w:rPr>
          <w:b/>
          <w:bCs/>
        </w:rPr>
        <w:t>require</w:t>
      </w:r>
      <w:r w:rsidRPr="00773C2C">
        <w:rPr>
          <w:b/>
          <w:bCs/>
        </w:rPr>
        <w:t xml:space="preserve"> more assurances</w:t>
      </w:r>
      <w:r w:rsidR="001235CD" w:rsidRPr="00773C2C">
        <w:t xml:space="preserve"> –</w:t>
      </w:r>
      <w:r w:rsidRPr="00773C2C">
        <w:t xml:space="preserve"> Australian exporters operate within a landscape of </w:t>
      </w:r>
      <w:r w:rsidR="000F3CF2" w:rsidRPr="00773C2C">
        <w:t>ever-</w:t>
      </w:r>
      <w:r w:rsidRPr="00773C2C">
        <w:t>changing importing country requirements</w:t>
      </w:r>
      <w:r w:rsidR="00A5744A" w:rsidRPr="00773C2C">
        <w:t>,</w:t>
      </w:r>
      <w:r w:rsidR="000F3CF2" w:rsidRPr="00773C2C">
        <w:t xml:space="preserve"> which are increasing in number and complexity</w:t>
      </w:r>
      <w:r w:rsidRPr="00773C2C">
        <w:t xml:space="preserve">. </w:t>
      </w:r>
      <w:r w:rsidR="008B7467">
        <w:rPr>
          <w:lang w:eastAsia="ja-JP"/>
        </w:rPr>
        <w:t>F</w:t>
      </w:r>
      <w:r w:rsidR="008B7467" w:rsidRPr="00773C2C">
        <w:rPr>
          <w:lang w:eastAsia="ja-JP"/>
        </w:rPr>
        <w:t>or certain NPGs</w:t>
      </w:r>
      <w:r w:rsidR="008B7467">
        <w:rPr>
          <w:lang w:eastAsia="ja-JP"/>
        </w:rPr>
        <w:t>, i</w:t>
      </w:r>
      <w:r w:rsidR="006825FD" w:rsidRPr="00773C2C">
        <w:rPr>
          <w:lang w:eastAsia="ja-JP"/>
        </w:rPr>
        <w:t xml:space="preserve">mporting countries </w:t>
      </w:r>
      <w:r w:rsidR="00941981" w:rsidRPr="00773C2C">
        <w:rPr>
          <w:lang w:eastAsia="ja-JP"/>
        </w:rPr>
        <w:t>now expect a higher level of gov</w:t>
      </w:r>
      <w:r w:rsidR="009A04D3" w:rsidRPr="00773C2C">
        <w:rPr>
          <w:lang w:eastAsia="ja-JP"/>
        </w:rPr>
        <w:t>ernment oversight than our export legislation require</w:t>
      </w:r>
      <w:r w:rsidR="001D5169" w:rsidRPr="00773C2C">
        <w:rPr>
          <w:lang w:eastAsia="ja-JP"/>
        </w:rPr>
        <w:t>s</w:t>
      </w:r>
      <w:r w:rsidR="006825FD" w:rsidRPr="00773C2C">
        <w:t>.</w:t>
      </w:r>
      <w:r w:rsidR="0075078F">
        <w:t xml:space="preserve"> This trend is expected to continue.</w:t>
      </w:r>
    </w:p>
    <w:p w14:paraId="5D52FFF7" w14:textId="2094D131" w:rsidR="00984670" w:rsidRPr="00E46BE6" w:rsidRDefault="00161352" w:rsidP="00E46BE6">
      <w:pPr>
        <w:pStyle w:val="ListNumber"/>
        <w:numPr>
          <w:ilvl w:val="0"/>
          <w:numId w:val="16"/>
        </w:numPr>
        <w:rPr>
          <w:b/>
          <w:bCs/>
        </w:rPr>
      </w:pPr>
      <w:r w:rsidRPr="00773C2C">
        <w:rPr>
          <w:b/>
          <w:bCs/>
        </w:rPr>
        <w:t xml:space="preserve">Cost </w:t>
      </w:r>
      <w:r w:rsidR="008C23C3" w:rsidRPr="00773C2C">
        <w:rPr>
          <w:b/>
          <w:bCs/>
        </w:rPr>
        <w:t>r</w:t>
      </w:r>
      <w:r w:rsidRPr="00773C2C">
        <w:rPr>
          <w:b/>
          <w:bCs/>
        </w:rPr>
        <w:t xml:space="preserve">ecovery is </w:t>
      </w:r>
      <w:r w:rsidR="0081269B" w:rsidRPr="00773C2C">
        <w:rPr>
          <w:b/>
          <w:bCs/>
        </w:rPr>
        <w:t>not appropriately attributed to where the costs originate</w:t>
      </w:r>
      <w:r w:rsidR="008C23C3" w:rsidRPr="00F81A1D">
        <w:t xml:space="preserve"> –</w:t>
      </w:r>
      <w:r w:rsidRPr="00F81A1D">
        <w:t xml:space="preserve"> </w:t>
      </w:r>
      <w:r w:rsidR="00984670" w:rsidRPr="00F81A1D">
        <w:t xml:space="preserve">The current legislative framework creates a single charge point </w:t>
      </w:r>
      <w:r w:rsidR="002E6000" w:rsidRPr="00F81A1D">
        <w:t>w</w:t>
      </w:r>
      <w:r w:rsidR="00984670" w:rsidRPr="00F81A1D">
        <w:t>ith a</w:t>
      </w:r>
      <w:r w:rsidR="008E2611" w:rsidRPr="00F81A1D">
        <w:t>n</w:t>
      </w:r>
      <w:r w:rsidR="00984670" w:rsidRPr="00F81A1D">
        <w:t xml:space="preserve"> </w:t>
      </w:r>
      <w:r w:rsidR="002E6000" w:rsidRPr="00F81A1D">
        <w:t xml:space="preserve">export </w:t>
      </w:r>
      <w:r w:rsidR="00984670" w:rsidRPr="00F81A1D">
        <w:t>certificate</w:t>
      </w:r>
      <w:r w:rsidR="00A5744A" w:rsidRPr="00F81A1D">
        <w:t>. It</w:t>
      </w:r>
      <w:r w:rsidR="00E36F4D" w:rsidRPr="00F81A1D">
        <w:t xml:space="preserve"> </w:t>
      </w:r>
      <w:r w:rsidR="00984670" w:rsidRPr="00F81A1D">
        <w:t xml:space="preserve">does not reflect the time and cost </w:t>
      </w:r>
      <w:r w:rsidR="00E36F4D" w:rsidRPr="00F81A1D">
        <w:t>t</w:t>
      </w:r>
      <w:r w:rsidR="00A5744A" w:rsidRPr="00F81A1D">
        <w:t xml:space="preserve">o </w:t>
      </w:r>
      <w:r w:rsidR="00113FCE" w:rsidRPr="00F81A1D">
        <w:t xml:space="preserve">the department </w:t>
      </w:r>
      <w:r w:rsidR="00A5744A" w:rsidRPr="00F81A1D">
        <w:t>of</w:t>
      </w:r>
      <w:r w:rsidR="00984670" w:rsidRPr="00F81A1D">
        <w:t xml:space="preserve"> undertaking administrative activities and providing services to assure trading partners. This single charge point also imposes the full cost of the assurance system onto the applicant for a certificate, rather than charging at points throughout the supply chain for services provided.</w:t>
      </w:r>
    </w:p>
    <w:p w14:paraId="3FA902D2" w14:textId="0036A05B" w:rsidR="00161352" w:rsidRPr="00E46BE6" w:rsidRDefault="008F4FF5" w:rsidP="00E46BE6">
      <w:pPr>
        <w:pStyle w:val="ListNumber"/>
        <w:numPr>
          <w:ilvl w:val="0"/>
          <w:numId w:val="16"/>
        </w:numPr>
        <w:rPr>
          <w:b/>
          <w:bCs/>
        </w:rPr>
      </w:pPr>
      <w:r>
        <w:rPr>
          <w:b/>
          <w:bCs/>
        </w:rPr>
        <w:t>Unsustainable</w:t>
      </w:r>
      <w:r w:rsidRPr="00773C2C">
        <w:rPr>
          <w:b/>
          <w:bCs/>
        </w:rPr>
        <w:t xml:space="preserve"> </w:t>
      </w:r>
      <w:r w:rsidR="00EE2EAC" w:rsidRPr="00773C2C">
        <w:rPr>
          <w:b/>
          <w:bCs/>
        </w:rPr>
        <w:t>administrative processes</w:t>
      </w:r>
      <w:r w:rsidR="008C23C3" w:rsidRPr="00E46BE6">
        <w:rPr>
          <w:b/>
          <w:bCs/>
        </w:rPr>
        <w:t xml:space="preserve"> </w:t>
      </w:r>
      <w:r w:rsidR="008C23C3" w:rsidRPr="00F81A1D">
        <w:t>–</w:t>
      </w:r>
      <w:r w:rsidR="00161352" w:rsidRPr="00E46BE6">
        <w:rPr>
          <w:b/>
          <w:bCs/>
        </w:rPr>
        <w:t xml:space="preserve"> </w:t>
      </w:r>
      <w:r w:rsidR="007D385B" w:rsidRPr="00F81A1D">
        <w:t xml:space="preserve">The process used for exporting NPG products has become complicated and </w:t>
      </w:r>
      <w:r w:rsidR="000E2783">
        <w:t>unsustainable</w:t>
      </w:r>
      <w:r w:rsidR="000E2783" w:rsidRPr="00F81A1D">
        <w:t xml:space="preserve"> </w:t>
      </w:r>
      <w:r w:rsidR="007D385B" w:rsidRPr="00F81A1D">
        <w:t xml:space="preserve">alongside the growth of NPG industries. Reform is needed to put a new system in place that can handle the size of NPG industries </w:t>
      </w:r>
      <w:r w:rsidR="006A0DDE" w:rsidRPr="00F81A1D">
        <w:t xml:space="preserve">and the importing country requirements </w:t>
      </w:r>
      <w:r w:rsidR="007D385B" w:rsidRPr="00F81A1D">
        <w:t>now and in the future.</w:t>
      </w:r>
    </w:p>
    <w:p w14:paraId="4B412700" w14:textId="6CF5C889" w:rsidR="00161352" w:rsidRPr="00773C2C" w:rsidRDefault="00A9305E">
      <w:pPr>
        <w:pStyle w:val="Heading2"/>
        <w:numPr>
          <w:ilvl w:val="0"/>
          <w:numId w:val="0"/>
        </w:numPr>
      </w:pPr>
      <w:bookmarkStart w:id="2" w:name="_Reform_options"/>
      <w:bookmarkEnd w:id="2"/>
      <w:r w:rsidRPr="00773C2C">
        <w:lastRenderedPageBreak/>
        <w:t>R</w:t>
      </w:r>
      <w:r w:rsidR="00A77484" w:rsidRPr="00773C2C">
        <w:t>eform options</w:t>
      </w:r>
    </w:p>
    <w:p w14:paraId="1D820C56" w14:textId="4A2553E9" w:rsidR="00161352" w:rsidRPr="00773C2C" w:rsidRDefault="00161352" w:rsidP="00161352">
      <w:r w:rsidRPr="00773C2C">
        <w:t xml:space="preserve">The </w:t>
      </w:r>
      <w:r w:rsidR="00C738BC" w:rsidRPr="00773C2C">
        <w:t>o</w:t>
      </w:r>
      <w:r w:rsidRPr="00773C2C">
        <w:t xml:space="preserve">ptions </w:t>
      </w:r>
      <w:r w:rsidR="00C738BC" w:rsidRPr="00773C2C">
        <w:t>p</w:t>
      </w:r>
      <w:r w:rsidRPr="00773C2C">
        <w:t xml:space="preserve">aper outlines </w:t>
      </w:r>
      <w:r w:rsidR="00556466" w:rsidRPr="00773C2C">
        <w:t xml:space="preserve">3 </w:t>
      </w:r>
      <w:r w:rsidRPr="00773C2C">
        <w:t>options for reforming Australia</w:t>
      </w:r>
      <w:r w:rsidR="00AB3C65" w:rsidRPr="00773C2C">
        <w:t>’</w:t>
      </w:r>
      <w:r w:rsidRPr="00773C2C">
        <w:t>s export assurance system for NPGs:</w:t>
      </w:r>
    </w:p>
    <w:p w14:paraId="3EB42D52" w14:textId="35F1BB06" w:rsidR="00CD189B" w:rsidRPr="00773C2C" w:rsidRDefault="000066FD" w:rsidP="00161352">
      <w:pPr>
        <w:pStyle w:val="ListNumber"/>
        <w:numPr>
          <w:ilvl w:val="0"/>
          <w:numId w:val="23"/>
        </w:numPr>
      </w:pPr>
      <w:r w:rsidRPr="00773C2C">
        <w:rPr>
          <w:b/>
          <w:bCs/>
        </w:rPr>
        <w:t xml:space="preserve">Maintain current </w:t>
      </w:r>
      <w:r w:rsidR="00E760A1">
        <w:rPr>
          <w:b/>
          <w:bCs/>
        </w:rPr>
        <w:t>A</w:t>
      </w:r>
      <w:r w:rsidRPr="00773C2C">
        <w:rPr>
          <w:b/>
          <w:bCs/>
        </w:rPr>
        <w:t xml:space="preserve">dministrative </w:t>
      </w:r>
      <w:r w:rsidR="00E760A1">
        <w:rPr>
          <w:b/>
          <w:bCs/>
        </w:rPr>
        <w:t>A</w:t>
      </w:r>
      <w:r w:rsidRPr="00773C2C">
        <w:rPr>
          <w:b/>
          <w:bCs/>
        </w:rPr>
        <w:t>rrangements</w:t>
      </w:r>
      <w:r w:rsidR="00503FFC">
        <w:rPr>
          <w:b/>
          <w:bCs/>
        </w:rPr>
        <w:t xml:space="preserve"> </w:t>
      </w:r>
      <w:r w:rsidR="002261F4" w:rsidRPr="00773C2C">
        <w:t>–</w:t>
      </w:r>
      <w:r w:rsidR="00161352" w:rsidRPr="00773C2C">
        <w:t xml:space="preserve"> </w:t>
      </w:r>
      <w:r w:rsidR="00435F17" w:rsidRPr="00773C2C">
        <w:t>This option involves continuing the current system with minimal changes to the administration of NPG export</w:t>
      </w:r>
      <w:r w:rsidR="001C0CD5">
        <w:t xml:space="preserve"> assurance.</w:t>
      </w:r>
      <w:r w:rsidR="00435F17" w:rsidRPr="00773C2C">
        <w:t xml:space="preserve"> However, there would be updates to the cost recovery arrangements </w:t>
      </w:r>
      <w:r w:rsidR="00F60C80">
        <w:t xml:space="preserve">to seek to </w:t>
      </w:r>
      <w:r w:rsidR="00435F17" w:rsidRPr="00773C2C">
        <w:t>proper</w:t>
      </w:r>
      <w:r w:rsidR="00BE1FC6">
        <w:t>ly</w:t>
      </w:r>
      <w:r w:rsidR="00435F17" w:rsidRPr="00773C2C">
        <w:t xml:space="preserve"> attribute costs to where they originate. It would mean persisting with administrative actions to manage increased importing country requirements and facing ongoing challenges in cost recovery and</w:t>
      </w:r>
      <w:r w:rsidR="00AC3951">
        <w:t xml:space="preserve"> efficient</w:t>
      </w:r>
      <w:r w:rsidR="00435F17" w:rsidRPr="00773C2C">
        <w:t xml:space="preserve"> regulatory oversight. This option does not address the identified need for reform</w:t>
      </w:r>
      <w:r w:rsidR="00E15D37">
        <w:t xml:space="preserve"> and</w:t>
      </w:r>
      <w:r w:rsidR="00435F17" w:rsidRPr="00773C2C">
        <w:t xml:space="preserve"> is likely to result in continued inefficiencies </w:t>
      </w:r>
      <w:r w:rsidR="00E15D37">
        <w:t>as we</w:t>
      </w:r>
      <w:r w:rsidR="00435F17" w:rsidRPr="00773C2C">
        <w:t xml:space="preserve"> deliver services for the growing NPG industries.</w:t>
      </w:r>
    </w:p>
    <w:p w14:paraId="1C0FA5A6" w14:textId="083ECAD5" w:rsidR="002E3792" w:rsidRDefault="00161352" w:rsidP="00CD189B">
      <w:pPr>
        <w:pStyle w:val="ListNumber"/>
        <w:numPr>
          <w:ilvl w:val="0"/>
          <w:numId w:val="23"/>
        </w:numPr>
        <w:rPr>
          <w:lang w:eastAsia="ja-JP"/>
        </w:rPr>
      </w:pPr>
      <w:r w:rsidRPr="00CD189B">
        <w:rPr>
          <w:b/>
          <w:bCs/>
        </w:rPr>
        <w:t>Regulat</w:t>
      </w:r>
      <w:r w:rsidR="00485C72" w:rsidRPr="00CD189B">
        <w:rPr>
          <w:b/>
          <w:bCs/>
        </w:rPr>
        <w:t>e</w:t>
      </w:r>
      <w:r w:rsidRPr="00773C2C">
        <w:rPr>
          <w:b/>
          <w:bCs/>
        </w:rPr>
        <w:t xml:space="preserve"> to assure exports</w:t>
      </w:r>
      <w:r w:rsidR="002261F4" w:rsidRPr="00773C2C">
        <w:t xml:space="preserve"> – </w:t>
      </w:r>
      <w:r w:rsidRPr="00CD189B">
        <w:rPr>
          <w:rFonts w:ascii="Calibri" w:eastAsia="Calibri" w:hAnsi="Calibri" w:cs="Calibri"/>
        </w:rPr>
        <w:t xml:space="preserve">This option proposes introducing a new, </w:t>
      </w:r>
      <w:r w:rsidR="002E3792" w:rsidRPr="00CD189B">
        <w:rPr>
          <w:rFonts w:ascii="Calibri" w:eastAsia="Calibri" w:hAnsi="Calibri" w:cs="Calibri"/>
        </w:rPr>
        <w:t xml:space="preserve">commodity and country-based approach to export assurance. This would involve </w:t>
      </w:r>
      <w:r w:rsidR="009412B5">
        <w:rPr>
          <w:rFonts w:ascii="Calibri" w:eastAsia="Calibri" w:hAnsi="Calibri" w:cs="Calibri"/>
        </w:rPr>
        <w:t xml:space="preserve">development of legislation that would see modest </w:t>
      </w:r>
      <w:r w:rsidR="002E3792" w:rsidRPr="00CD189B">
        <w:rPr>
          <w:rFonts w:ascii="Calibri" w:eastAsia="Calibri" w:hAnsi="Calibri" w:cs="Calibri"/>
        </w:rPr>
        <w:t>changes to the existing system and provide robust assurances to meet</w:t>
      </w:r>
      <w:r w:rsidR="006A7801">
        <w:rPr>
          <w:rFonts w:ascii="Calibri" w:eastAsia="Calibri" w:hAnsi="Calibri" w:cs="Calibri"/>
        </w:rPr>
        <w:t>ing</w:t>
      </w:r>
      <w:r w:rsidR="002E3792" w:rsidRPr="00CD189B">
        <w:rPr>
          <w:rFonts w:ascii="Calibri" w:eastAsia="Calibri" w:hAnsi="Calibri" w:cs="Calibri"/>
        </w:rPr>
        <w:t xml:space="preserve"> importing country requirements. </w:t>
      </w:r>
      <w:r w:rsidR="006A7801">
        <w:rPr>
          <w:rFonts w:ascii="Calibri" w:eastAsia="Calibri" w:hAnsi="Calibri" w:cs="Calibri"/>
        </w:rPr>
        <w:t xml:space="preserve">It is suitable for addressing the identified challenges in the current </w:t>
      </w:r>
      <w:r w:rsidR="005814BB">
        <w:rPr>
          <w:rFonts w:ascii="Calibri" w:eastAsia="Calibri" w:hAnsi="Calibri" w:cs="Calibri"/>
        </w:rPr>
        <w:t>NPG export system</w:t>
      </w:r>
      <w:r w:rsidR="002E3792">
        <w:rPr>
          <w:lang w:eastAsia="ja-JP"/>
        </w:rPr>
        <w:t>.</w:t>
      </w:r>
      <w:r w:rsidR="00CD189B">
        <w:rPr>
          <w:lang w:eastAsia="ja-JP"/>
        </w:rPr>
        <w:t xml:space="preserve"> </w:t>
      </w:r>
      <w:r w:rsidR="002E3792">
        <w:rPr>
          <w:lang w:eastAsia="ja-JP"/>
        </w:rPr>
        <w:t>This option would remove the need for administrative actions, in favour of other regulatory tools</w:t>
      </w:r>
      <w:r w:rsidR="002E3792" w:rsidRPr="30B5FCD5">
        <w:rPr>
          <w:lang w:eastAsia="ja-JP"/>
        </w:rPr>
        <w:t>.</w:t>
      </w:r>
      <w:r w:rsidR="002E3792">
        <w:rPr>
          <w:lang w:eastAsia="ja-JP"/>
        </w:rPr>
        <w:t xml:space="preserve"> In addition, all exporters will be required to hold an export licence and each consignment exported would require an export permit.</w:t>
      </w:r>
    </w:p>
    <w:p w14:paraId="4CA0E420" w14:textId="5350EA48" w:rsidR="00161352" w:rsidRPr="00773C2C" w:rsidRDefault="00161352" w:rsidP="00D43938">
      <w:pPr>
        <w:pStyle w:val="ListNumber"/>
        <w:numPr>
          <w:ilvl w:val="0"/>
          <w:numId w:val="16"/>
        </w:numPr>
      </w:pPr>
      <w:r w:rsidRPr="00CD189B">
        <w:rPr>
          <w:b/>
          <w:bCs/>
        </w:rPr>
        <w:t>Regulat</w:t>
      </w:r>
      <w:r w:rsidR="00485C72" w:rsidRPr="00CD189B">
        <w:rPr>
          <w:b/>
          <w:bCs/>
        </w:rPr>
        <w:t>e</w:t>
      </w:r>
      <w:r w:rsidRPr="00773C2C">
        <w:rPr>
          <w:b/>
          <w:bCs/>
        </w:rPr>
        <w:t xml:space="preserve"> to control exports</w:t>
      </w:r>
      <w:r w:rsidR="002261F4" w:rsidRPr="00773C2C">
        <w:t xml:space="preserve"> – </w:t>
      </w:r>
      <w:r w:rsidR="00C543AE">
        <w:t xml:space="preserve">This option specifies that </w:t>
      </w:r>
      <w:r w:rsidR="00C543AE">
        <w:rPr>
          <w:lang w:eastAsia="ja-JP"/>
        </w:rPr>
        <w:t xml:space="preserve">legislation would be developed </w:t>
      </w:r>
      <w:proofErr w:type="gramStart"/>
      <w:r w:rsidR="00C543AE" w:rsidRPr="00B725F8">
        <w:rPr>
          <w:lang w:eastAsia="ja-JP"/>
        </w:rPr>
        <w:t>similar to</w:t>
      </w:r>
      <w:proofErr w:type="gramEnd"/>
      <w:r w:rsidR="00C543AE" w:rsidRPr="00B725F8">
        <w:rPr>
          <w:lang w:eastAsia="ja-JP"/>
        </w:rPr>
        <w:t xml:space="preserve"> the commodity</w:t>
      </w:r>
      <w:r w:rsidR="00C543AE">
        <w:rPr>
          <w:lang w:eastAsia="ja-JP"/>
        </w:rPr>
        <w:t>-</w:t>
      </w:r>
      <w:r w:rsidR="00C543AE" w:rsidRPr="00B725F8">
        <w:rPr>
          <w:lang w:eastAsia="ja-JP"/>
        </w:rPr>
        <w:t xml:space="preserve">specific </w:t>
      </w:r>
      <w:r w:rsidR="00C543AE">
        <w:rPr>
          <w:lang w:eastAsia="ja-JP"/>
        </w:rPr>
        <w:t>r</w:t>
      </w:r>
      <w:r w:rsidR="00C543AE" w:rsidRPr="00B725F8">
        <w:rPr>
          <w:lang w:eastAsia="ja-JP"/>
        </w:rPr>
        <w:t xml:space="preserve">ules for current prescribed </w:t>
      </w:r>
      <w:r w:rsidR="00C543AE" w:rsidRPr="003F4940">
        <w:rPr>
          <w:lang w:eastAsia="ja-JP"/>
        </w:rPr>
        <w:t xml:space="preserve">(controlled) </w:t>
      </w:r>
      <w:r w:rsidR="00C543AE" w:rsidRPr="00B725F8">
        <w:rPr>
          <w:lang w:eastAsia="ja-JP"/>
        </w:rPr>
        <w:t>goods such as meat, milk, fish, eggs and plants</w:t>
      </w:r>
      <w:r w:rsidR="00C543AE" w:rsidRPr="0052464E">
        <w:rPr>
          <w:lang w:eastAsia="ja-JP"/>
        </w:rPr>
        <w:t>.</w:t>
      </w:r>
      <w:r w:rsidR="00C543AE" w:rsidRPr="00B725F8">
        <w:rPr>
          <w:lang w:eastAsia="ja-JP"/>
        </w:rPr>
        <w:t xml:space="preserve"> Such</w:t>
      </w:r>
      <w:r w:rsidR="00C543AE">
        <w:rPr>
          <w:lang w:eastAsia="ja-JP"/>
        </w:rPr>
        <w:t xml:space="preserve"> new legislation would prescribe more comprehensive regulatory requirements for goods exported from Australia, with the intention of providing a higher level of regulation and control and adopting a minimum standard that applies to all NPGs.</w:t>
      </w:r>
    </w:p>
    <w:p w14:paraId="535C76B1" w14:textId="41B9C5AF" w:rsidR="00161352" w:rsidRPr="00773C2C" w:rsidRDefault="00161352" w:rsidP="00161352">
      <w:pPr>
        <w:pStyle w:val="Heading2"/>
        <w:numPr>
          <w:ilvl w:val="0"/>
          <w:numId w:val="0"/>
        </w:numPr>
        <w:ind w:left="720" w:hanging="720"/>
        <w:rPr>
          <w:bCs w:val="0"/>
        </w:rPr>
      </w:pPr>
      <w:r w:rsidRPr="00773C2C">
        <w:rPr>
          <w:bCs w:val="0"/>
        </w:rPr>
        <w:t xml:space="preserve">How </w:t>
      </w:r>
      <w:r w:rsidR="00A77484" w:rsidRPr="00773C2C">
        <w:rPr>
          <w:bCs w:val="0"/>
        </w:rPr>
        <w:t>reform</w:t>
      </w:r>
      <w:r w:rsidR="00A9305E" w:rsidRPr="00773C2C">
        <w:rPr>
          <w:bCs w:val="0"/>
        </w:rPr>
        <w:t xml:space="preserve"> will</w:t>
      </w:r>
      <w:r w:rsidR="00A77484" w:rsidRPr="00773C2C">
        <w:rPr>
          <w:bCs w:val="0"/>
        </w:rPr>
        <w:t xml:space="preserve"> change</w:t>
      </w:r>
      <w:r w:rsidRPr="00773C2C">
        <w:rPr>
          <w:bCs w:val="0"/>
        </w:rPr>
        <w:t xml:space="preserve"> cost recovery</w:t>
      </w:r>
    </w:p>
    <w:p w14:paraId="1D4240B1" w14:textId="6D9A7FE8" w:rsidR="00161352" w:rsidRPr="00773C2C" w:rsidRDefault="00161352" w:rsidP="00161352">
      <w:r w:rsidRPr="00773C2C">
        <w:t xml:space="preserve">The assurance activities undertaken by the government need to be cost recovered, consistent with the </w:t>
      </w:r>
      <w:hyperlink r:id="rId11" w:history="1">
        <w:r w:rsidRPr="00773C2C">
          <w:rPr>
            <w:rStyle w:val="Hyperlink"/>
          </w:rPr>
          <w:t>Australian Government</w:t>
        </w:r>
        <w:r w:rsidR="00AB3C65" w:rsidRPr="00773C2C">
          <w:rPr>
            <w:rStyle w:val="Hyperlink"/>
          </w:rPr>
          <w:t>’</w:t>
        </w:r>
        <w:r w:rsidRPr="00773C2C">
          <w:rPr>
            <w:rStyle w:val="Hyperlink"/>
          </w:rPr>
          <w:t>s Charging Framework</w:t>
        </w:r>
      </w:hyperlink>
      <w:r w:rsidR="00467758" w:rsidRPr="00773C2C">
        <w:t>. The framework</w:t>
      </w:r>
      <w:r w:rsidRPr="00773C2C">
        <w:t xml:space="preserve"> promotes consistent, transparent and accountable charging for government activities and supports the proper use of public resources. The framework also promotes equity, </w:t>
      </w:r>
      <w:r w:rsidR="004C4ECC" w:rsidRPr="00773C2C">
        <w:t>so</w:t>
      </w:r>
      <w:r w:rsidRPr="00773C2C">
        <w:t xml:space="preserve"> the recipients of a government activity</w:t>
      </w:r>
      <w:r w:rsidR="004C4ECC" w:rsidRPr="00773C2C">
        <w:t xml:space="preserve"> –</w:t>
      </w:r>
      <w:r w:rsidRPr="00773C2C">
        <w:t xml:space="preserve"> rather than the </w:t>
      </w:r>
      <w:proofErr w:type="gramStart"/>
      <w:r w:rsidRPr="00773C2C">
        <w:t>general public</w:t>
      </w:r>
      <w:proofErr w:type="gramEnd"/>
      <w:r w:rsidR="004C4ECC" w:rsidRPr="00773C2C">
        <w:t xml:space="preserve"> –</w:t>
      </w:r>
      <w:r w:rsidRPr="00773C2C">
        <w:t xml:space="preserve"> bear its costs. The </w:t>
      </w:r>
      <w:r w:rsidR="00467758" w:rsidRPr="00773C2C">
        <w:t>d</w:t>
      </w:r>
      <w:r w:rsidRPr="00773C2C">
        <w:t xml:space="preserve">epartment is required to cost recover export assurance activities because </w:t>
      </w:r>
      <w:r w:rsidR="00EB1842" w:rsidRPr="00773C2C">
        <w:t>the activities</w:t>
      </w:r>
      <w:r w:rsidRPr="00773C2C">
        <w:t xml:space="preserve"> support a clearly identifiable group – the individuals and organisations that participate in the export supply chain.</w:t>
      </w:r>
    </w:p>
    <w:p w14:paraId="6CEDFB6B" w14:textId="463680F6" w:rsidR="00161352" w:rsidRPr="00773C2C" w:rsidRDefault="00161352" w:rsidP="00161352">
      <w:r w:rsidRPr="00773C2C">
        <w:t xml:space="preserve">Currently, </w:t>
      </w:r>
      <w:r w:rsidR="009B73EF" w:rsidRPr="00773C2C">
        <w:t>we</w:t>
      </w:r>
      <w:r w:rsidRPr="00773C2C">
        <w:t xml:space="preserve"> can only charge exporters of NPGs for a government certificate, regardless of any associated or additional administrative services provided</w:t>
      </w:r>
      <w:r w:rsidR="00995B6D" w:rsidRPr="00773C2C">
        <w:t>. Th</w:t>
      </w:r>
      <w:r w:rsidR="004A1890" w:rsidRPr="00773C2C">
        <w:t>e current process of cost allocation does not meet the standards set forth within the Australian Government’s charging framework as it</w:t>
      </w:r>
      <w:r w:rsidR="00C249D2">
        <w:t xml:space="preserve"> </w:t>
      </w:r>
      <w:r w:rsidR="00D75159" w:rsidRPr="00773C2C">
        <w:t>fail</w:t>
      </w:r>
      <w:r w:rsidR="00995B6D" w:rsidRPr="00773C2C">
        <w:t>s</w:t>
      </w:r>
      <w:r w:rsidR="00D75159" w:rsidRPr="00773C2C">
        <w:t xml:space="preserve"> to reflect the time spent and cost incurred </w:t>
      </w:r>
      <w:r w:rsidR="0015779E">
        <w:t>to assure exported goods are meeting importing country requirements.</w:t>
      </w:r>
      <w:r w:rsidRPr="00773C2C">
        <w:t xml:space="preserve"> This single charge point also imposes the full cost of the assurance system onto the applicant for a certificate, rather than charging at multiple points throughout the supply chain where services are provided. The proposed reforms will introduce formal cost recovery arrangements for the NPG commodities</w:t>
      </w:r>
      <w:r w:rsidR="00277DFB" w:rsidRPr="00773C2C">
        <w:t xml:space="preserve"> that allow for the correct attribution of cost recovered activities completed by the department.</w:t>
      </w:r>
    </w:p>
    <w:p w14:paraId="424620C9" w14:textId="4416B4A3" w:rsidR="00161352" w:rsidRPr="00773C2C" w:rsidRDefault="00161352" w:rsidP="00161352">
      <w:pPr>
        <w:pStyle w:val="Heading2"/>
        <w:numPr>
          <w:ilvl w:val="0"/>
          <w:numId w:val="0"/>
        </w:numPr>
        <w:ind w:left="720" w:hanging="720"/>
      </w:pPr>
      <w:r w:rsidRPr="00773C2C">
        <w:lastRenderedPageBreak/>
        <w:t xml:space="preserve">How </w:t>
      </w:r>
      <w:r w:rsidR="001956D4" w:rsidRPr="00773C2C">
        <w:t xml:space="preserve">you </w:t>
      </w:r>
      <w:r w:rsidRPr="00773C2C">
        <w:t>can I be involved</w:t>
      </w:r>
    </w:p>
    <w:p w14:paraId="17648EE6" w14:textId="003EA992" w:rsidR="00161352" w:rsidRPr="00773C2C" w:rsidRDefault="00161352" w:rsidP="00161352">
      <w:r w:rsidRPr="00773C2C">
        <w:t>Stakeholders in Australia</w:t>
      </w:r>
      <w:r w:rsidR="00AB3C65" w:rsidRPr="00773C2C">
        <w:t>’</w:t>
      </w:r>
      <w:r w:rsidRPr="00773C2C">
        <w:t xml:space="preserve">s </w:t>
      </w:r>
      <w:r w:rsidR="00CA7FA1" w:rsidRPr="00773C2C">
        <w:t>NPGs</w:t>
      </w:r>
      <w:r w:rsidRPr="00773C2C">
        <w:t xml:space="preserve"> export industries are invited to </w:t>
      </w:r>
      <w:r w:rsidR="00C741DC" w:rsidRPr="00773C2C">
        <w:t>p</w:t>
      </w:r>
      <w:r w:rsidRPr="00773C2C">
        <w:t xml:space="preserve">rovide feedback </w:t>
      </w:r>
      <w:r w:rsidR="00506B58" w:rsidRPr="00773C2C">
        <w:t xml:space="preserve">on the Export assurance reform: options paper </w:t>
      </w:r>
      <w:r w:rsidRPr="00773C2C">
        <w:t>through a submission and/or Have Your Say</w:t>
      </w:r>
      <w:r w:rsidR="00ED57EA" w:rsidRPr="00773C2C">
        <w:t xml:space="preserve"> </w:t>
      </w:r>
      <w:r w:rsidRPr="00773C2C">
        <w:t>survey</w:t>
      </w:r>
      <w:r w:rsidR="00EF0450" w:rsidRPr="00773C2C">
        <w:t xml:space="preserve"> </w:t>
      </w:r>
      <w:r w:rsidRPr="00773C2C">
        <w:t xml:space="preserve">on the </w:t>
      </w:r>
      <w:hyperlink w:anchor="_Reform_options" w:history="1">
        <w:r w:rsidR="00400C32">
          <w:rPr>
            <w:rStyle w:val="Hyperlink"/>
          </w:rPr>
          <w:t>3</w:t>
        </w:r>
        <w:r w:rsidR="004E7DA9" w:rsidRPr="00773C2C">
          <w:rPr>
            <w:rStyle w:val="Hyperlink"/>
          </w:rPr>
          <w:t xml:space="preserve"> proposed </w:t>
        </w:r>
        <w:r w:rsidR="005E629A" w:rsidRPr="00773C2C">
          <w:rPr>
            <w:rStyle w:val="Hyperlink"/>
          </w:rPr>
          <w:t xml:space="preserve">reform </w:t>
        </w:r>
        <w:r w:rsidRPr="00773C2C">
          <w:rPr>
            <w:rStyle w:val="Hyperlink"/>
          </w:rPr>
          <w:t>options</w:t>
        </w:r>
      </w:hyperlink>
      <w:r w:rsidRPr="00773C2C">
        <w:t xml:space="preserve">. </w:t>
      </w:r>
      <w:r w:rsidR="005E629A" w:rsidRPr="00773C2C">
        <w:t>Your</w:t>
      </w:r>
      <w:r w:rsidRPr="00773C2C">
        <w:t xml:space="preserve"> feedback</w:t>
      </w:r>
      <w:r w:rsidR="00D904AA" w:rsidRPr="00773C2C">
        <w:t xml:space="preserve"> </w:t>
      </w:r>
      <w:r w:rsidRPr="00773C2C">
        <w:t>will</w:t>
      </w:r>
      <w:r w:rsidR="005E629A" w:rsidRPr="00773C2C">
        <w:t xml:space="preserve"> help us</w:t>
      </w:r>
      <w:r w:rsidR="00D904AA" w:rsidRPr="00773C2C">
        <w:t xml:space="preserve"> </w:t>
      </w:r>
      <w:r w:rsidR="00182866" w:rsidRPr="00773C2C">
        <w:t>effectively</w:t>
      </w:r>
      <w:r w:rsidR="00C249D2">
        <w:t xml:space="preserve"> </w:t>
      </w:r>
      <w:r w:rsidRPr="00773C2C">
        <w:t>reform the export control framework</w:t>
      </w:r>
      <w:r w:rsidR="005E629A" w:rsidRPr="00773C2C">
        <w:t xml:space="preserve"> </w:t>
      </w:r>
      <w:r w:rsidR="00182866" w:rsidRPr="00773C2C">
        <w:t>for now and into the future.</w:t>
      </w:r>
    </w:p>
    <w:p w14:paraId="07F1C65E" w14:textId="67678F94" w:rsidR="00161352" w:rsidRPr="00773C2C" w:rsidRDefault="00161352" w:rsidP="00161352">
      <w:r w:rsidRPr="00773C2C">
        <w:t xml:space="preserve">An Export Assurance Industry Reform Committee has been formed, comprising members from </w:t>
      </w:r>
      <w:r w:rsidR="00506B58" w:rsidRPr="00773C2C">
        <w:t>NPG </w:t>
      </w:r>
      <w:r w:rsidRPr="00773C2C">
        <w:t xml:space="preserve">industry associations. Members can provide feedback on the </w:t>
      </w:r>
      <w:r w:rsidR="00C738BC" w:rsidRPr="00773C2C">
        <w:t>o</w:t>
      </w:r>
      <w:r w:rsidRPr="00773C2C">
        <w:t xml:space="preserve">ptions </w:t>
      </w:r>
      <w:r w:rsidR="00C738BC" w:rsidRPr="00773C2C">
        <w:t>p</w:t>
      </w:r>
      <w:r w:rsidRPr="00773C2C">
        <w:t>aper and proposed reforms directly to these organisations.</w:t>
      </w:r>
    </w:p>
    <w:p w14:paraId="7B993FF5" w14:textId="77777777" w:rsidR="00020885" w:rsidRDefault="00020885" w:rsidP="00020885">
      <w:r>
        <w:t>The following organisations are members of the IRC:</w:t>
      </w:r>
    </w:p>
    <w:p w14:paraId="41378C6B" w14:textId="77777777" w:rsidR="00020885" w:rsidRDefault="00020885" w:rsidP="00020885">
      <w:pPr>
        <w:pStyle w:val="ListParagraph"/>
        <w:numPr>
          <w:ilvl w:val="0"/>
          <w:numId w:val="30"/>
        </w:numPr>
        <w:spacing w:before="60" w:after="120"/>
        <w:contextualSpacing/>
      </w:pPr>
      <w:r>
        <w:t>Australian Council of Wool Exporters and Processors</w:t>
      </w:r>
    </w:p>
    <w:p w14:paraId="0B12CCCD" w14:textId="77777777" w:rsidR="00020885" w:rsidRDefault="00020885" w:rsidP="00020885">
      <w:pPr>
        <w:pStyle w:val="ListParagraph"/>
        <w:numPr>
          <w:ilvl w:val="0"/>
          <w:numId w:val="30"/>
        </w:numPr>
        <w:spacing w:before="60" w:after="120"/>
        <w:contextualSpacing/>
      </w:pPr>
      <w:r>
        <w:t>Australian Hide, Skin and Leather Exporters Association</w:t>
      </w:r>
    </w:p>
    <w:p w14:paraId="6B478579" w14:textId="77777777" w:rsidR="00020885" w:rsidRDefault="00020885" w:rsidP="00020885">
      <w:pPr>
        <w:pStyle w:val="ListParagraph"/>
        <w:numPr>
          <w:ilvl w:val="0"/>
          <w:numId w:val="30"/>
        </w:numPr>
        <w:spacing w:before="60" w:after="120"/>
        <w:contextualSpacing/>
      </w:pPr>
      <w:r>
        <w:t xml:space="preserve">Australian </w:t>
      </w:r>
      <w:proofErr w:type="gramStart"/>
      <w:r>
        <w:t>Honey Bee</w:t>
      </w:r>
      <w:proofErr w:type="gramEnd"/>
      <w:r>
        <w:t xml:space="preserve"> Industry Council</w:t>
      </w:r>
    </w:p>
    <w:p w14:paraId="31D86B38" w14:textId="77777777" w:rsidR="00020885" w:rsidRDefault="00020885" w:rsidP="00020885">
      <w:pPr>
        <w:pStyle w:val="ListParagraph"/>
        <w:numPr>
          <w:ilvl w:val="0"/>
          <w:numId w:val="30"/>
        </w:numPr>
        <w:spacing w:before="60" w:after="120"/>
        <w:contextualSpacing/>
      </w:pPr>
      <w:r>
        <w:t>Australian Renderers Association</w:t>
      </w:r>
    </w:p>
    <w:p w14:paraId="56960B59" w14:textId="77777777" w:rsidR="00020885" w:rsidRDefault="00020885" w:rsidP="00020885">
      <w:pPr>
        <w:pStyle w:val="ListParagraph"/>
        <w:numPr>
          <w:ilvl w:val="0"/>
          <w:numId w:val="30"/>
        </w:numPr>
        <w:spacing w:before="60" w:after="120"/>
        <w:contextualSpacing/>
      </w:pPr>
      <w:r>
        <w:t>Feed Ingredients and Additives Association Australia</w:t>
      </w:r>
    </w:p>
    <w:p w14:paraId="553E4486" w14:textId="77777777" w:rsidR="00020885" w:rsidRDefault="00020885" w:rsidP="00020885">
      <w:pPr>
        <w:pStyle w:val="ListParagraph"/>
        <w:numPr>
          <w:ilvl w:val="0"/>
          <w:numId w:val="30"/>
        </w:numPr>
        <w:spacing w:before="60" w:after="120"/>
        <w:contextualSpacing/>
      </w:pPr>
      <w:r>
        <w:t>Pet Food Industry Association of Australia</w:t>
      </w:r>
    </w:p>
    <w:p w14:paraId="50D7B7CC" w14:textId="77777777" w:rsidR="00020885" w:rsidRDefault="00020885" w:rsidP="00020885">
      <w:pPr>
        <w:pStyle w:val="ListParagraph"/>
        <w:numPr>
          <w:ilvl w:val="0"/>
          <w:numId w:val="30"/>
        </w:numPr>
        <w:spacing w:before="60" w:after="120"/>
        <w:contextualSpacing/>
      </w:pPr>
      <w:r>
        <w:t>Stock Feed Manufacturers’ Council of Australia.</w:t>
      </w:r>
    </w:p>
    <w:p w14:paraId="6381A941" w14:textId="77777777" w:rsidR="00161352" w:rsidRPr="00773C2C" w:rsidRDefault="00161352" w:rsidP="00161352">
      <w:pPr>
        <w:pStyle w:val="Heading2"/>
        <w:numPr>
          <w:ilvl w:val="0"/>
          <w:numId w:val="0"/>
        </w:numPr>
        <w:ind w:left="720" w:hanging="720"/>
      </w:pPr>
      <w:r w:rsidRPr="00773C2C">
        <w:t>Next steps</w:t>
      </w:r>
    </w:p>
    <w:p w14:paraId="0046FD95" w14:textId="7B77C0FF" w:rsidR="00161352" w:rsidRPr="00773C2C" w:rsidRDefault="00161352" w:rsidP="00161352">
      <w:r w:rsidRPr="00773C2C">
        <w:t>This consultation is part of a broader effort to ensure that Australia</w:t>
      </w:r>
      <w:r w:rsidR="00AB3C65" w:rsidRPr="00773C2C">
        <w:t>’</w:t>
      </w:r>
      <w:r w:rsidRPr="00773C2C">
        <w:t xml:space="preserve">s export assurance system is responsive to changing </w:t>
      </w:r>
      <w:r w:rsidR="00AA3796">
        <w:t>importing country</w:t>
      </w:r>
      <w:r w:rsidR="00AA3796" w:rsidRPr="00773C2C">
        <w:t xml:space="preserve"> </w:t>
      </w:r>
      <w:r w:rsidRPr="00773C2C">
        <w:t xml:space="preserve">requirements, improves cost recovery and </w:t>
      </w:r>
      <w:r w:rsidR="00000D04">
        <w:t>ensures efficient</w:t>
      </w:r>
      <w:r w:rsidR="00000D04" w:rsidRPr="00773C2C">
        <w:t xml:space="preserve"> </w:t>
      </w:r>
      <w:r w:rsidRPr="00773C2C">
        <w:t>regulatory oversight.</w:t>
      </w:r>
    </w:p>
    <w:p w14:paraId="61EC7B9E" w14:textId="713E5A44" w:rsidR="00161352" w:rsidRPr="00773C2C" w:rsidRDefault="00161352">
      <w:r w:rsidRPr="00773C2C">
        <w:t xml:space="preserve">Following the Have Your Say consultations, the department will provide feedback to the Export Assurance Industry Reform Committee and develop a policy paper that will detail the agreed option and next steps. If a new regulatory model for NPGs is agreed on, implementation </w:t>
      </w:r>
      <w:r w:rsidR="00A26D6F" w:rsidRPr="00773C2C">
        <w:t>is likely to</w:t>
      </w:r>
      <w:r w:rsidRPr="00773C2C">
        <w:t xml:space="preserve"> commence in mid-2025</w:t>
      </w:r>
      <w:r w:rsidR="007A3FAC" w:rsidRPr="00773C2C">
        <w:t xml:space="preserve"> (pending consultation outcomes</w:t>
      </w:r>
      <w:r w:rsidR="00D904AA" w:rsidRPr="00773C2C">
        <w:t>)</w:t>
      </w:r>
      <w:r w:rsidRPr="00773C2C">
        <w:t xml:space="preserve">. </w:t>
      </w:r>
      <w:r w:rsidR="00D904AA" w:rsidRPr="00773C2C">
        <w:t>I</w:t>
      </w:r>
      <w:r w:rsidRPr="00773C2C">
        <w:t xml:space="preserve">mplementation of the reform will be staged, with </w:t>
      </w:r>
      <w:r w:rsidR="00A26D6F" w:rsidRPr="00773C2C">
        <w:t xml:space="preserve">reforms rolled out successively for </w:t>
      </w:r>
      <w:r w:rsidRPr="00773C2C">
        <w:t xml:space="preserve">each of the </w:t>
      </w:r>
      <w:r w:rsidR="00D904AA" w:rsidRPr="00773C2C">
        <w:t>8</w:t>
      </w:r>
      <w:r w:rsidRPr="00773C2C">
        <w:t xml:space="preserve"> industries. Consultation with the </w:t>
      </w:r>
      <w:r w:rsidR="00D904AA" w:rsidRPr="00773C2C">
        <w:t>c</w:t>
      </w:r>
      <w:r w:rsidRPr="00773C2C">
        <w:t>ommittee and other relevant stakeholders will inform selection of the first industry.</w:t>
      </w:r>
    </w:p>
    <w:p w14:paraId="073215CD" w14:textId="77777777" w:rsidR="008D1B48" w:rsidRPr="00773C2C" w:rsidRDefault="008D1B48" w:rsidP="008D1B48">
      <w:pPr>
        <w:pStyle w:val="Normalsmall"/>
      </w:pPr>
      <w:bookmarkStart w:id="3" w:name="_Appendix_A:_Statistical"/>
      <w:bookmarkEnd w:id="3"/>
      <w:r w:rsidRPr="00773C2C">
        <w:rPr>
          <w:rStyle w:val="Strong"/>
        </w:rPr>
        <w:t>Acknowledgement of Country</w:t>
      </w:r>
    </w:p>
    <w:p w14:paraId="277B04B5" w14:textId="77777777" w:rsidR="008D1B48" w:rsidRPr="00773C2C" w:rsidRDefault="008D1B48" w:rsidP="008D1B48">
      <w:pPr>
        <w:pStyle w:val="Normalsmall"/>
      </w:pPr>
      <w:r w:rsidRPr="00773C2C">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570662D" w14:textId="77777777" w:rsidR="00262394" w:rsidRPr="00773C2C" w:rsidRDefault="00262394" w:rsidP="00262394">
      <w:pPr>
        <w:pStyle w:val="Normalsmall"/>
        <w:spacing w:before="360"/>
      </w:pPr>
      <w:r w:rsidRPr="00773C2C">
        <w:t>© Commonwealth of Australia 202</w:t>
      </w:r>
      <w:r w:rsidR="00CF7FF8" w:rsidRPr="00773C2C">
        <w:t>4</w:t>
      </w:r>
    </w:p>
    <w:p w14:paraId="340C9EB2" w14:textId="77777777" w:rsidR="00262394" w:rsidRPr="00773C2C" w:rsidRDefault="00262394" w:rsidP="00262394">
      <w:pPr>
        <w:pStyle w:val="Normalsmall"/>
      </w:pPr>
      <w:r w:rsidRPr="00773C2C">
        <w:t>Unless otherwise noted, copyright (and any other intellectual property rights) in this publication is owned by the Commonwealth of Australia (referred to as the Commonwealth).</w:t>
      </w:r>
    </w:p>
    <w:p w14:paraId="6330DE0A" w14:textId="77777777" w:rsidR="00262394" w:rsidRPr="00773C2C" w:rsidRDefault="00262394" w:rsidP="00262394">
      <w:pPr>
        <w:pStyle w:val="Normalsmall"/>
      </w:pPr>
      <w:r w:rsidRPr="00773C2C">
        <w:t xml:space="preserve">All material in this publication is licensed under a </w:t>
      </w:r>
      <w:hyperlink r:id="rId12" w:history="1">
        <w:r w:rsidRPr="00773C2C">
          <w:rPr>
            <w:rStyle w:val="Hyperlink"/>
          </w:rPr>
          <w:t>Creative Commons Attribution 4.0 International Licence</w:t>
        </w:r>
      </w:hyperlink>
      <w:r w:rsidRPr="00773C2C">
        <w:t xml:space="preserve"> except content supplied by third parties, logos and the Commonwealth Coat of Arms.</w:t>
      </w:r>
    </w:p>
    <w:p w14:paraId="64C31B7E" w14:textId="77777777" w:rsidR="00262394" w:rsidRDefault="00262394" w:rsidP="00262394">
      <w:pPr>
        <w:pStyle w:val="Normalsmall"/>
      </w:pPr>
      <w:r w:rsidRPr="00773C2C">
        <w:t xml:space="preserve">The Australian Government acting through the </w:t>
      </w:r>
      <w:r w:rsidR="007B1F92" w:rsidRPr="00773C2C">
        <w:t>Department of Agriculture, Fisheries and Forestry</w:t>
      </w:r>
      <w:r w:rsidRPr="00773C2C">
        <w:t xml:space="preserve"> has exercised due care and skill in preparing and compiling the information and data in this publication. Notwithstanding, the </w:t>
      </w:r>
      <w:r w:rsidR="007B1F92" w:rsidRPr="00773C2C">
        <w:t>Department of Agriculture, Fisheries and Forestry</w:t>
      </w:r>
      <w:r w:rsidRPr="00773C2C">
        <w:t xml:space="preserve">, its employees and advisers disclaim all liability, including liability for negligence and for any loss, damage, injury, expense or cost incurred by any person </w:t>
      </w:r>
      <w:proofErr w:type="gramStart"/>
      <w:r w:rsidRPr="00773C2C">
        <w:t>as a result of</w:t>
      </w:r>
      <w:proofErr w:type="gramEnd"/>
      <w:r w:rsidRPr="00773C2C">
        <w:t xml:space="preserve"> accessing, using or relying on any of the information or data in this publication to the maximum extent permitted by law</w:t>
      </w:r>
      <w:r w:rsidRPr="00201CF2">
        <w:t>.</w:t>
      </w:r>
    </w:p>
    <w:sectPr w:rsidR="00262394">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CB2B0" w14:textId="77777777" w:rsidR="00DF4D05" w:rsidRDefault="00DF4D05">
      <w:r>
        <w:separator/>
      </w:r>
    </w:p>
    <w:p w14:paraId="71DFEF17" w14:textId="77777777" w:rsidR="00DF4D05" w:rsidRDefault="00DF4D05"/>
    <w:p w14:paraId="36E42770" w14:textId="77777777" w:rsidR="00DF4D05" w:rsidRDefault="00DF4D05"/>
  </w:endnote>
  <w:endnote w:type="continuationSeparator" w:id="0">
    <w:p w14:paraId="7C8B54F9" w14:textId="77777777" w:rsidR="00DF4D05" w:rsidRDefault="00DF4D05">
      <w:r>
        <w:continuationSeparator/>
      </w:r>
    </w:p>
    <w:p w14:paraId="0847C7C7" w14:textId="77777777" w:rsidR="00DF4D05" w:rsidRDefault="00DF4D05"/>
    <w:p w14:paraId="44C7BF63" w14:textId="77777777" w:rsidR="00DF4D05" w:rsidRDefault="00DF4D05"/>
  </w:endnote>
  <w:endnote w:type="continuationNotice" w:id="1">
    <w:p w14:paraId="0803F1EB" w14:textId="77777777" w:rsidR="00DF4D05" w:rsidRDefault="00DF4D05">
      <w:pPr>
        <w:pStyle w:val="Footer"/>
      </w:pPr>
    </w:p>
    <w:p w14:paraId="1A648869" w14:textId="77777777" w:rsidR="00DF4D05" w:rsidRDefault="00DF4D05"/>
    <w:p w14:paraId="1DD1D4ED" w14:textId="77777777" w:rsidR="00DF4D05" w:rsidRDefault="00DF4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49B61" w14:textId="77777777" w:rsidR="00C30975" w:rsidRDefault="00C30975">
    <w:pPr>
      <w:pStyle w:val="Footer"/>
    </w:pPr>
    <w:r>
      <w:rPr>
        <w:noProof/>
      </w:rPr>
      <mc:AlternateContent>
        <mc:Choice Requires="wps">
          <w:drawing>
            <wp:anchor distT="0" distB="0" distL="0" distR="0" simplePos="0" relativeHeight="251657728" behindDoc="0" locked="0" layoutInCell="1" allowOverlap="1" wp14:anchorId="70058498" wp14:editId="1EBC9EE0">
              <wp:simplePos x="635" y="635"/>
              <wp:positionH relativeFrom="page">
                <wp:align>center</wp:align>
              </wp:positionH>
              <wp:positionV relativeFrom="page">
                <wp:align>bottom</wp:align>
              </wp:positionV>
              <wp:extent cx="443865" cy="443865"/>
              <wp:effectExtent l="0" t="0" r="635" b="0"/>
              <wp:wrapNone/>
              <wp:docPr id="12960611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8FA0C2"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058498"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68FA0C2"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FC3AA" w14:textId="77777777" w:rsidR="002A193C" w:rsidRDefault="007B1F92">
    <w:pPr>
      <w:pStyle w:val="Footer"/>
    </w:pPr>
    <w:r w:rsidRPr="007B1F92">
      <w:t>Department of Agriculture, Fisheries and Forestry</w:t>
    </w:r>
  </w:p>
  <w:p w14:paraId="3C420BBA"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20895" w14:textId="77777777" w:rsidR="002A193C" w:rsidRDefault="002A193C">
    <w:pPr>
      <w:pStyle w:val="Footer"/>
    </w:pPr>
    <w:r>
      <w:t xml:space="preserve">Department of Agriculture, </w:t>
    </w:r>
    <w:r w:rsidR="00A9002C">
      <w:t>Fisheries and Forestry</w:t>
    </w:r>
  </w:p>
  <w:p w14:paraId="06501333"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7A805" w14:textId="77777777" w:rsidR="00DF4D05" w:rsidRDefault="00DF4D05">
      <w:r>
        <w:separator/>
      </w:r>
    </w:p>
    <w:p w14:paraId="2EA56C88" w14:textId="77777777" w:rsidR="00DF4D05" w:rsidRDefault="00DF4D05"/>
    <w:p w14:paraId="1B417766" w14:textId="77777777" w:rsidR="00DF4D05" w:rsidRDefault="00DF4D05"/>
  </w:footnote>
  <w:footnote w:type="continuationSeparator" w:id="0">
    <w:p w14:paraId="20D2841F" w14:textId="77777777" w:rsidR="00DF4D05" w:rsidRDefault="00DF4D05">
      <w:r>
        <w:continuationSeparator/>
      </w:r>
    </w:p>
    <w:p w14:paraId="4723683C" w14:textId="77777777" w:rsidR="00DF4D05" w:rsidRDefault="00DF4D05"/>
    <w:p w14:paraId="3462B0DF" w14:textId="77777777" w:rsidR="00DF4D05" w:rsidRDefault="00DF4D05"/>
  </w:footnote>
  <w:footnote w:type="continuationNotice" w:id="1">
    <w:p w14:paraId="23FF5DB5" w14:textId="77777777" w:rsidR="00DF4D05" w:rsidRDefault="00DF4D05">
      <w:pPr>
        <w:pStyle w:val="Footer"/>
      </w:pPr>
    </w:p>
    <w:p w14:paraId="16BAC06C" w14:textId="77777777" w:rsidR="00DF4D05" w:rsidRDefault="00DF4D05"/>
    <w:p w14:paraId="1574B6A5" w14:textId="77777777" w:rsidR="00DF4D05" w:rsidRDefault="00DF4D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23403" w14:textId="648B2B36" w:rsidR="002A193C" w:rsidRDefault="00C30975">
    <w:pPr>
      <w:pStyle w:val="Header"/>
    </w:pPr>
    <w:r>
      <w:rPr>
        <w:noProof/>
        <w:lang w:val="en-US"/>
      </w:rPr>
      <mc:AlternateContent>
        <mc:Choice Requires="wps">
          <w:drawing>
            <wp:anchor distT="0" distB="0" distL="0" distR="0" simplePos="0" relativeHeight="251656704" behindDoc="0" locked="0" layoutInCell="1" allowOverlap="1" wp14:anchorId="4847D1F1" wp14:editId="064DE584">
              <wp:simplePos x="635" y="635"/>
              <wp:positionH relativeFrom="page">
                <wp:align>center</wp:align>
              </wp:positionH>
              <wp:positionV relativeFrom="page">
                <wp:align>top</wp:align>
              </wp:positionV>
              <wp:extent cx="443865" cy="443865"/>
              <wp:effectExtent l="0" t="0" r="635" b="14605"/>
              <wp:wrapNone/>
              <wp:docPr id="11751491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89DEB1"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47D1F1"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489DEB1"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EF3D" w14:textId="4857AA64" w:rsidR="002A193C" w:rsidRPr="00161352" w:rsidRDefault="00161352" w:rsidP="00161352">
    <w:pPr>
      <w:pStyle w:val="Header"/>
    </w:pPr>
    <w:r w:rsidRPr="007A3FAC">
      <w:t xml:space="preserve">Export </w:t>
    </w:r>
    <w:r w:rsidR="00C738BC" w:rsidRPr="007A3FAC">
      <w:t>a</w:t>
    </w:r>
    <w:r w:rsidRPr="007A3FAC">
      <w:t xml:space="preserve">ssurance </w:t>
    </w:r>
    <w:r w:rsidR="00C738BC" w:rsidRPr="007A3FAC">
      <w:t>r</w:t>
    </w:r>
    <w:r w:rsidRPr="007A3FAC">
      <w:t>eform</w:t>
    </w:r>
    <w:r w:rsidR="00C738BC" w:rsidRPr="007A3FAC">
      <w:t>:</w:t>
    </w:r>
    <w:r w:rsidRPr="007A3FAC">
      <w:t xml:space="preserve"> </w:t>
    </w:r>
    <w:r w:rsidR="00C738BC" w:rsidRPr="007A3FAC">
      <w:t>o</w:t>
    </w:r>
    <w:r w:rsidRPr="007A3FAC">
      <w:t xml:space="preserve">ptions </w:t>
    </w:r>
    <w:r w:rsidR="00C738BC" w:rsidRPr="007A3FAC">
      <w:t>p</w:t>
    </w:r>
    <w:r w:rsidRPr="007A3FAC">
      <w:t>aper</w:t>
    </w:r>
    <w:r w:rsidR="00C738BC" w:rsidRPr="007A3FAC">
      <w:t xml:space="preserve"> </w:t>
    </w:r>
    <w:r w:rsidR="00470231">
      <w:t>–</w:t>
    </w:r>
    <w:r w:rsidR="00C738BC" w:rsidRPr="007A3FAC">
      <w:t xml:space="preserve"> summar</w:t>
    </w:r>
    <w:r w:rsidR="00C738BC">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F890D" w14:textId="0A687633" w:rsidR="002A193C" w:rsidRDefault="00D36729">
    <w:pPr>
      <w:pStyle w:val="Header"/>
      <w:jc w:val="left"/>
    </w:pPr>
    <w:r>
      <w:rPr>
        <w:noProof/>
        <w:lang w:eastAsia="en-AU"/>
      </w:rPr>
      <w:drawing>
        <wp:inline distT="0" distB="0" distL="0" distR="0" wp14:anchorId="4527C154" wp14:editId="21309812">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A0EFA7C"/>
    <w:lvl w:ilvl="0">
      <w:start w:val="1"/>
      <w:numFmt w:val="decimal"/>
      <w:lvlText w:val="%1."/>
      <w:lvlJc w:val="left"/>
      <w:pPr>
        <w:tabs>
          <w:tab w:val="num" w:pos="360"/>
        </w:tabs>
        <w:ind w:left="360" w:hanging="360"/>
      </w:pPr>
    </w:lvl>
  </w:abstractNum>
  <w:abstractNum w:abstractNumId="1"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60C087F"/>
    <w:multiLevelType w:val="hybridMultilevel"/>
    <w:tmpl w:val="D010A348"/>
    <w:lvl w:ilvl="0" w:tplc="AA7E19D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A12DCF"/>
    <w:multiLevelType w:val="hybridMultilevel"/>
    <w:tmpl w:val="4918A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FE612C"/>
    <w:multiLevelType w:val="hybridMultilevel"/>
    <w:tmpl w:val="3E7A47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22D635C"/>
    <w:multiLevelType w:val="hybridMultilevel"/>
    <w:tmpl w:val="1B46C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6800B4"/>
    <w:multiLevelType w:val="multilevel"/>
    <w:tmpl w:val="A0241B28"/>
    <w:numStyleLink w:val="List1"/>
  </w:abstractNum>
  <w:abstractNum w:abstractNumId="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5CD55B25"/>
    <w:multiLevelType w:val="hybridMultilevel"/>
    <w:tmpl w:val="12AE1BAE"/>
    <w:lvl w:ilvl="0" w:tplc="B83673D2">
      <w:start w:val="1"/>
      <w:numFmt w:val="decimal"/>
      <w:lvlText w:val="%1."/>
      <w:lvlJc w:val="left"/>
      <w:pPr>
        <w:ind w:left="720" w:hanging="360"/>
      </w:pPr>
    </w:lvl>
    <w:lvl w:ilvl="1" w:tplc="DA4E60BE">
      <w:start w:val="1"/>
      <w:numFmt w:val="lowerLetter"/>
      <w:lvlText w:val="%2."/>
      <w:lvlJc w:val="left"/>
      <w:pPr>
        <w:ind w:left="1440" w:hanging="360"/>
      </w:pPr>
    </w:lvl>
    <w:lvl w:ilvl="2" w:tplc="CCDCAAE8">
      <w:start w:val="1"/>
      <w:numFmt w:val="lowerRoman"/>
      <w:lvlText w:val="%3."/>
      <w:lvlJc w:val="right"/>
      <w:pPr>
        <w:ind w:left="2160" w:hanging="180"/>
      </w:pPr>
    </w:lvl>
    <w:lvl w:ilvl="3" w:tplc="388A5926">
      <w:start w:val="1"/>
      <w:numFmt w:val="decimal"/>
      <w:lvlText w:val="%4."/>
      <w:lvlJc w:val="left"/>
      <w:pPr>
        <w:ind w:left="2880" w:hanging="360"/>
      </w:pPr>
    </w:lvl>
    <w:lvl w:ilvl="4" w:tplc="98905074">
      <w:start w:val="1"/>
      <w:numFmt w:val="lowerLetter"/>
      <w:lvlText w:val="%5."/>
      <w:lvlJc w:val="left"/>
      <w:pPr>
        <w:ind w:left="3600" w:hanging="360"/>
      </w:pPr>
    </w:lvl>
    <w:lvl w:ilvl="5" w:tplc="F3709890">
      <w:start w:val="1"/>
      <w:numFmt w:val="lowerRoman"/>
      <w:lvlText w:val="%6."/>
      <w:lvlJc w:val="right"/>
      <w:pPr>
        <w:ind w:left="4320" w:hanging="180"/>
      </w:pPr>
    </w:lvl>
    <w:lvl w:ilvl="6" w:tplc="65D2C582">
      <w:start w:val="1"/>
      <w:numFmt w:val="decimal"/>
      <w:lvlText w:val="%7."/>
      <w:lvlJc w:val="left"/>
      <w:pPr>
        <w:ind w:left="5040" w:hanging="360"/>
      </w:pPr>
    </w:lvl>
    <w:lvl w:ilvl="7" w:tplc="C8AADCA8">
      <w:start w:val="1"/>
      <w:numFmt w:val="lowerLetter"/>
      <w:lvlText w:val="%8."/>
      <w:lvlJc w:val="left"/>
      <w:pPr>
        <w:ind w:left="5760" w:hanging="360"/>
      </w:pPr>
    </w:lvl>
    <w:lvl w:ilvl="8" w:tplc="931ACE86">
      <w:start w:val="1"/>
      <w:numFmt w:val="lowerRoman"/>
      <w:lvlText w:val="%9."/>
      <w:lvlJc w:val="right"/>
      <w:pPr>
        <w:ind w:left="6480" w:hanging="180"/>
      </w:pPr>
    </w:lvl>
  </w:abstractNum>
  <w:abstractNum w:abstractNumId="14" w15:restartNumberingAfterBreak="0">
    <w:nsid w:val="5E5123A7"/>
    <w:multiLevelType w:val="hybridMultilevel"/>
    <w:tmpl w:val="EE5CD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64E7B9"/>
    <w:multiLevelType w:val="hybridMultilevel"/>
    <w:tmpl w:val="F7121E12"/>
    <w:lvl w:ilvl="0" w:tplc="22D226D6">
      <w:start w:val="1"/>
      <w:numFmt w:val="decimal"/>
      <w:lvlText w:val="%1."/>
      <w:lvlJc w:val="left"/>
      <w:pPr>
        <w:ind w:left="720" w:hanging="360"/>
      </w:pPr>
    </w:lvl>
    <w:lvl w:ilvl="1" w:tplc="4238AA5E">
      <w:start w:val="1"/>
      <w:numFmt w:val="lowerLetter"/>
      <w:lvlText w:val="%2."/>
      <w:lvlJc w:val="left"/>
      <w:pPr>
        <w:ind w:left="1440" w:hanging="360"/>
      </w:pPr>
    </w:lvl>
    <w:lvl w:ilvl="2" w:tplc="7EBC53B6">
      <w:start w:val="1"/>
      <w:numFmt w:val="lowerRoman"/>
      <w:lvlText w:val="%3."/>
      <w:lvlJc w:val="right"/>
      <w:pPr>
        <w:ind w:left="2160" w:hanging="180"/>
      </w:pPr>
    </w:lvl>
    <w:lvl w:ilvl="3" w:tplc="CA2ED85A">
      <w:start w:val="1"/>
      <w:numFmt w:val="decimal"/>
      <w:lvlText w:val="%4."/>
      <w:lvlJc w:val="left"/>
      <w:pPr>
        <w:ind w:left="2880" w:hanging="360"/>
      </w:pPr>
    </w:lvl>
    <w:lvl w:ilvl="4" w:tplc="9F04C35E">
      <w:start w:val="1"/>
      <w:numFmt w:val="lowerLetter"/>
      <w:lvlText w:val="%5."/>
      <w:lvlJc w:val="left"/>
      <w:pPr>
        <w:ind w:left="3600" w:hanging="360"/>
      </w:pPr>
    </w:lvl>
    <w:lvl w:ilvl="5" w:tplc="6520F4DC">
      <w:start w:val="1"/>
      <w:numFmt w:val="lowerRoman"/>
      <w:lvlText w:val="%6."/>
      <w:lvlJc w:val="right"/>
      <w:pPr>
        <w:ind w:left="4320" w:hanging="180"/>
      </w:pPr>
    </w:lvl>
    <w:lvl w:ilvl="6" w:tplc="645CB4FE">
      <w:start w:val="1"/>
      <w:numFmt w:val="decimal"/>
      <w:lvlText w:val="%7."/>
      <w:lvlJc w:val="left"/>
      <w:pPr>
        <w:ind w:left="5040" w:hanging="360"/>
      </w:pPr>
    </w:lvl>
    <w:lvl w:ilvl="7" w:tplc="F1864A72">
      <w:start w:val="1"/>
      <w:numFmt w:val="lowerLetter"/>
      <w:lvlText w:val="%8."/>
      <w:lvlJc w:val="left"/>
      <w:pPr>
        <w:ind w:left="5760" w:hanging="360"/>
      </w:pPr>
    </w:lvl>
    <w:lvl w:ilvl="8" w:tplc="7BB09EE4">
      <w:start w:val="1"/>
      <w:numFmt w:val="lowerRoman"/>
      <w:lvlText w:val="%9."/>
      <w:lvlJc w:val="right"/>
      <w:pPr>
        <w:ind w:left="6480" w:hanging="180"/>
      </w:pPr>
    </w:lvl>
  </w:abstractNum>
  <w:abstractNum w:abstractNumId="17"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11"/>
  </w:num>
  <w:num w:numId="2" w16cid:durableId="1355770275">
    <w:abstractNumId w:val="12"/>
  </w:num>
  <w:num w:numId="3" w16cid:durableId="1882862685">
    <w:abstractNumId w:val="5"/>
  </w:num>
  <w:num w:numId="4" w16cid:durableId="360508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9"/>
  </w:num>
  <w:num w:numId="6" w16cid:durableId="1314989398">
    <w:abstractNumId w:val="10"/>
  </w:num>
  <w:num w:numId="7" w16cid:durableId="951480071">
    <w:abstractNumId w:val="8"/>
  </w:num>
  <w:num w:numId="8" w16cid:durableId="844629787">
    <w:abstractNumId w:val="5"/>
    <w:lvlOverride w:ilvl="0">
      <w:lvl w:ilvl="0">
        <w:start w:val="1"/>
        <w:numFmt w:val="decimal"/>
        <w:pStyle w:val="Heading2"/>
        <w:lvlText w:val="%1"/>
        <w:lvlJc w:val="left"/>
        <w:pPr>
          <w:ind w:left="720" w:hanging="720"/>
        </w:pPr>
      </w:lvl>
    </w:lvlOverride>
  </w:num>
  <w:num w:numId="9" w16cid:durableId="1698308952">
    <w:abstractNumId w:val="11"/>
  </w:num>
  <w:num w:numId="10" w16cid:durableId="547035718">
    <w:abstractNumId w:val="12"/>
  </w:num>
  <w:num w:numId="11" w16cid:durableId="1145393031">
    <w:abstractNumId w:val="1"/>
  </w:num>
  <w:num w:numId="12" w16cid:durableId="645671681">
    <w:abstractNumId w:val="15"/>
  </w:num>
  <w:num w:numId="13" w16cid:durableId="274824895">
    <w:abstractNumId w:val="17"/>
  </w:num>
  <w:num w:numId="14" w16cid:durableId="1515456163">
    <w:abstractNumId w:val="13"/>
  </w:num>
  <w:num w:numId="15" w16cid:durableId="1237786416">
    <w:abstractNumId w:val="12"/>
  </w:num>
  <w:num w:numId="16" w16cid:durableId="649292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3855495">
    <w:abstractNumId w:val="16"/>
  </w:num>
  <w:num w:numId="18" w16cid:durableId="561067531">
    <w:abstractNumId w:val="5"/>
    <w:lvlOverride w:ilvl="0">
      <w:lvl w:ilvl="0">
        <w:start w:val="1"/>
        <w:numFmt w:val="decimal"/>
        <w:pStyle w:val="Heading2"/>
        <w:lvlText w:val="%1"/>
        <w:lvlJc w:val="left"/>
        <w:pPr>
          <w:ind w:left="720" w:hanging="720"/>
        </w:pPr>
      </w:lvl>
    </w:lvlOverride>
  </w:num>
  <w:num w:numId="19" w16cid:durableId="1024862569">
    <w:abstractNumId w:val="5"/>
    <w:lvlOverride w:ilvl="0">
      <w:lvl w:ilvl="0">
        <w:start w:val="1"/>
        <w:numFmt w:val="decimal"/>
        <w:pStyle w:val="Heading2"/>
        <w:lvlText w:val="%1"/>
        <w:lvlJc w:val="left"/>
        <w:pPr>
          <w:ind w:left="720" w:hanging="720"/>
        </w:pPr>
      </w:lvl>
    </w:lvlOverride>
  </w:num>
  <w:num w:numId="20" w16cid:durableId="1173573615">
    <w:abstractNumId w:val="5"/>
    <w:lvlOverride w:ilvl="0">
      <w:lvl w:ilvl="0">
        <w:start w:val="1"/>
        <w:numFmt w:val="decimal"/>
        <w:pStyle w:val="Heading2"/>
        <w:lvlText w:val="%1"/>
        <w:lvlJc w:val="left"/>
        <w:pPr>
          <w:ind w:left="720" w:hanging="720"/>
        </w:pPr>
      </w:lvl>
    </w:lvlOverride>
  </w:num>
  <w:num w:numId="21" w16cid:durableId="1817260348">
    <w:abstractNumId w:val="5"/>
    <w:lvlOverride w:ilvl="0">
      <w:lvl w:ilvl="0">
        <w:start w:val="1"/>
        <w:numFmt w:val="decimal"/>
        <w:pStyle w:val="Heading2"/>
        <w:lvlText w:val="%1"/>
        <w:lvlJc w:val="left"/>
        <w:pPr>
          <w:ind w:left="720" w:hanging="720"/>
        </w:pPr>
      </w:lvl>
    </w:lvlOverride>
  </w:num>
  <w:num w:numId="22" w16cid:durableId="1512257635">
    <w:abstractNumId w:val="12"/>
  </w:num>
  <w:num w:numId="23" w16cid:durableId="5558179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3032785">
    <w:abstractNumId w:val="12"/>
  </w:num>
  <w:num w:numId="25" w16cid:durableId="1034816453">
    <w:abstractNumId w:val="4"/>
  </w:num>
  <w:num w:numId="26" w16cid:durableId="99300008">
    <w:abstractNumId w:val="6"/>
  </w:num>
  <w:num w:numId="27" w16cid:durableId="699166212">
    <w:abstractNumId w:val="14"/>
  </w:num>
  <w:num w:numId="28" w16cid:durableId="183641318">
    <w:abstractNumId w:val="2"/>
  </w:num>
  <w:num w:numId="29" w16cid:durableId="1480732344">
    <w:abstractNumId w:val="0"/>
  </w:num>
  <w:num w:numId="30" w16cid:durableId="62431738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52"/>
    <w:rsid w:val="00000D04"/>
    <w:rsid w:val="0000277D"/>
    <w:rsid w:val="000066FD"/>
    <w:rsid w:val="00010CDA"/>
    <w:rsid w:val="00011A55"/>
    <w:rsid w:val="000204C8"/>
    <w:rsid w:val="00020885"/>
    <w:rsid w:val="00026DE0"/>
    <w:rsid w:val="00033A25"/>
    <w:rsid w:val="00034449"/>
    <w:rsid w:val="0005728F"/>
    <w:rsid w:val="000613BA"/>
    <w:rsid w:val="00063928"/>
    <w:rsid w:val="00075B06"/>
    <w:rsid w:val="00083995"/>
    <w:rsid w:val="00083B54"/>
    <w:rsid w:val="000A0FD7"/>
    <w:rsid w:val="000A1F17"/>
    <w:rsid w:val="000C29A0"/>
    <w:rsid w:val="000D6DD8"/>
    <w:rsid w:val="000E2783"/>
    <w:rsid w:val="000E55F8"/>
    <w:rsid w:val="000E6FFC"/>
    <w:rsid w:val="000F34EE"/>
    <w:rsid w:val="000F3CF2"/>
    <w:rsid w:val="00106678"/>
    <w:rsid w:val="00112B86"/>
    <w:rsid w:val="00113FCE"/>
    <w:rsid w:val="00114403"/>
    <w:rsid w:val="001147A4"/>
    <w:rsid w:val="001235CD"/>
    <w:rsid w:val="0013516F"/>
    <w:rsid w:val="00135FCE"/>
    <w:rsid w:val="00146A75"/>
    <w:rsid w:val="00153E7B"/>
    <w:rsid w:val="001567E9"/>
    <w:rsid w:val="0015779E"/>
    <w:rsid w:val="00161352"/>
    <w:rsid w:val="00162949"/>
    <w:rsid w:val="00162CA6"/>
    <w:rsid w:val="001638A2"/>
    <w:rsid w:val="001740AC"/>
    <w:rsid w:val="0017475A"/>
    <w:rsid w:val="00182866"/>
    <w:rsid w:val="00183612"/>
    <w:rsid w:val="00193750"/>
    <w:rsid w:val="001956D4"/>
    <w:rsid w:val="001A03C3"/>
    <w:rsid w:val="001A1F79"/>
    <w:rsid w:val="001B1009"/>
    <w:rsid w:val="001B1F05"/>
    <w:rsid w:val="001C031D"/>
    <w:rsid w:val="001C0CD5"/>
    <w:rsid w:val="001C133E"/>
    <w:rsid w:val="001C3583"/>
    <w:rsid w:val="001C50B5"/>
    <w:rsid w:val="001C62EA"/>
    <w:rsid w:val="001D5169"/>
    <w:rsid w:val="001D6708"/>
    <w:rsid w:val="001D77BC"/>
    <w:rsid w:val="001E1C4C"/>
    <w:rsid w:val="001E1E03"/>
    <w:rsid w:val="001F0F42"/>
    <w:rsid w:val="00201500"/>
    <w:rsid w:val="00201CF2"/>
    <w:rsid w:val="002024FE"/>
    <w:rsid w:val="00203DAE"/>
    <w:rsid w:val="002102D5"/>
    <w:rsid w:val="00212862"/>
    <w:rsid w:val="0021346B"/>
    <w:rsid w:val="00221FB5"/>
    <w:rsid w:val="002257ED"/>
    <w:rsid w:val="002261F4"/>
    <w:rsid w:val="002312AD"/>
    <w:rsid w:val="00232622"/>
    <w:rsid w:val="002331A4"/>
    <w:rsid w:val="00234AB0"/>
    <w:rsid w:val="00236805"/>
    <w:rsid w:val="002423A1"/>
    <w:rsid w:val="0024310F"/>
    <w:rsid w:val="0024648C"/>
    <w:rsid w:val="00250F44"/>
    <w:rsid w:val="00262394"/>
    <w:rsid w:val="002647AF"/>
    <w:rsid w:val="00277DFB"/>
    <w:rsid w:val="002801E1"/>
    <w:rsid w:val="002837F2"/>
    <w:rsid w:val="002872E8"/>
    <w:rsid w:val="002A193C"/>
    <w:rsid w:val="002A3220"/>
    <w:rsid w:val="002B0685"/>
    <w:rsid w:val="002B1C08"/>
    <w:rsid w:val="002C0109"/>
    <w:rsid w:val="002C0A41"/>
    <w:rsid w:val="002D1D46"/>
    <w:rsid w:val="002D5D86"/>
    <w:rsid w:val="002D7A29"/>
    <w:rsid w:val="002E3792"/>
    <w:rsid w:val="002E6000"/>
    <w:rsid w:val="002F1ADA"/>
    <w:rsid w:val="002F442F"/>
    <w:rsid w:val="002F4D19"/>
    <w:rsid w:val="003005B7"/>
    <w:rsid w:val="0030060A"/>
    <w:rsid w:val="00301956"/>
    <w:rsid w:val="00305911"/>
    <w:rsid w:val="0031732F"/>
    <w:rsid w:val="00320CC3"/>
    <w:rsid w:val="00327E29"/>
    <w:rsid w:val="00340820"/>
    <w:rsid w:val="0035235F"/>
    <w:rsid w:val="00357095"/>
    <w:rsid w:val="00362196"/>
    <w:rsid w:val="00362353"/>
    <w:rsid w:val="003660A3"/>
    <w:rsid w:val="00381D23"/>
    <w:rsid w:val="00396339"/>
    <w:rsid w:val="003A3BE0"/>
    <w:rsid w:val="003A4B4A"/>
    <w:rsid w:val="003A65EB"/>
    <w:rsid w:val="003B404E"/>
    <w:rsid w:val="003C16CA"/>
    <w:rsid w:val="003C1C5A"/>
    <w:rsid w:val="003C5972"/>
    <w:rsid w:val="003C63BF"/>
    <w:rsid w:val="003D038E"/>
    <w:rsid w:val="003D3CE1"/>
    <w:rsid w:val="003D44DC"/>
    <w:rsid w:val="003D5B5D"/>
    <w:rsid w:val="003E1010"/>
    <w:rsid w:val="003E5B3A"/>
    <w:rsid w:val="003F61C0"/>
    <w:rsid w:val="00400C32"/>
    <w:rsid w:val="004012F5"/>
    <w:rsid w:val="00402404"/>
    <w:rsid w:val="0040568D"/>
    <w:rsid w:val="00406245"/>
    <w:rsid w:val="00406AC2"/>
    <w:rsid w:val="00407118"/>
    <w:rsid w:val="00412B4E"/>
    <w:rsid w:val="0041492E"/>
    <w:rsid w:val="00427227"/>
    <w:rsid w:val="00427DFF"/>
    <w:rsid w:val="00432AC8"/>
    <w:rsid w:val="00435F17"/>
    <w:rsid w:val="004570EE"/>
    <w:rsid w:val="00460750"/>
    <w:rsid w:val="00467758"/>
    <w:rsid w:val="00470231"/>
    <w:rsid w:val="004705F2"/>
    <w:rsid w:val="00473964"/>
    <w:rsid w:val="00477DF8"/>
    <w:rsid w:val="00482F94"/>
    <w:rsid w:val="004837B1"/>
    <w:rsid w:val="0048569E"/>
    <w:rsid w:val="00485C72"/>
    <w:rsid w:val="00486C20"/>
    <w:rsid w:val="00490584"/>
    <w:rsid w:val="00490E7F"/>
    <w:rsid w:val="00495CFA"/>
    <w:rsid w:val="004A1890"/>
    <w:rsid w:val="004A2427"/>
    <w:rsid w:val="004B4702"/>
    <w:rsid w:val="004C2B00"/>
    <w:rsid w:val="004C4ECC"/>
    <w:rsid w:val="004C6362"/>
    <w:rsid w:val="004C6C47"/>
    <w:rsid w:val="004D2C0D"/>
    <w:rsid w:val="004D6984"/>
    <w:rsid w:val="004E7DA9"/>
    <w:rsid w:val="004F04FA"/>
    <w:rsid w:val="004F5326"/>
    <w:rsid w:val="0050106A"/>
    <w:rsid w:val="00503FFC"/>
    <w:rsid w:val="00506B58"/>
    <w:rsid w:val="00507D38"/>
    <w:rsid w:val="005147AF"/>
    <w:rsid w:val="00517378"/>
    <w:rsid w:val="005233F7"/>
    <w:rsid w:val="005345FA"/>
    <w:rsid w:val="00537541"/>
    <w:rsid w:val="005436CB"/>
    <w:rsid w:val="00545705"/>
    <w:rsid w:val="00556466"/>
    <w:rsid w:val="00557208"/>
    <w:rsid w:val="00575DA1"/>
    <w:rsid w:val="00576C8F"/>
    <w:rsid w:val="005814BB"/>
    <w:rsid w:val="005824B1"/>
    <w:rsid w:val="00582BAE"/>
    <w:rsid w:val="005868AF"/>
    <w:rsid w:val="0058780E"/>
    <w:rsid w:val="005A1CC6"/>
    <w:rsid w:val="005B00C4"/>
    <w:rsid w:val="005B7E7D"/>
    <w:rsid w:val="005C1CD2"/>
    <w:rsid w:val="005C41FB"/>
    <w:rsid w:val="005C64F3"/>
    <w:rsid w:val="005D0396"/>
    <w:rsid w:val="005D2CAB"/>
    <w:rsid w:val="005D63B8"/>
    <w:rsid w:val="005E067A"/>
    <w:rsid w:val="005E629A"/>
    <w:rsid w:val="005F0E4D"/>
    <w:rsid w:val="005F4061"/>
    <w:rsid w:val="005F4775"/>
    <w:rsid w:val="005F779D"/>
    <w:rsid w:val="00607061"/>
    <w:rsid w:val="00611812"/>
    <w:rsid w:val="00611DA7"/>
    <w:rsid w:val="006220D0"/>
    <w:rsid w:val="00631E09"/>
    <w:rsid w:val="006379FD"/>
    <w:rsid w:val="006416D4"/>
    <w:rsid w:val="00662F81"/>
    <w:rsid w:val="00666A9D"/>
    <w:rsid w:val="006825FD"/>
    <w:rsid w:val="00687261"/>
    <w:rsid w:val="00687C64"/>
    <w:rsid w:val="0069057A"/>
    <w:rsid w:val="00691224"/>
    <w:rsid w:val="00694BBA"/>
    <w:rsid w:val="006A0DDE"/>
    <w:rsid w:val="006A3ABD"/>
    <w:rsid w:val="006A7801"/>
    <w:rsid w:val="006B0225"/>
    <w:rsid w:val="006B541F"/>
    <w:rsid w:val="006C0443"/>
    <w:rsid w:val="006C769C"/>
    <w:rsid w:val="006D0D62"/>
    <w:rsid w:val="006D3433"/>
    <w:rsid w:val="006E2257"/>
    <w:rsid w:val="006E645E"/>
    <w:rsid w:val="006F0658"/>
    <w:rsid w:val="006F328A"/>
    <w:rsid w:val="00704CE7"/>
    <w:rsid w:val="0070565E"/>
    <w:rsid w:val="007056E6"/>
    <w:rsid w:val="00706D4A"/>
    <w:rsid w:val="0071544B"/>
    <w:rsid w:val="00721008"/>
    <w:rsid w:val="00725755"/>
    <w:rsid w:val="00730C08"/>
    <w:rsid w:val="00734FA3"/>
    <w:rsid w:val="007405CB"/>
    <w:rsid w:val="00742DDB"/>
    <w:rsid w:val="00744C94"/>
    <w:rsid w:val="0075078F"/>
    <w:rsid w:val="00761801"/>
    <w:rsid w:val="00762C3E"/>
    <w:rsid w:val="00766D81"/>
    <w:rsid w:val="00770DF5"/>
    <w:rsid w:val="00773C2C"/>
    <w:rsid w:val="00776CDA"/>
    <w:rsid w:val="007A3864"/>
    <w:rsid w:val="007A3FAC"/>
    <w:rsid w:val="007B150D"/>
    <w:rsid w:val="007B19A3"/>
    <w:rsid w:val="007B1C59"/>
    <w:rsid w:val="007B1F92"/>
    <w:rsid w:val="007B3C19"/>
    <w:rsid w:val="007C5B94"/>
    <w:rsid w:val="007D385B"/>
    <w:rsid w:val="0081269B"/>
    <w:rsid w:val="008150F1"/>
    <w:rsid w:val="008153FE"/>
    <w:rsid w:val="008172EA"/>
    <w:rsid w:val="00821DA2"/>
    <w:rsid w:val="0082249A"/>
    <w:rsid w:val="00833933"/>
    <w:rsid w:val="00835619"/>
    <w:rsid w:val="00851D55"/>
    <w:rsid w:val="00855F1D"/>
    <w:rsid w:val="008738B2"/>
    <w:rsid w:val="00874569"/>
    <w:rsid w:val="00874979"/>
    <w:rsid w:val="00891B2B"/>
    <w:rsid w:val="008A3190"/>
    <w:rsid w:val="008B0E01"/>
    <w:rsid w:val="008B7467"/>
    <w:rsid w:val="008C18D9"/>
    <w:rsid w:val="008C23C3"/>
    <w:rsid w:val="008C25B7"/>
    <w:rsid w:val="008C2765"/>
    <w:rsid w:val="008D1B48"/>
    <w:rsid w:val="008E2611"/>
    <w:rsid w:val="008F207B"/>
    <w:rsid w:val="008F4FF5"/>
    <w:rsid w:val="008F77E1"/>
    <w:rsid w:val="00901AF6"/>
    <w:rsid w:val="00902749"/>
    <w:rsid w:val="0090774C"/>
    <w:rsid w:val="00907D7B"/>
    <w:rsid w:val="00916ED1"/>
    <w:rsid w:val="00935602"/>
    <w:rsid w:val="009362B1"/>
    <w:rsid w:val="009412B5"/>
    <w:rsid w:val="00941981"/>
    <w:rsid w:val="009679F4"/>
    <w:rsid w:val="00984670"/>
    <w:rsid w:val="00986088"/>
    <w:rsid w:val="00991227"/>
    <w:rsid w:val="00995B6D"/>
    <w:rsid w:val="009A04D3"/>
    <w:rsid w:val="009B26BB"/>
    <w:rsid w:val="009B60D7"/>
    <w:rsid w:val="009B73EF"/>
    <w:rsid w:val="009C4375"/>
    <w:rsid w:val="009D1A6E"/>
    <w:rsid w:val="009D20DF"/>
    <w:rsid w:val="009E063A"/>
    <w:rsid w:val="009F03F6"/>
    <w:rsid w:val="009F315F"/>
    <w:rsid w:val="009F6EB0"/>
    <w:rsid w:val="009F75A2"/>
    <w:rsid w:val="00A0084B"/>
    <w:rsid w:val="00A01D74"/>
    <w:rsid w:val="00A07493"/>
    <w:rsid w:val="00A23375"/>
    <w:rsid w:val="00A24993"/>
    <w:rsid w:val="00A26D23"/>
    <w:rsid w:val="00A26D6F"/>
    <w:rsid w:val="00A3222F"/>
    <w:rsid w:val="00A42640"/>
    <w:rsid w:val="00A52203"/>
    <w:rsid w:val="00A5744A"/>
    <w:rsid w:val="00A60FF7"/>
    <w:rsid w:val="00A614AA"/>
    <w:rsid w:val="00A74D83"/>
    <w:rsid w:val="00A77484"/>
    <w:rsid w:val="00A819B3"/>
    <w:rsid w:val="00A8498D"/>
    <w:rsid w:val="00A9002C"/>
    <w:rsid w:val="00A9305E"/>
    <w:rsid w:val="00AA3796"/>
    <w:rsid w:val="00AA70E3"/>
    <w:rsid w:val="00AB0FBE"/>
    <w:rsid w:val="00AB3C65"/>
    <w:rsid w:val="00AB5F54"/>
    <w:rsid w:val="00AB7B41"/>
    <w:rsid w:val="00AC1542"/>
    <w:rsid w:val="00AC3220"/>
    <w:rsid w:val="00AC3951"/>
    <w:rsid w:val="00AE20E6"/>
    <w:rsid w:val="00AE5C5A"/>
    <w:rsid w:val="00AE674E"/>
    <w:rsid w:val="00AE6B55"/>
    <w:rsid w:val="00AE6EE3"/>
    <w:rsid w:val="00AF1EB9"/>
    <w:rsid w:val="00AF5211"/>
    <w:rsid w:val="00AF6BF3"/>
    <w:rsid w:val="00B01FB8"/>
    <w:rsid w:val="00B049F5"/>
    <w:rsid w:val="00B10120"/>
    <w:rsid w:val="00B3040F"/>
    <w:rsid w:val="00B30DB6"/>
    <w:rsid w:val="00B34DE7"/>
    <w:rsid w:val="00B35721"/>
    <w:rsid w:val="00B4311E"/>
    <w:rsid w:val="00B43A41"/>
    <w:rsid w:val="00B45C4E"/>
    <w:rsid w:val="00B477B6"/>
    <w:rsid w:val="00B504DA"/>
    <w:rsid w:val="00B5453F"/>
    <w:rsid w:val="00B56631"/>
    <w:rsid w:val="00B56CB8"/>
    <w:rsid w:val="00B70B3A"/>
    <w:rsid w:val="00B777CF"/>
    <w:rsid w:val="00B836C9"/>
    <w:rsid w:val="00B85123"/>
    <w:rsid w:val="00B94C3D"/>
    <w:rsid w:val="00B9730E"/>
    <w:rsid w:val="00BA04B0"/>
    <w:rsid w:val="00BA0AFF"/>
    <w:rsid w:val="00BA43B1"/>
    <w:rsid w:val="00BB1C4B"/>
    <w:rsid w:val="00BB1D0D"/>
    <w:rsid w:val="00BB2291"/>
    <w:rsid w:val="00BB6ACE"/>
    <w:rsid w:val="00BB725F"/>
    <w:rsid w:val="00BC5A0A"/>
    <w:rsid w:val="00BC6BA3"/>
    <w:rsid w:val="00BD0253"/>
    <w:rsid w:val="00BD2275"/>
    <w:rsid w:val="00BD5C06"/>
    <w:rsid w:val="00BE1FC6"/>
    <w:rsid w:val="00BF7469"/>
    <w:rsid w:val="00C00AAC"/>
    <w:rsid w:val="00C0239A"/>
    <w:rsid w:val="00C05EA8"/>
    <w:rsid w:val="00C06619"/>
    <w:rsid w:val="00C249D2"/>
    <w:rsid w:val="00C30975"/>
    <w:rsid w:val="00C43238"/>
    <w:rsid w:val="00C45AD4"/>
    <w:rsid w:val="00C50760"/>
    <w:rsid w:val="00C51E35"/>
    <w:rsid w:val="00C543AE"/>
    <w:rsid w:val="00C65375"/>
    <w:rsid w:val="00C70B74"/>
    <w:rsid w:val="00C738BC"/>
    <w:rsid w:val="00C741DC"/>
    <w:rsid w:val="00C759F8"/>
    <w:rsid w:val="00C76F3E"/>
    <w:rsid w:val="00C8597E"/>
    <w:rsid w:val="00C868D5"/>
    <w:rsid w:val="00C9327C"/>
    <w:rsid w:val="00CA7FA1"/>
    <w:rsid w:val="00CB5BC8"/>
    <w:rsid w:val="00CD189B"/>
    <w:rsid w:val="00CD5DD3"/>
    <w:rsid w:val="00CF7FF8"/>
    <w:rsid w:val="00D06356"/>
    <w:rsid w:val="00D06691"/>
    <w:rsid w:val="00D134BB"/>
    <w:rsid w:val="00D25E87"/>
    <w:rsid w:val="00D36729"/>
    <w:rsid w:val="00D4374D"/>
    <w:rsid w:val="00D43938"/>
    <w:rsid w:val="00D44064"/>
    <w:rsid w:val="00D45274"/>
    <w:rsid w:val="00D45E0E"/>
    <w:rsid w:val="00D666DC"/>
    <w:rsid w:val="00D73D50"/>
    <w:rsid w:val="00D75159"/>
    <w:rsid w:val="00D7745E"/>
    <w:rsid w:val="00D80B22"/>
    <w:rsid w:val="00D8741B"/>
    <w:rsid w:val="00D904AA"/>
    <w:rsid w:val="00D912A7"/>
    <w:rsid w:val="00DB573D"/>
    <w:rsid w:val="00DD017E"/>
    <w:rsid w:val="00DF22BF"/>
    <w:rsid w:val="00DF4D05"/>
    <w:rsid w:val="00E0052E"/>
    <w:rsid w:val="00E051E2"/>
    <w:rsid w:val="00E05D92"/>
    <w:rsid w:val="00E15D37"/>
    <w:rsid w:val="00E233BE"/>
    <w:rsid w:val="00E24C2F"/>
    <w:rsid w:val="00E26C4D"/>
    <w:rsid w:val="00E362EF"/>
    <w:rsid w:val="00E36F4D"/>
    <w:rsid w:val="00E4063A"/>
    <w:rsid w:val="00E46BE6"/>
    <w:rsid w:val="00E46D51"/>
    <w:rsid w:val="00E612FA"/>
    <w:rsid w:val="00E650DE"/>
    <w:rsid w:val="00E732BE"/>
    <w:rsid w:val="00E760A1"/>
    <w:rsid w:val="00E90687"/>
    <w:rsid w:val="00E93071"/>
    <w:rsid w:val="00E96E54"/>
    <w:rsid w:val="00EA117E"/>
    <w:rsid w:val="00EA1953"/>
    <w:rsid w:val="00EB0EBE"/>
    <w:rsid w:val="00EB1842"/>
    <w:rsid w:val="00EB3DF1"/>
    <w:rsid w:val="00EB57AA"/>
    <w:rsid w:val="00EC66B0"/>
    <w:rsid w:val="00ED57EA"/>
    <w:rsid w:val="00EE2EAC"/>
    <w:rsid w:val="00EE747F"/>
    <w:rsid w:val="00EF00B6"/>
    <w:rsid w:val="00EF0450"/>
    <w:rsid w:val="00EF273B"/>
    <w:rsid w:val="00EF65AA"/>
    <w:rsid w:val="00F35EE8"/>
    <w:rsid w:val="00F36878"/>
    <w:rsid w:val="00F427EB"/>
    <w:rsid w:val="00F60C80"/>
    <w:rsid w:val="00F62794"/>
    <w:rsid w:val="00F65DFD"/>
    <w:rsid w:val="00F81A1D"/>
    <w:rsid w:val="00F85EAF"/>
    <w:rsid w:val="00F90D42"/>
    <w:rsid w:val="00F958A3"/>
    <w:rsid w:val="00F962BC"/>
    <w:rsid w:val="00FA1FD0"/>
    <w:rsid w:val="00FA540E"/>
    <w:rsid w:val="00FB088E"/>
    <w:rsid w:val="00FB2ABE"/>
    <w:rsid w:val="00FB6115"/>
    <w:rsid w:val="00FC036D"/>
    <w:rsid w:val="00FC0AB8"/>
    <w:rsid w:val="00FD117D"/>
    <w:rsid w:val="00FD3304"/>
    <w:rsid w:val="00FD79A5"/>
    <w:rsid w:val="00FE607A"/>
    <w:rsid w:val="00FF3867"/>
    <w:rsid w:val="01ABD19E"/>
    <w:rsid w:val="27693591"/>
    <w:rsid w:val="2F6F33D3"/>
    <w:rsid w:val="3935E71C"/>
    <w:rsid w:val="47330489"/>
    <w:rsid w:val="634EF298"/>
    <w:rsid w:val="638962F9"/>
    <w:rsid w:val="69B99D42"/>
    <w:rsid w:val="769E37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FCFBF"/>
  <w15:docId w15:val="{2DCB68F3-05E2-4651-A8FD-6A49E88B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4"/>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4"/>
      </w:numPr>
      <w:spacing w:before="120" w:after="120"/>
      <w:contextualSpacing/>
    </w:pPr>
  </w:style>
  <w:style w:type="paragraph" w:styleId="ListNumber">
    <w:name w:val="List Number"/>
    <w:basedOn w:val="Normal"/>
    <w:uiPriority w:val="9"/>
    <w:qFormat/>
    <w:rsid w:val="00762C3E"/>
    <w:pPr>
      <w:tabs>
        <w:tab w:val="left" w:pos="142"/>
      </w:tabs>
      <w:spacing w:before="120" w:after="120"/>
      <w:ind w:left="425" w:hanging="425"/>
    </w:pPr>
  </w:style>
  <w:style w:type="paragraph" w:styleId="ListNumber2">
    <w:name w:val="List Number 2"/>
    <w:uiPriority w:val="10"/>
    <w:qFormat/>
    <w:rsid w:val="00762C3E"/>
    <w:pPr>
      <w:numPr>
        <w:ilvl w:val="1"/>
        <w:numId w:val="2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2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GB"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762C3E"/>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3"/>
      </w:numPr>
    </w:pPr>
  </w:style>
  <w:style w:type="paragraph" w:customStyle="1" w:styleId="Tablenumberedlist3">
    <w:name w:val="Table numbered list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paragraph" w:styleId="Revision">
    <w:name w:val="Revision"/>
    <w:hidden/>
    <w:uiPriority w:val="99"/>
    <w:semiHidden/>
    <w:rsid w:val="00C738BC"/>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sid w:val="005572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088453">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ance.gov.au/government/managing-commonwealth-resources/implementing-charging-framework-rmg-302/what-australian-government-charging-framewor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0AE43180B05F488CF909607B569E01" ma:contentTypeVersion="15" ma:contentTypeDescription="Create a new document." ma:contentTypeScope="" ma:versionID="cb088a9247732701a653c427eed1b904">
  <xsd:schema xmlns:xsd="http://www.w3.org/2001/XMLSchema" xmlns:xs="http://www.w3.org/2001/XMLSchema" xmlns:p="http://schemas.microsoft.com/office/2006/metadata/properties" xmlns:ns2="b342a6d7-03b4-4b69-aa17-84f60e1134c0" xmlns:ns3="81c01dc6-2c49-4730-b140-874c95cac377" xmlns:ns4="588bda36-003c-4202-9eb7-bfcac190ee19" targetNamespace="http://schemas.microsoft.com/office/2006/metadata/properties" ma:root="true" ma:fieldsID="1e736f47c2bc9615790bacae1d6041f8" ns2:_="" ns3:_="" ns4:_="">
    <xsd:import namespace="b342a6d7-03b4-4b69-aa17-84f60e1134c0"/>
    <xsd:import namespace="81c01dc6-2c49-4730-b140-874c95cac377"/>
    <xsd:import namespace="588bda36-003c-4202-9eb7-bfcac190ee1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DateTaken" minOccurs="0"/>
                <xsd:element ref="ns2:MediaLengthInSeconds" minOccurs="0"/>
                <xsd:element ref="ns2:InCM9"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2a6d7-03b4-4b69-aa17-84f60e113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InCM9" ma:index="20" nillable="true" ma:displayName="In CM9" ma:default="0" ma:format="Dropdown" ma:internalName="InCM9">
      <xsd:simpleType>
        <xsd:restriction base="dms:Boolea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a903da-c1ba-4c19-b7dc-1ab1f185f6e9}" ma:internalName="TaxCatchAll" ma:showField="CatchAllData" ma:web="588bda36-003c-4202-9eb7-bfcac190ee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8bda36-003c-4202-9eb7-bfcac190ee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42a6d7-03b4-4b69-aa17-84f60e1134c0">
      <Terms xmlns="http://schemas.microsoft.com/office/infopath/2007/PartnerControls"/>
    </lcf76f155ced4ddcb4097134ff3c332f>
    <InCM9 xmlns="b342a6d7-03b4-4b69-aa17-84f60e1134c0">false</InCM9>
    <TaxCatchAll xmlns="81c01dc6-2c49-4730-b140-874c95cac377" xsi:nil="true"/>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35F66E50-AF86-40E0-931B-EB859ABE7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2a6d7-03b4-4b69-aa17-84f60e1134c0"/>
    <ds:schemaRef ds:uri="81c01dc6-2c49-4730-b140-874c95cac377"/>
    <ds:schemaRef ds:uri="588bda36-003c-4202-9eb7-bfcac190e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documentManagement/types"/>
    <ds:schemaRef ds:uri="http://schemas.openxmlformats.org/package/2006/metadata/core-properties"/>
    <ds:schemaRef ds:uri="http://schemas.microsoft.com/office/2006/metadata/properties"/>
    <ds:schemaRef ds:uri="588bda36-003c-4202-9eb7-bfcac190ee19"/>
    <ds:schemaRef ds:uri="http://purl.org/dc/terms/"/>
    <ds:schemaRef ds:uri="http://www.w3.org/XML/1998/namespace"/>
    <ds:schemaRef ds:uri="http://purl.org/dc/elements/1.1/"/>
    <ds:schemaRef ds:uri="http://schemas.microsoft.com/office/infopath/2007/PartnerControls"/>
    <ds:schemaRef ds:uri="81c01dc6-2c49-4730-b140-874c95cac377"/>
    <ds:schemaRef ds:uri="b342a6d7-03b4-4b69-aa17-84f60e1134c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1328</Words>
  <Characters>7571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Export assurance reform: options paper – summary</vt:lpstr>
    </vt:vector>
  </TitlesOfParts>
  <Company/>
  <LinksUpToDate>false</LinksUpToDate>
  <CharactersWithSpaces>8882</CharactersWithSpaces>
  <SharedDoc>false</SharedDoc>
  <HLinks>
    <vt:vector size="18" baseType="variant">
      <vt:variant>
        <vt:i4>5373952</vt:i4>
      </vt:variant>
      <vt:variant>
        <vt:i4>6</vt:i4>
      </vt:variant>
      <vt:variant>
        <vt:i4>0</vt:i4>
      </vt:variant>
      <vt:variant>
        <vt:i4>5</vt:i4>
      </vt:variant>
      <vt:variant>
        <vt:lpwstr>https://creativecommons.org/licenses/by/4.0/legalcode</vt:lpwstr>
      </vt:variant>
      <vt:variant>
        <vt:lpwstr/>
      </vt:variant>
      <vt:variant>
        <vt:i4>5111884</vt:i4>
      </vt:variant>
      <vt:variant>
        <vt:i4>3</vt:i4>
      </vt:variant>
      <vt:variant>
        <vt:i4>0</vt:i4>
      </vt:variant>
      <vt:variant>
        <vt:i4>5</vt:i4>
      </vt:variant>
      <vt:variant>
        <vt:lpwstr/>
      </vt:variant>
      <vt:variant>
        <vt:lpwstr>_Reform_options</vt:lpwstr>
      </vt:variant>
      <vt:variant>
        <vt:i4>3342439</vt:i4>
      </vt:variant>
      <vt:variant>
        <vt:i4>0</vt:i4>
      </vt:variant>
      <vt:variant>
        <vt:i4>0</vt:i4>
      </vt:variant>
      <vt:variant>
        <vt:i4>5</vt:i4>
      </vt:variant>
      <vt:variant>
        <vt:lpwstr>https://www.finance.gov.au/government/managing-commonwealth-resources/implementing-charging-framework-rmg-302/what-australian-government-charging-framework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assurance reform: options paper – summary</dc:title>
  <dc:subject/>
  <dc:creator>Department of Agriculture, Fisheries and Forestry</dc:creator>
  <cp:keywords/>
  <cp:lastModifiedBy>Bowman, Lucy</cp:lastModifiedBy>
  <cp:revision>2</cp:revision>
  <cp:lastPrinted>2019-02-13T02:42:00Z</cp:lastPrinted>
  <dcterms:created xsi:type="dcterms:W3CDTF">2024-07-25T06:02:00Z</dcterms:created>
  <dcterms:modified xsi:type="dcterms:W3CDTF">2024-07-25T06:02:00Z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0x010100380AE43180B05F488CF909607B569E01</vt:lpwstr>
  </property>
  <property fmtid="{D5CDD505-2E9C-101B-9397-08002B2CF9AE}" pid="3" name="_DocHome">
    <vt:i4>986778056</vt:i4>
  </property>
  <property fmtid="{D5CDD505-2E9C-101B-9397-08002B2CF9AE}" pid="4" name="ClassificationContentMarkingHeaderShapeIds">
    <vt:lpwstr>75e73740,460b5a3a,2c8aeb6c</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351e854a,4d40530b,51c89a</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2024-02-26T23:04:38Z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61fde418-643f-4928-b03f-3e18a340ca1a</vt:lpwstr>
  </property>
  <property fmtid="{D5CDD505-2E9C-101B-9397-08002B2CF9AE}" pid="16" name="MSIP_Label_933d8be6-3c40-4052-87a2-9c2adcba8759_ContentBits">
    <vt:lpwstr>3</vt:lpwstr>
  </property>
  <property fmtid="{D5CDD505-2E9C-101B-9397-08002B2CF9AE}" pid="17" name="MediaServiceImageTags">
    <vt:lpwstr/>
  </property>
</Properties>
</file>