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BD1D" w14:textId="3ED41315" w:rsidR="00764D6A" w:rsidRPr="00497728" w:rsidRDefault="00EA3C73" w:rsidP="009A4DFC">
      <w:pPr>
        <w:pStyle w:val="Heading1"/>
        <w:spacing w:before="1080"/>
      </w:pPr>
      <w:r w:rsidRPr="00497728">
        <w:t xml:space="preserve">Assuring </w:t>
      </w:r>
      <w:r w:rsidR="00F44509" w:rsidRPr="00497728">
        <w:t xml:space="preserve">agricultural </w:t>
      </w:r>
      <w:r w:rsidRPr="00497728">
        <w:t>sustainability claims</w:t>
      </w:r>
      <w:r w:rsidR="00CB658D" w:rsidRPr="00497728">
        <w:t>:</w:t>
      </w:r>
      <w:r w:rsidR="0073652F" w:rsidRPr="00497728">
        <w:t xml:space="preserve"> </w:t>
      </w:r>
      <w:r w:rsidR="00A56674" w:rsidRPr="00497728">
        <w:t>discussion</w:t>
      </w:r>
      <w:r w:rsidR="0073652F" w:rsidRPr="00497728">
        <w:t xml:space="preserve"> paper</w:t>
      </w:r>
    </w:p>
    <w:p w14:paraId="7F042A42" w14:textId="1CA70D68" w:rsidR="00CB658D" w:rsidRPr="00497728" w:rsidRDefault="00CB658D" w:rsidP="00C90196">
      <w:pPr>
        <w:spacing w:before="120"/>
      </w:pPr>
      <w:r w:rsidRPr="00497728">
        <w:t xml:space="preserve">Version </w:t>
      </w:r>
      <w:r w:rsidR="000A3610" w:rsidRPr="00497728">
        <w:t>1.0</w:t>
      </w:r>
    </w:p>
    <w:p w14:paraId="4D277AA4" w14:textId="4DA3912B" w:rsidR="008860E2" w:rsidRPr="00497728" w:rsidRDefault="005C1A1F" w:rsidP="00BB21CD">
      <w:pPr>
        <w:spacing w:before="720"/>
      </w:pPr>
      <w:r>
        <w:rPr>
          <w:noProof/>
        </w:rPr>
        <w:drawing>
          <wp:inline distT="0" distB="0" distL="0" distR="0" wp14:anchorId="06C411AF" wp14:editId="1E2C561B">
            <wp:extent cx="5810250" cy="4652830"/>
            <wp:effectExtent l="0" t="0" r="0" b="0"/>
            <wp:docPr id="211873924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924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285" r="9602"/>
                    <a:stretch/>
                  </pic:blipFill>
                  <pic:spPr bwMode="auto">
                    <a:xfrm>
                      <a:off x="0" y="0"/>
                      <a:ext cx="5819083" cy="4659903"/>
                    </a:xfrm>
                    <a:prstGeom prst="rect">
                      <a:avLst/>
                    </a:prstGeom>
                    <a:noFill/>
                    <a:ln>
                      <a:noFill/>
                    </a:ln>
                    <a:extLst>
                      <a:ext uri="{53640926-AAD7-44D8-BBD7-CCE9431645EC}">
                        <a14:shadowObscured xmlns:a14="http://schemas.microsoft.com/office/drawing/2010/main"/>
                      </a:ext>
                    </a:extLst>
                  </pic:spPr>
                </pic:pic>
              </a:graphicData>
            </a:graphic>
          </wp:inline>
        </w:drawing>
      </w:r>
    </w:p>
    <w:p w14:paraId="23CBC765" w14:textId="55719D7B" w:rsidR="00764D6A" w:rsidRPr="00497728" w:rsidRDefault="00E91D72" w:rsidP="008860E2">
      <w:pPr>
        <w:pStyle w:val="Normalsmall"/>
      </w:pPr>
      <w:r w:rsidRPr="00497728">
        <w:br w:type="page"/>
      </w:r>
      <w:r w:rsidRPr="00497728">
        <w:lastRenderedPageBreak/>
        <w:t xml:space="preserve">© Commonwealth of Australia </w:t>
      </w:r>
      <w:r w:rsidR="00B97E61" w:rsidRPr="00497728">
        <w:t>202</w:t>
      </w:r>
      <w:r w:rsidR="0071381A" w:rsidRPr="00497728">
        <w:t>4</w:t>
      </w:r>
    </w:p>
    <w:p w14:paraId="5BAD24D6" w14:textId="77777777" w:rsidR="00764D6A" w:rsidRPr="00497728" w:rsidRDefault="00E91D72">
      <w:pPr>
        <w:pStyle w:val="Normalsmall"/>
        <w:rPr>
          <w:rStyle w:val="Strong"/>
        </w:rPr>
      </w:pPr>
      <w:r w:rsidRPr="00497728">
        <w:rPr>
          <w:rStyle w:val="Strong"/>
        </w:rPr>
        <w:t>Ownership of intellectual property rights</w:t>
      </w:r>
    </w:p>
    <w:p w14:paraId="1C6B19F5" w14:textId="77777777" w:rsidR="00764D6A" w:rsidRPr="00497728" w:rsidRDefault="00E91D72">
      <w:pPr>
        <w:pStyle w:val="Normalsmall"/>
      </w:pPr>
      <w:r w:rsidRPr="00497728">
        <w:t>Unless otherwise noted, copyright (and any other intellectual property rights) in this publication is owned by the Commonwealth of Australia (referred to as the Commonwealth).</w:t>
      </w:r>
    </w:p>
    <w:p w14:paraId="53CF9B47" w14:textId="77777777" w:rsidR="00764D6A" w:rsidRPr="00497728" w:rsidRDefault="00E91D72">
      <w:pPr>
        <w:pStyle w:val="Normalsmall"/>
        <w:rPr>
          <w:rStyle w:val="Strong"/>
        </w:rPr>
      </w:pPr>
      <w:r w:rsidRPr="00497728">
        <w:rPr>
          <w:rStyle w:val="Strong"/>
        </w:rPr>
        <w:t>Creative Commons licence</w:t>
      </w:r>
    </w:p>
    <w:p w14:paraId="5E84D360" w14:textId="77777777" w:rsidR="00764D6A" w:rsidRPr="00497728" w:rsidRDefault="00E91D72">
      <w:pPr>
        <w:pStyle w:val="Normalsmall"/>
      </w:pPr>
      <w:r w:rsidRPr="00497728">
        <w:t xml:space="preserve">All material in this publication is licensed under a </w:t>
      </w:r>
      <w:hyperlink r:id="rId12" w:history="1">
        <w:r w:rsidRPr="00497728">
          <w:rPr>
            <w:rStyle w:val="Hyperlink"/>
          </w:rPr>
          <w:t>Creative Commons Attribution 4.0 International Licence</w:t>
        </w:r>
      </w:hyperlink>
      <w:r w:rsidRPr="00497728">
        <w:t xml:space="preserve"> except content supplied by third parties, logos and the Commonwealth Coat of Arms.</w:t>
      </w:r>
    </w:p>
    <w:p w14:paraId="28ADE8E3" w14:textId="77777777" w:rsidR="00764D6A" w:rsidRPr="00497728" w:rsidRDefault="00E91D72">
      <w:pPr>
        <w:pStyle w:val="Normalsmall"/>
      </w:pPr>
      <w:r w:rsidRPr="00497728">
        <w:rPr>
          <w:noProof/>
          <w:lang w:eastAsia="en-AU"/>
        </w:rPr>
        <w:drawing>
          <wp:inline distT="0" distB="0" distL="0" distR="0" wp14:anchorId="07EB3068" wp14:editId="64ACB66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2CC0C3B" w14:textId="77777777" w:rsidR="00764D6A" w:rsidRPr="00497728" w:rsidRDefault="00E91D72">
      <w:pPr>
        <w:pStyle w:val="Normalsmall"/>
        <w:rPr>
          <w:rStyle w:val="Strong"/>
        </w:rPr>
      </w:pPr>
      <w:r w:rsidRPr="00497728">
        <w:rPr>
          <w:rStyle w:val="Strong"/>
        </w:rPr>
        <w:t>Cataloguing data</w:t>
      </w:r>
    </w:p>
    <w:p w14:paraId="58FDFD03" w14:textId="040EEF23" w:rsidR="00764D6A" w:rsidRPr="00497728" w:rsidRDefault="00E91D72">
      <w:pPr>
        <w:pStyle w:val="Normalsmall"/>
      </w:pPr>
      <w:r w:rsidRPr="00497728">
        <w:t>This publication (and any material sourced from it) should be attributed as:</w:t>
      </w:r>
      <w:r w:rsidR="00AE54C4" w:rsidRPr="00497728">
        <w:t xml:space="preserve"> DAFF 2024,</w:t>
      </w:r>
      <w:r w:rsidRPr="00497728">
        <w:t xml:space="preserve"> </w:t>
      </w:r>
      <w:r w:rsidR="00F44509" w:rsidRPr="00497728">
        <w:rPr>
          <w:i/>
        </w:rPr>
        <w:t xml:space="preserve">Assuring agricultural sustainability claims: </w:t>
      </w:r>
      <w:r w:rsidR="00A56674" w:rsidRPr="00497728">
        <w:rPr>
          <w:i/>
        </w:rPr>
        <w:t>discussion</w:t>
      </w:r>
      <w:r w:rsidR="00F44509" w:rsidRPr="00497728">
        <w:rPr>
          <w:i/>
        </w:rPr>
        <w:t xml:space="preserve"> paper</w:t>
      </w:r>
      <w:r w:rsidRPr="00497728">
        <w:t xml:space="preserve">, </w:t>
      </w:r>
      <w:r w:rsidR="0073652F" w:rsidRPr="00497728">
        <w:t xml:space="preserve">prepared by </w:t>
      </w:r>
      <w:r w:rsidR="00380426" w:rsidRPr="00497728">
        <w:t xml:space="preserve">Schuster Consulting Group and CSIRO on behalf of the </w:t>
      </w:r>
      <w:r w:rsidR="00E6342F" w:rsidRPr="00497728">
        <w:t>Australian Agricultural Traceability Assuring Sustainability Claims Working Group</w:t>
      </w:r>
      <w:r w:rsidR="00AE54C4" w:rsidRPr="00497728">
        <w:t>,</w:t>
      </w:r>
      <w:r w:rsidR="0073652F" w:rsidRPr="00497728">
        <w:t xml:space="preserve"> </w:t>
      </w:r>
      <w:r w:rsidR="00DE0AAE" w:rsidRPr="00497728">
        <w:t>Department of Agriculture, Fisheries and Forestry</w:t>
      </w:r>
      <w:r w:rsidRPr="00497728">
        <w:t>, Canberra</w:t>
      </w:r>
      <w:r w:rsidR="0073652F" w:rsidRPr="00497728">
        <w:t>.</w:t>
      </w:r>
      <w:r w:rsidRPr="00497728">
        <w:t xml:space="preserve"> CC</w:t>
      </w:r>
      <w:r w:rsidR="00947D31" w:rsidRPr="00497728">
        <w:t> </w:t>
      </w:r>
      <w:r w:rsidRPr="00497728">
        <w:t>BY</w:t>
      </w:r>
      <w:r w:rsidR="00947D31" w:rsidRPr="00497728">
        <w:t> </w:t>
      </w:r>
      <w:r w:rsidRPr="00497728">
        <w:t>4.0.</w:t>
      </w:r>
    </w:p>
    <w:p w14:paraId="22E0442B" w14:textId="27D5A8AE" w:rsidR="00764D6A" w:rsidRPr="00497728" w:rsidRDefault="00E91D72">
      <w:pPr>
        <w:pStyle w:val="Normalsmall"/>
      </w:pPr>
      <w:r w:rsidRPr="00497728">
        <w:t xml:space="preserve">This publication is available at </w:t>
      </w:r>
      <w:hyperlink r:id="rId14" w:history="1">
        <w:r w:rsidR="0026353F">
          <w:rPr>
            <w:rStyle w:val="Hyperlink"/>
          </w:rPr>
          <w:t>Have your say: Sustainability claims for international markets</w:t>
        </w:r>
      </w:hyperlink>
      <w:r w:rsidRPr="00497728">
        <w:t>.</w:t>
      </w:r>
    </w:p>
    <w:p w14:paraId="10A3E490" w14:textId="77777777" w:rsidR="00DE0AAE" w:rsidRPr="00497728" w:rsidRDefault="00DE0AAE">
      <w:pPr>
        <w:pStyle w:val="Normalsmall"/>
        <w:spacing w:after="0"/>
      </w:pPr>
      <w:r w:rsidRPr="00497728">
        <w:t>Department of Agriculture, Fisheries and Forestry</w:t>
      </w:r>
    </w:p>
    <w:p w14:paraId="7A8431F7" w14:textId="77777777" w:rsidR="00764D6A" w:rsidRPr="00497728" w:rsidRDefault="00E91D72">
      <w:pPr>
        <w:pStyle w:val="Normalsmall"/>
        <w:spacing w:after="0"/>
      </w:pPr>
      <w:r w:rsidRPr="00497728">
        <w:t>GPO Box 858 Canberra ACT 2601</w:t>
      </w:r>
    </w:p>
    <w:p w14:paraId="3C7DBFC6" w14:textId="77777777" w:rsidR="00764D6A" w:rsidRPr="00497728" w:rsidRDefault="00E91D72">
      <w:pPr>
        <w:pStyle w:val="Normalsmall"/>
        <w:spacing w:after="0"/>
      </w:pPr>
      <w:r w:rsidRPr="00497728">
        <w:t>Telephone 1800 900 090</w:t>
      </w:r>
    </w:p>
    <w:p w14:paraId="3F32F043" w14:textId="77777777" w:rsidR="00764D6A" w:rsidRPr="00497728" w:rsidRDefault="00E91D72">
      <w:pPr>
        <w:pStyle w:val="Normalsmall"/>
      </w:pPr>
      <w:r w:rsidRPr="00497728">
        <w:t xml:space="preserve">Web </w:t>
      </w:r>
      <w:hyperlink r:id="rId15" w:history="1">
        <w:r w:rsidR="00DE0AAE" w:rsidRPr="00497728">
          <w:rPr>
            <w:rStyle w:val="Hyperlink"/>
          </w:rPr>
          <w:t>agriculture.gov.au</w:t>
        </w:r>
      </w:hyperlink>
    </w:p>
    <w:p w14:paraId="2038124F" w14:textId="77777777" w:rsidR="007C358A" w:rsidRPr="00497728" w:rsidRDefault="007C358A">
      <w:pPr>
        <w:pStyle w:val="Normalsmall"/>
      </w:pPr>
      <w:r w:rsidRPr="00497728">
        <w:rPr>
          <w:rStyle w:val="Strong"/>
        </w:rPr>
        <w:t>Disclaimer</w:t>
      </w:r>
    </w:p>
    <w:p w14:paraId="22231D9E" w14:textId="77777777" w:rsidR="00764D6A" w:rsidRPr="00497728" w:rsidRDefault="00E91D72">
      <w:pPr>
        <w:pStyle w:val="Normalsmall"/>
      </w:pPr>
      <w:r w:rsidRPr="00497728">
        <w:t xml:space="preserve">The Australian Government acting through the </w:t>
      </w:r>
      <w:r w:rsidR="00DE0AAE" w:rsidRPr="00497728">
        <w:t>Department of Agriculture, Fisheries and Forestry</w:t>
      </w:r>
      <w:r w:rsidRPr="00497728">
        <w:t xml:space="preserve"> has exercised due care and skill in preparing and compiling the information and data in this publication. Notwithstanding, the </w:t>
      </w:r>
      <w:r w:rsidR="00DE0AAE" w:rsidRPr="00497728">
        <w:t>Department of Agriculture, Fisheries and Forestry</w:t>
      </w:r>
      <w:r w:rsidRPr="00497728">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83403BA" w14:textId="77777777" w:rsidR="00764D6A" w:rsidRPr="00497728" w:rsidRDefault="00E91D72">
      <w:pPr>
        <w:pStyle w:val="Normalsmall"/>
        <w:rPr>
          <w:rStyle w:val="Strong"/>
        </w:rPr>
      </w:pPr>
      <w:r w:rsidRPr="00497728">
        <w:rPr>
          <w:rStyle w:val="Strong"/>
        </w:rPr>
        <w:t>Acknowledgements</w:t>
      </w:r>
    </w:p>
    <w:p w14:paraId="75CB2CDB" w14:textId="4BF8B707" w:rsidR="00203C23" w:rsidRPr="00497728" w:rsidRDefault="003A2DD7">
      <w:pPr>
        <w:pStyle w:val="Normalsmall"/>
      </w:pPr>
      <w:r w:rsidRPr="00497728">
        <w:t xml:space="preserve">This </w:t>
      </w:r>
      <w:r w:rsidR="00E16DFC" w:rsidRPr="00497728">
        <w:t>discussion</w:t>
      </w:r>
      <w:r w:rsidRPr="00497728">
        <w:t xml:space="preserve"> paper was prepared by Angela Schuster, Schuster Consulting Group</w:t>
      </w:r>
      <w:r w:rsidR="00AE54C4" w:rsidRPr="00497728">
        <w:t>,</w:t>
      </w:r>
      <w:r w:rsidRPr="00497728">
        <w:t xml:space="preserve"> and Dr David Lemon</w:t>
      </w:r>
      <w:r w:rsidR="00AE54C4" w:rsidRPr="00497728">
        <w:t>,</w:t>
      </w:r>
      <w:r w:rsidRPr="00497728">
        <w:t xml:space="preserve"> CSIRO</w:t>
      </w:r>
      <w:r w:rsidR="00AE54C4" w:rsidRPr="00497728">
        <w:t>,</w:t>
      </w:r>
      <w:r w:rsidRPr="00497728">
        <w:t xml:space="preserve"> </w:t>
      </w:r>
      <w:r w:rsidR="003B53FC" w:rsidRPr="00497728">
        <w:t xml:space="preserve">in </w:t>
      </w:r>
      <w:r w:rsidR="00AF2A80" w:rsidRPr="00497728">
        <w:t>collaboration</w:t>
      </w:r>
      <w:r w:rsidR="003B53FC" w:rsidRPr="00497728">
        <w:t xml:space="preserve"> with</w:t>
      </w:r>
      <w:r w:rsidRPr="00497728">
        <w:t xml:space="preserve"> the</w:t>
      </w:r>
      <w:r w:rsidR="00243E99" w:rsidRPr="00497728">
        <w:t xml:space="preserve"> Australian Agricultural Traceability </w:t>
      </w:r>
      <w:r w:rsidR="004D1DBF" w:rsidRPr="00497728">
        <w:t>Assuring Sustainability Claims</w:t>
      </w:r>
      <w:r w:rsidR="00243E99" w:rsidRPr="00497728">
        <w:t xml:space="preserve"> Working Group</w:t>
      </w:r>
      <w:r w:rsidR="00F40096" w:rsidRPr="00497728">
        <w:t>:</w:t>
      </w:r>
    </w:p>
    <w:p w14:paraId="68D11058" w14:textId="504F6003" w:rsidR="00203C23" w:rsidRPr="00234038" w:rsidRDefault="00203C23" w:rsidP="00234038">
      <w:pPr>
        <w:pStyle w:val="Normalsmall"/>
        <w:spacing w:after="0"/>
      </w:pPr>
      <w:r w:rsidRPr="00234038">
        <w:t>National Farmers</w:t>
      </w:r>
      <w:r w:rsidR="00AE54C4" w:rsidRPr="00234038">
        <w:t>’</w:t>
      </w:r>
      <w:r w:rsidRPr="00234038">
        <w:t xml:space="preserve"> Federation</w:t>
      </w:r>
      <w:r w:rsidR="00412D26" w:rsidRPr="00234038">
        <w:t xml:space="preserve"> (NFF)</w:t>
      </w:r>
      <w:r w:rsidRPr="00234038">
        <w:t xml:space="preserve"> </w:t>
      </w:r>
      <w:r w:rsidR="00AE54C4" w:rsidRPr="00234038">
        <w:t>–</w:t>
      </w:r>
      <w:r w:rsidRPr="00234038">
        <w:t xml:space="preserve"> Warwick Ragg (co-chair)</w:t>
      </w:r>
    </w:p>
    <w:p w14:paraId="376CF562" w14:textId="57793CD6" w:rsidR="00203C23" w:rsidRPr="00234038" w:rsidRDefault="00203C23" w:rsidP="00234038">
      <w:pPr>
        <w:pStyle w:val="Normalsmall"/>
        <w:spacing w:after="0"/>
      </w:pPr>
      <w:r w:rsidRPr="00234038">
        <w:t xml:space="preserve">CSIRO </w:t>
      </w:r>
      <w:r w:rsidR="00AE54C4" w:rsidRPr="00234038">
        <w:t>–</w:t>
      </w:r>
      <w:r w:rsidRPr="00234038">
        <w:t xml:space="preserve"> Katie Ricketts (co-chair)</w:t>
      </w:r>
    </w:p>
    <w:p w14:paraId="6A0E7C47" w14:textId="611FCEF5" w:rsidR="00203C23" w:rsidRPr="00234038" w:rsidRDefault="00203C23" w:rsidP="00234038">
      <w:pPr>
        <w:pStyle w:val="Normalsmall"/>
        <w:spacing w:after="0"/>
      </w:pPr>
      <w:r w:rsidRPr="00234038">
        <w:t xml:space="preserve">Australian Sustainable Finance Institute (ASFI) </w:t>
      </w:r>
      <w:r w:rsidR="00AE54C4" w:rsidRPr="00234038">
        <w:t>–</w:t>
      </w:r>
      <w:r w:rsidRPr="00234038">
        <w:t xml:space="preserve"> Nicole Yazbek</w:t>
      </w:r>
      <w:r w:rsidRPr="00234038">
        <w:rPr>
          <w:rFonts w:ascii="Cambria Math" w:hAnsi="Cambria Math" w:cs="Cambria Math"/>
        </w:rPr>
        <w:t>‑</w:t>
      </w:r>
      <w:r w:rsidRPr="00234038">
        <w:t>Martin</w:t>
      </w:r>
    </w:p>
    <w:p w14:paraId="48C29B2A" w14:textId="1C537874" w:rsidR="00203C23" w:rsidRPr="00234038" w:rsidRDefault="00203C23" w:rsidP="00234038">
      <w:pPr>
        <w:pStyle w:val="Normalsmall"/>
        <w:spacing w:after="0"/>
      </w:pPr>
      <w:r w:rsidRPr="00234038">
        <w:t xml:space="preserve">Cotton Research and Development Corporation (CRDC) </w:t>
      </w:r>
      <w:r w:rsidR="00AE54C4" w:rsidRPr="00234038">
        <w:t>–</w:t>
      </w:r>
      <w:r w:rsidRPr="00234038">
        <w:t xml:space="preserve"> Allan Williams</w:t>
      </w:r>
    </w:p>
    <w:p w14:paraId="6CC77F42" w14:textId="5408F8C6" w:rsidR="00203C23" w:rsidRPr="00234038" w:rsidRDefault="00203C23" w:rsidP="00234038">
      <w:pPr>
        <w:pStyle w:val="Normalsmall"/>
        <w:spacing w:after="0"/>
      </w:pPr>
      <w:r w:rsidRPr="00234038">
        <w:t xml:space="preserve">Department of Agriculture, Fisheries and Forestry </w:t>
      </w:r>
      <w:r w:rsidR="00AE54C4" w:rsidRPr="00234038">
        <w:t>–</w:t>
      </w:r>
      <w:r w:rsidRPr="00234038">
        <w:t xml:space="preserve"> Christina Munzer</w:t>
      </w:r>
    </w:p>
    <w:p w14:paraId="3C6A017C" w14:textId="773C9D77" w:rsidR="00203C23" w:rsidRPr="00234038" w:rsidRDefault="00203C23" w:rsidP="00234038">
      <w:pPr>
        <w:pStyle w:val="Normalsmall"/>
        <w:spacing w:after="0"/>
      </w:pPr>
      <w:r w:rsidRPr="00234038">
        <w:t xml:space="preserve">Dairy Australia </w:t>
      </w:r>
      <w:r w:rsidR="00AE54C4" w:rsidRPr="00234038">
        <w:t>–</w:t>
      </w:r>
      <w:r w:rsidRPr="00234038">
        <w:t xml:space="preserve"> Helen Dornom</w:t>
      </w:r>
    </w:p>
    <w:p w14:paraId="49C7CB49" w14:textId="0AC83624" w:rsidR="00203C23" w:rsidRPr="00234038" w:rsidRDefault="00203C23" w:rsidP="00234038">
      <w:pPr>
        <w:pStyle w:val="Normalsmall"/>
        <w:spacing w:after="0"/>
      </w:pPr>
      <w:r w:rsidRPr="00234038">
        <w:t xml:space="preserve">Department of Climate Change, Energy, the Environment and Water </w:t>
      </w:r>
      <w:r w:rsidR="00AE54C4" w:rsidRPr="00234038">
        <w:t>–</w:t>
      </w:r>
      <w:r w:rsidRPr="00234038">
        <w:t xml:space="preserve"> Ian Warren</w:t>
      </w:r>
    </w:p>
    <w:p w14:paraId="10CE962D" w14:textId="3DD1B774" w:rsidR="00203C23" w:rsidRPr="00234038" w:rsidRDefault="00203C23" w:rsidP="00234038">
      <w:pPr>
        <w:pStyle w:val="Normalsmall"/>
        <w:spacing w:after="0"/>
      </w:pPr>
      <w:r w:rsidRPr="00234038">
        <w:t xml:space="preserve">GrainGrowers </w:t>
      </w:r>
      <w:r w:rsidR="00AE54C4" w:rsidRPr="00234038">
        <w:t>–</w:t>
      </w:r>
      <w:r w:rsidRPr="00234038">
        <w:t xml:space="preserve"> Sarah Hyland</w:t>
      </w:r>
    </w:p>
    <w:p w14:paraId="6063E9FA" w14:textId="3177B5B5" w:rsidR="00203C23" w:rsidRPr="00234038" w:rsidRDefault="00203C23" w:rsidP="00234038">
      <w:pPr>
        <w:pStyle w:val="Normalsmall"/>
        <w:spacing w:after="0"/>
      </w:pPr>
      <w:r w:rsidRPr="00234038">
        <w:t xml:space="preserve">Hort360 </w:t>
      </w:r>
      <w:r w:rsidR="00AE54C4" w:rsidRPr="00234038">
        <w:t>–</w:t>
      </w:r>
      <w:r w:rsidRPr="00234038">
        <w:t xml:space="preserve"> Scott Wallace</w:t>
      </w:r>
    </w:p>
    <w:p w14:paraId="74140D69" w14:textId="5882AF0E" w:rsidR="00203C23" w:rsidRPr="00234038" w:rsidRDefault="00203C23" w:rsidP="00234038">
      <w:pPr>
        <w:pStyle w:val="Normalsmall"/>
        <w:spacing w:after="0"/>
      </w:pPr>
      <w:r w:rsidRPr="00234038">
        <w:t xml:space="preserve">Meat &amp; Livestock Australia (MLA) </w:t>
      </w:r>
      <w:r w:rsidR="00AE54C4" w:rsidRPr="00234038">
        <w:t>–</w:t>
      </w:r>
      <w:r w:rsidRPr="00234038">
        <w:t xml:space="preserve"> Jacob Betros</w:t>
      </w:r>
    </w:p>
    <w:p w14:paraId="40535D12" w14:textId="3147930F" w:rsidR="00203C23" w:rsidRPr="00234038" w:rsidRDefault="00203C23" w:rsidP="00234038">
      <w:pPr>
        <w:pStyle w:val="Normalsmall"/>
        <w:spacing w:after="0"/>
      </w:pPr>
      <w:r w:rsidRPr="00234038">
        <w:t xml:space="preserve">Private </w:t>
      </w:r>
      <w:r w:rsidR="00AE54C4" w:rsidRPr="00234038">
        <w:t>c</w:t>
      </w:r>
      <w:r w:rsidRPr="00234038">
        <w:t xml:space="preserve">onsultant </w:t>
      </w:r>
      <w:r w:rsidR="00AE54C4" w:rsidRPr="00234038">
        <w:t>–</w:t>
      </w:r>
      <w:r w:rsidRPr="00234038">
        <w:t xml:space="preserve"> Robyn Leeson</w:t>
      </w:r>
    </w:p>
    <w:p w14:paraId="3E7FBB6E" w14:textId="21E16158" w:rsidR="00764D6A" w:rsidRPr="00234038" w:rsidRDefault="00203C23" w:rsidP="00234038">
      <w:pPr>
        <w:pStyle w:val="Normalsmall"/>
        <w:spacing w:after="0"/>
      </w:pPr>
      <w:r w:rsidRPr="00234038">
        <w:t xml:space="preserve">Terrestrial Ecosystem Research Network (TERN) </w:t>
      </w:r>
      <w:r w:rsidR="00AE54C4" w:rsidRPr="00234038">
        <w:t>–</w:t>
      </w:r>
      <w:r w:rsidRPr="00234038">
        <w:t xml:space="preserve"> Dr Siddeswara Guru</w:t>
      </w:r>
      <w:r w:rsidR="0002202D" w:rsidRPr="00234038">
        <w:t>.</w:t>
      </w:r>
    </w:p>
    <w:p w14:paraId="45464207" w14:textId="77777777" w:rsidR="00B02B9B" w:rsidRDefault="00B02B9B" w:rsidP="008E32D4">
      <w:pPr>
        <w:pStyle w:val="Normalsmall"/>
        <w:keepNext/>
        <w:spacing w:before="120"/>
        <w:rPr>
          <w:rStyle w:val="Strong"/>
        </w:rPr>
      </w:pPr>
      <w:r w:rsidRPr="00497728">
        <w:rPr>
          <w:rStyle w:val="Strong"/>
        </w:rPr>
        <w:t>Acknowledgement of Country</w:t>
      </w:r>
    </w:p>
    <w:p w14:paraId="1D22B401" w14:textId="2C323F4D" w:rsidR="001769C4" w:rsidRPr="00497728" w:rsidRDefault="001769C4" w:rsidP="008E32D4">
      <w:pPr>
        <w:pStyle w:val="Normalsmall"/>
        <w:keepNext/>
        <w:spacing w:before="120"/>
      </w:pPr>
      <w:r w:rsidRPr="001769C4">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1EA24A92" w14:textId="30CC99C0" w:rsidR="00764D6A" w:rsidRPr="00497728" w:rsidRDefault="00E91D72">
      <w:pPr>
        <w:spacing w:after="0" w:line="240" w:lineRule="auto"/>
      </w:pPr>
      <w:r w:rsidRPr="00497728">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Calibri" w:eastAsiaTheme="minorEastAsia" w:hAnsi="Calibri"/>
          <w:bCs/>
          <w:sz w:val="56"/>
          <w:szCs w:val="28"/>
          <w:lang w:eastAsia="ja-JP"/>
        </w:rPr>
      </w:sdtEndPr>
      <w:sdtContent>
        <w:p w14:paraId="53138E91" w14:textId="3648AC37" w:rsidR="00764D6A" w:rsidRPr="00497728" w:rsidRDefault="00E91D72">
          <w:pPr>
            <w:pStyle w:val="TOCHeading"/>
          </w:pPr>
          <w:r w:rsidRPr="00497728">
            <w:t>Contents</w:t>
          </w:r>
        </w:p>
      </w:sdtContent>
    </w:sdt>
    <w:p w14:paraId="2FB522D0" w14:textId="78CE12A6" w:rsidR="00FC6FC5" w:rsidRDefault="00024C0E">
      <w:pPr>
        <w:pStyle w:val="TOC1"/>
        <w:rPr>
          <w:rFonts w:eastAsiaTheme="minorEastAsia"/>
          <w:b w:val="0"/>
          <w:kern w:val="2"/>
          <w:sz w:val="24"/>
          <w:szCs w:val="24"/>
          <w:lang w:eastAsia="en-AU"/>
          <w14:ligatures w14:val="standardContextual"/>
        </w:rPr>
      </w:pPr>
      <w:r w:rsidRPr="00497728">
        <w:rPr>
          <w:b w:val="0"/>
        </w:rPr>
        <w:fldChar w:fldCharType="begin"/>
      </w:r>
      <w:r w:rsidRPr="00497728">
        <w:rPr>
          <w:b w:val="0"/>
        </w:rPr>
        <w:instrText xml:space="preserve"> TOC \h \z \t "Heading 2,1,Heading 3,2,Heading 4,3" </w:instrText>
      </w:r>
      <w:r w:rsidRPr="00497728">
        <w:rPr>
          <w:b w:val="0"/>
        </w:rPr>
        <w:fldChar w:fldCharType="separate"/>
      </w:r>
      <w:hyperlink w:anchor="_Toc183182208" w:history="1">
        <w:r w:rsidR="00FC6FC5" w:rsidRPr="00A52EAC">
          <w:rPr>
            <w:rStyle w:val="Hyperlink"/>
          </w:rPr>
          <w:t>1</w:t>
        </w:r>
        <w:r w:rsidR="00FC6FC5">
          <w:rPr>
            <w:rFonts w:eastAsiaTheme="minorEastAsia"/>
            <w:b w:val="0"/>
            <w:kern w:val="2"/>
            <w:sz w:val="24"/>
            <w:szCs w:val="24"/>
            <w:lang w:eastAsia="en-AU"/>
            <w14:ligatures w14:val="standardContextual"/>
          </w:rPr>
          <w:tab/>
        </w:r>
        <w:r w:rsidR="00FC6FC5" w:rsidRPr="00A52EAC">
          <w:rPr>
            <w:rStyle w:val="Hyperlink"/>
          </w:rPr>
          <w:t>Background</w:t>
        </w:r>
        <w:r w:rsidR="00FC6FC5">
          <w:rPr>
            <w:webHidden/>
          </w:rPr>
          <w:tab/>
        </w:r>
        <w:r w:rsidR="00FC6FC5">
          <w:rPr>
            <w:webHidden/>
          </w:rPr>
          <w:fldChar w:fldCharType="begin"/>
        </w:r>
        <w:r w:rsidR="00FC6FC5">
          <w:rPr>
            <w:webHidden/>
          </w:rPr>
          <w:instrText xml:space="preserve"> PAGEREF _Toc183182208 \h </w:instrText>
        </w:r>
        <w:r w:rsidR="00FC6FC5">
          <w:rPr>
            <w:webHidden/>
          </w:rPr>
        </w:r>
        <w:r w:rsidR="00FC6FC5">
          <w:rPr>
            <w:webHidden/>
          </w:rPr>
          <w:fldChar w:fldCharType="separate"/>
        </w:r>
        <w:r w:rsidR="002C084D">
          <w:rPr>
            <w:webHidden/>
          </w:rPr>
          <w:t>1</w:t>
        </w:r>
        <w:r w:rsidR="00FC6FC5">
          <w:rPr>
            <w:webHidden/>
          </w:rPr>
          <w:fldChar w:fldCharType="end"/>
        </w:r>
      </w:hyperlink>
    </w:p>
    <w:p w14:paraId="53054A1F" w14:textId="1B906AF3" w:rsidR="00FC6FC5" w:rsidRDefault="00FC6FC5">
      <w:pPr>
        <w:pStyle w:val="TOC2"/>
        <w:tabs>
          <w:tab w:val="left" w:pos="1200"/>
        </w:tabs>
        <w:rPr>
          <w:rFonts w:eastAsiaTheme="minorEastAsia"/>
          <w:kern w:val="2"/>
          <w:sz w:val="24"/>
          <w:szCs w:val="24"/>
          <w:lang w:eastAsia="en-AU"/>
          <w14:ligatures w14:val="standardContextual"/>
        </w:rPr>
      </w:pPr>
      <w:hyperlink w:anchor="_Toc183182209" w:history="1">
        <w:r w:rsidRPr="00A52EAC">
          <w:rPr>
            <w:rStyle w:val="Hyperlink"/>
          </w:rPr>
          <w:t>1.1</w:t>
        </w:r>
        <w:r>
          <w:rPr>
            <w:rFonts w:eastAsiaTheme="minorEastAsia"/>
            <w:kern w:val="2"/>
            <w:sz w:val="24"/>
            <w:szCs w:val="24"/>
            <w:lang w:eastAsia="en-AU"/>
            <w14:ligatures w14:val="standardContextual"/>
          </w:rPr>
          <w:tab/>
        </w:r>
        <w:r w:rsidRPr="00A52EAC">
          <w:rPr>
            <w:rStyle w:val="Hyperlink"/>
          </w:rPr>
          <w:t>Working group</w:t>
        </w:r>
        <w:r>
          <w:rPr>
            <w:webHidden/>
          </w:rPr>
          <w:tab/>
        </w:r>
        <w:r>
          <w:rPr>
            <w:webHidden/>
          </w:rPr>
          <w:fldChar w:fldCharType="begin"/>
        </w:r>
        <w:r>
          <w:rPr>
            <w:webHidden/>
          </w:rPr>
          <w:instrText xml:space="preserve"> PAGEREF _Toc183182209 \h </w:instrText>
        </w:r>
        <w:r>
          <w:rPr>
            <w:webHidden/>
          </w:rPr>
        </w:r>
        <w:r>
          <w:rPr>
            <w:webHidden/>
          </w:rPr>
          <w:fldChar w:fldCharType="separate"/>
        </w:r>
        <w:r w:rsidR="002C084D">
          <w:rPr>
            <w:webHidden/>
          </w:rPr>
          <w:t>2</w:t>
        </w:r>
        <w:r>
          <w:rPr>
            <w:webHidden/>
          </w:rPr>
          <w:fldChar w:fldCharType="end"/>
        </w:r>
      </w:hyperlink>
    </w:p>
    <w:p w14:paraId="0CF968D2" w14:textId="23838C48" w:rsidR="00FC6FC5" w:rsidRDefault="00FC6FC5">
      <w:pPr>
        <w:pStyle w:val="TOC3"/>
        <w:rPr>
          <w:rFonts w:eastAsiaTheme="minorEastAsia"/>
          <w:kern w:val="2"/>
          <w:sz w:val="24"/>
          <w:szCs w:val="24"/>
          <w:lang w:eastAsia="en-AU"/>
          <w14:ligatures w14:val="standardContextual"/>
        </w:rPr>
      </w:pPr>
      <w:hyperlink w:anchor="_Toc183182210" w:history="1">
        <w:r w:rsidRPr="00A52EAC">
          <w:rPr>
            <w:rStyle w:val="Hyperlink"/>
          </w:rPr>
          <w:t>1 Understand essential sustainability credentials</w:t>
        </w:r>
        <w:r>
          <w:rPr>
            <w:webHidden/>
          </w:rPr>
          <w:tab/>
        </w:r>
        <w:r>
          <w:rPr>
            <w:webHidden/>
          </w:rPr>
          <w:fldChar w:fldCharType="begin"/>
        </w:r>
        <w:r>
          <w:rPr>
            <w:webHidden/>
          </w:rPr>
          <w:instrText xml:space="preserve"> PAGEREF _Toc183182210 \h </w:instrText>
        </w:r>
        <w:r>
          <w:rPr>
            <w:webHidden/>
          </w:rPr>
        </w:r>
        <w:r>
          <w:rPr>
            <w:webHidden/>
          </w:rPr>
          <w:fldChar w:fldCharType="separate"/>
        </w:r>
        <w:r w:rsidR="002C084D">
          <w:rPr>
            <w:webHidden/>
          </w:rPr>
          <w:t>3</w:t>
        </w:r>
        <w:r>
          <w:rPr>
            <w:webHidden/>
          </w:rPr>
          <w:fldChar w:fldCharType="end"/>
        </w:r>
      </w:hyperlink>
    </w:p>
    <w:p w14:paraId="573706CC" w14:textId="660854B1" w:rsidR="00FC6FC5" w:rsidRDefault="00FC6FC5">
      <w:pPr>
        <w:pStyle w:val="TOC3"/>
        <w:rPr>
          <w:rFonts w:eastAsiaTheme="minorEastAsia"/>
          <w:kern w:val="2"/>
          <w:sz w:val="24"/>
          <w:szCs w:val="24"/>
          <w:lang w:eastAsia="en-AU"/>
          <w14:ligatures w14:val="standardContextual"/>
        </w:rPr>
      </w:pPr>
      <w:hyperlink w:anchor="_Toc183182211" w:history="1">
        <w:r w:rsidRPr="00A52EAC">
          <w:rPr>
            <w:rStyle w:val="Hyperlink"/>
          </w:rPr>
          <w:t>2 Identify approaches to support data-driven claims</w:t>
        </w:r>
        <w:r>
          <w:rPr>
            <w:webHidden/>
          </w:rPr>
          <w:tab/>
        </w:r>
        <w:r>
          <w:rPr>
            <w:webHidden/>
          </w:rPr>
          <w:fldChar w:fldCharType="begin"/>
        </w:r>
        <w:r>
          <w:rPr>
            <w:webHidden/>
          </w:rPr>
          <w:instrText xml:space="preserve"> PAGEREF _Toc183182211 \h </w:instrText>
        </w:r>
        <w:r>
          <w:rPr>
            <w:webHidden/>
          </w:rPr>
        </w:r>
        <w:r>
          <w:rPr>
            <w:webHidden/>
          </w:rPr>
          <w:fldChar w:fldCharType="separate"/>
        </w:r>
        <w:r w:rsidR="002C084D">
          <w:rPr>
            <w:webHidden/>
          </w:rPr>
          <w:t>3</w:t>
        </w:r>
        <w:r>
          <w:rPr>
            <w:webHidden/>
          </w:rPr>
          <w:fldChar w:fldCharType="end"/>
        </w:r>
      </w:hyperlink>
    </w:p>
    <w:p w14:paraId="750C9706" w14:textId="4144B2B2" w:rsidR="00FC6FC5" w:rsidRDefault="00FC6FC5">
      <w:pPr>
        <w:pStyle w:val="TOC3"/>
        <w:rPr>
          <w:rFonts w:eastAsiaTheme="minorEastAsia"/>
          <w:kern w:val="2"/>
          <w:sz w:val="24"/>
          <w:szCs w:val="24"/>
          <w:lang w:eastAsia="en-AU"/>
          <w14:ligatures w14:val="standardContextual"/>
        </w:rPr>
      </w:pPr>
      <w:hyperlink w:anchor="_Toc183182212" w:history="1">
        <w:r w:rsidRPr="00A52EAC">
          <w:rPr>
            <w:rStyle w:val="Hyperlink"/>
          </w:rPr>
          <w:t>3 Support verification for market access purposes</w:t>
        </w:r>
        <w:r>
          <w:rPr>
            <w:webHidden/>
          </w:rPr>
          <w:tab/>
        </w:r>
        <w:r>
          <w:rPr>
            <w:webHidden/>
          </w:rPr>
          <w:fldChar w:fldCharType="begin"/>
        </w:r>
        <w:r>
          <w:rPr>
            <w:webHidden/>
          </w:rPr>
          <w:instrText xml:space="preserve"> PAGEREF _Toc183182212 \h </w:instrText>
        </w:r>
        <w:r>
          <w:rPr>
            <w:webHidden/>
          </w:rPr>
        </w:r>
        <w:r>
          <w:rPr>
            <w:webHidden/>
          </w:rPr>
          <w:fldChar w:fldCharType="separate"/>
        </w:r>
        <w:r w:rsidR="002C084D">
          <w:rPr>
            <w:webHidden/>
          </w:rPr>
          <w:t>3</w:t>
        </w:r>
        <w:r>
          <w:rPr>
            <w:webHidden/>
          </w:rPr>
          <w:fldChar w:fldCharType="end"/>
        </w:r>
      </w:hyperlink>
    </w:p>
    <w:p w14:paraId="7F0AB5FD" w14:textId="1AC51605" w:rsidR="00FC6FC5" w:rsidRDefault="00FC6FC5">
      <w:pPr>
        <w:pStyle w:val="TOC2"/>
        <w:tabs>
          <w:tab w:val="left" w:pos="1200"/>
        </w:tabs>
        <w:rPr>
          <w:rFonts w:eastAsiaTheme="minorEastAsia"/>
          <w:kern w:val="2"/>
          <w:sz w:val="24"/>
          <w:szCs w:val="24"/>
          <w:lang w:eastAsia="en-AU"/>
          <w14:ligatures w14:val="standardContextual"/>
        </w:rPr>
      </w:pPr>
      <w:hyperlink w:anchor="_Toc183182213" w:history="1">
        <w:r w:rsidRPr="00A52EAC">
          <w:rPr>
            <w:rStyle w:val="Hyperlink"/>
          </w:rPr>
          <w:t>1.2</w:t>
        </w:r>
        <w:r>
          <w:rPr>
            <w:rFonts w:eastAsiaTheme="minorEastAsia"/>
            <w:kern w:val="2"/>
            <w:sz w:val="24"/>
            <w:szCs w:val="24"/>
            <w:lang w:eastAsia="en-AU"/>
            <w14:ligatures w14:val="standardContextual"/>
          </w:rPr>
          <w:tab/>
        </w:r>
        <w:r w:rsidRPr="00A52EAC">
          <w:rPr>
            <w:rStyle w:val="Hyperlink"/>
          </w:rPr>
          <w:t>Final report development</w:t>
        </w:r>
        <w:r>
          <w:rPr>
            <w:webHidden/>
          </w:rPr>
          <w:tab/>
        </w:r>
        <w:r>
          <w:rPr>
            <w:webHidden/>
          </w:rPr>
          <w:fldChar w:fldCharType="begin"/>
        </w:r>
        <w:r>
          <w:rPr>
            <w:webHidden/>
          </w:rPr>
          <w:instrText xml:space="preserve"> PAGEREF _Toc183182213 \h </w:instrText>
        </w:r>
        <w:r>
          <w:rPr>
            <w:webHidden/>
          </w:rPr>
        </w:r>
        <w:r>
          <w:rPr>
            <w:webHidden/>
          </w:rPr>
          <w:fldChar w:fldCharType="separate"/>
        </w:r>
        <w:r w:rsidR="002C084D">
          <w:rPr>
            <w:webHidden/>
          </w:rPr>
          <w:t>3</w:t>
        </w:r>
        <w:r>
          <w:rPr>
            <w:webHidden/>
          </w:rPr>
          <w:fldChar w:fldCharType="end"/>
        </w:r>
      </w:hyperlink>
    </w:p>
    <w:p w14:paraId="58F4B201" w14:textId="613F36EE" w:rsidR="00FC6FC5" w:rsidRDefault="00FC6FC5">
      <w:pPr>
        <w:pStyle w:val="TOC3"/>
        <w:rPr>
          <w:rFonts w:eastAsiaTheme="minorEastAsia"/>
          <w:kern w:val="2"/>
          <w:sz w:val="24"/>
          <w:szCs w:val="24"/>
          <w:lang w:eastAsia="en-AU"/>
          <w14:ligatures w14:val="standardContextual"/>
        </w:rPr>
      </w:pPr>
      <w:hyperlink w:anchor="_Toc183182214" w:history="1">
        <w:r w:rsidRPr="00A52EAC">
          <w:rPr>
            <w:rStyle w:val="Hyperlink"/>
          </w:rPr>
          <w:t>Phase 1</w:t>
        </w:r>
        <w:r>
          <w:rPr>
            <w:webHidden/>
          </w:rPr>
          <w:tab/>
        </w:r>
        <w:r>
          <w:rPr>
            <w:webHidden/>
          </w:rPr>
          <w:fldChar w:fldCharType="begin"/>
        </w:r>
        <w:r>
          <w:rPr>
            <w:webHidden/>
          </w:rPr>
          <w:instrText xml:space="preserve"> PAGEREF _Toc183182214 \h </w:instrText>
        </w:r>
        <w:r>
          <w:rPr>
            <w:webHidden/>
          </w:rPr>
        </w:r>
        <w:r>
          <w:rPr>
            <w:webHidden/>
          </w:rPr>
          <w:fldChar w:fldCharType="separate"/>
        </w:r>
        <w:r w:rsidR="002C084D">
          <w:rPr>
            <w:webHidden/>
          </w:rPr>
          <w:t>3</w:t>
        </w:r>
        <w:r>
          <w:rPr>
            <w:webHidden/>
          </w:rPr>
          <w:fldChar w:fldCharType="end"/>
        </w:r>
      </w:hyperlink>
    </w:p>
    <w:p w14:paraId="3E5DBD62" w14:textId="0056A40F" w:rsidR="00FC6FC5" w:rsidRDefault="00FC6FC5">
      <w:pPr>
        <w:pStyle w:val="TOC3"/>
        <w:rPr>
          <w:rFonts w:eastAsiaTheme="minorEastAsia"/>
          <w:kern w:val="2"/>
          <w:sz w:val="24"/>
          <w:szCs w:val="24"/>
          <w:lang w:eastAsia="en-AU"/>
          <w14:ligatures w14:val="standardContextual"/>
        </w:rPr>
      </w:pPr>
      <w:hyperlink w:anchor="_Toc183182215" w:history="1">
        <w:r w:rsidRPr="00A52EAC">
          <w:rPr>
            <w:rStyle w:val="Hyperlink"/>
          </w:rPr>
          <w:t>Phase 2</w:t>
        </w:r>
        <w:r>
          <w:rPr>
            <w:webHidden/>
          </w:rPr>
          <w:tab/>
        </w:r>
        <w:r>
          <w:rPr>
            <w:webHidden/>
          </w:rPr>
          <w:fldChar w:fldCharType="begin"/>
        </w:r>
        <w:r>
          <w:rPr>
            <w:webHidden/>
          </w:rPr>
          <w:instrText xml:space="preserve"> PAGEREF _Toc183182215 \h </w:instrText>
        </w:r>
        <w:r>
          <w:rPr>
            <w:webHidden/>
          </w:rPr>
        </w:r>
        <w:r>
          <w:rPr>
            <w:webHidden/>
          </w:rPr>
          <w:fldChar w:fldCharType="separate"/>
        </w:r>
        <w:r w:rsidR="002C084D">
          <w:rPr>
            <w:webHidden/>
          </w:rPr>
          <w:t>4</w:t>
        </w:r>
        <w:r>
          <w:rPr>
            <w:webHidden/>
          </w:rPr>
          <w:fldChar w:fldCharType="end"/>
        </w:r>
      </w:hyperlink>
    </w:p>
    <w:p w14:paraId="2D373D75" w14:textId="40D2AAAF" w:rsidR="00FC6FC5" w:rsidRDefault="00FC6FC5">
      <w:pPr>
        <w:pStyle w:val="TOC2"/>
        <w:tabs>
          <w:tab w:val="left" w:pos="1200"/>
        </w:tabs>
        <w:rPr>
          <w:rFonts w:eastAsiaTheme="minorEastAsia"/>
          <w:kern w:val="2"/>
          <w:sz w:val="24"/>
          <w:szCs w:val="24"/>
          <w:lang w:eastAsia="en-AU"/>
          <w14:ligatures w14:val="standardContextual"/>
        </w:rPr>
      </w:pPr>
      <w:hyperlink w:anchor="_Toc183182216" w:history="1">
        <w:r w:rsidRPr="00A52EAC">
          <w:rPr>
            <w:rStyle w:val="Hyperlink"/>
          </w:rPr>
          <w:t>1.3</w:t>
        </w:r>
        <w:r>
          <w:rPr>
            <w:rFonts w:eastAsiaTheme="minorEastAsia"/>
            <w:kern w:val="2"/>
            <w:sz w:val="24"/>
            <w:szCs w:val="24"/>
            <w:lang w:eastAsia="en-AU"/>
            <w14:ligatures w14:val="standardContextual"/>
          </w:rPr>
          <w:tab/>
        </w:r>
        <w:r w:rsidRPr="00A52EAC">
          <w:rPr>
            <w:rStyle w:val="Hyperlink"/>
          </w:rPr>
          <w:t>Development approach</w:t>
        </w:r>
        <w:r>
          <w:rPr>
            <w:webHidden/>
          </w:rPr>
          <w:tab/>
        </w:r>
        <w:r>
          <w:rPr>
            <w:webHidden/>
          </w:rPr>
          <w:fldChar w:fldCharType="begin"/>
        </w:r>
        <w:r>
          <w:rPr>
            <w:webHidden/>
          </w:rPr>
          <w:instrText xml:space="preserve"> PAGEREF _Toc183182216 \h </w:instrText>
        </w:r>
        <w:r>
          <w:rPr>
            <w:webHidden/>
          </w:rPr>
        </w:r>
        <w:r>
          <w:rPr>
            <w:webHidden/>
          </w:rPr>
          <w:fldChar w:fldCharType="separate"/>
        </w:r>
        <w:r w:rsidR="002C084D">
          <w:rPr>
            <w:webHidden/>
          </w:rPr>
          <w:t>4</w:t>
        </w:r>
        <w:r>
          <w:rPr>
            <w:webHidden/>
          </w:rPr>
          <w:fldChar w:fldCharType="end"/>
        </w:r>
      </w:hyperlink>
    </w:p>
    <w:p w14:paraId="3B3D77B6" w14:textId="054BFCCA" w:rsidR="00FC6FC5" w:rsidRDefault="00FC6FC5">
      <w:pPr>
        <w:pStyle w:val="TOC3"/>
        <w:tabs>
          <w:tab w:val="left" w:pos="1680"/>
        </w:tabs>
        <w:rPr>
          <w:rFonts w:eastAsiaTheme="minorEastAsia"/>
          <w:kern w:val="2"/>
          <w:sz w:val="24"/>
          <w:szCs w:val="24"/>
          <w:lang w:eastAsia="en-AU"/>
          <w14:ligatures w14:val="standardContextual"/>
        </w:rPr>
      </w:pPr>
      <w:hyperlink w:anchor="_Toc183182217" w:history="1">
        <w:r w:rsidRPr="00A52EAC">
          <w:rPr>
            <w:rStyle w:val="Hyperlink"/>
          </w:rPr>
          <w:t>1.3.1</w:t>
        </w:r>
        <w:r>
          <w:rPr>
            <w:rFonts w:eastAsiaTheme="minorEastAsia"/>
            <w:kern w:val="2"/>
            <w:sz w:val="24"/>
            <w:szCs w:val="24"/>
            <w:lang w:eastAsia="en-AU"/>
            <w14:ligatures w14:val="standardContextual"/>
          </w:rPr>
          <w:tab/>
        </w:r>
        <w:r w:rsidRPr="00A52EAC">
          <w:rPr>
            <w:rStyle w:val="Hyperlink"/>
          </w:rPr>
          <w:t>Desktop research</w:t>
        </w:r>
        <w:r>
          <w:rPr>
            <w:webHidden/>
          </w:rPr>
          <w:tab/>
        </w:r>
        <w:r>
          <w:rPr>
            <w:webHidden/>
          </w:rPr>
          <w:fldChar w:fldCharType="begin"/>
        </w:r>
        <w:r>
          <w:rPr>
            <w:webHidden/>
          </w:rPr>
          <w:instrText xml:space="preserve"> PAGEREF _Toc183182217 \h </w:instrText>
        </w:r>
        <w:r>
          <w:rPr>
            <w:webHidden/>
          </w:rPr>
        </w:r>
        <w:r>
          <w:rPr>
            <w:webHidden/>
          </w:rPr>
          <w:fldChar w:fldCharType="separate"/>
        </w:r>
        <w:r w:rsidR="002C084D">
          <w:rPr>
            <w:webHidden/>
          </w:rPr>
          <w:t>4</w:t>
        </w:r>
        <w:r>
          <w:rPr>
            <w:webHidden/>
          </w:rPr>
          <w:fldChar w:fldCharType="end"/>
        </w:r>
      </w:hyperlink>
    </w:p>
    <w:p w14:paraId="40266286" w14:textId="21E12B7E" w:rsidR="00FC6FC5" w:rsidRDefault="00FC6FC5">
      <w:pPr>
        <w:pStyle w:val="TOC3"/>
        <w:tabs>
          <w:tab w:val="left" w:pos="1680"/>
        </w:tabs>
        <w:rPr>
          <w:rFonts w:eastAsiaTheme="minorEastAsia"/>
          <w:kern w:val="2"/>
          <w:sz w:val="24"/>
          <w:szCs w:val="24"/>
          <w:lang w:eastAsia="en-AU"/>
          <w14:ligatures w14:val="standardContextual"/>
        </w:rPr>
      </w:pPr>
      <w:hyperlink w:anchor="_Toc183182218" w:history="1">
        <w:r w:rsidRPr="00A52EAC">
          <w:rPr>
            <w:rStyle w:val="Hyperlink"/>
          </w:rPr>
          <w:t>1.3.2</w:t>
        </w:r>
        <w:r>
          <w:rPr>
            <w:rFonts w:eastAsiaTheme="minorEastAsia"/>
            <w:kern w:val="2"/>
            <w:sz w:val="24"/>
            <w:szCs w:val="24"/>
            <w:lang w:eastAsia="en-AU"/>
            <w14:ligatures w14:val="standardContextual"/>
          </w:rPr>
          <w:tab/>
        </w:r>
        <w:r w:rsidRPr="00A52EAC">
          <w:rPr>
            <w:rStyle w:val="Hyperlink"/>
          </w:rPr>
          <w:t>Interviews</w:t>
        </w:r>
        <w:r>
          <w:rPr>
            <w:webHidden/>
          </w:rPr>
          <w:tab/>
        </w:r>
        <w:r>
          <w:rPr>
            <w:webHidden/>
          </w:rPr>
          <w:fldChar w:fldCharType="begin"/>
        </w:r>
        <w:r>
          <w:rPr>
            <w:webHidden/>
          </w:rPr>
          <w:instrText xml:space="preserve"> PAGEREF _Toc183182218 \h </w:instrText>
        </w:r>
        <w:r>
          <w:rPr>
            <w:webHidden/>
          </w:rPr>
        </w:r>
        <w:r>
          <w:rPr>
            <w:webHidden/>
          </w:rPr>
          <w:fldChar w:fldCharType="separate"/>
        </w:r>
        <w:r w:rsidR="002C084D">
          <w:rPr>
            <w:webHidden/>
          </w:rPr>
          <w:t>4</w:t>
        </w:r>
        <w:r>
          <w:rPr>
            <w:webHidden/>
          </w:rPr>
          <w:fldChar w:fldCharType="end"/>
        </w:r>
      </w:hyperlink>
    </w:p>
    <w:p w14:paraId="1B9E8D9E" w14:textId="10EC904A" w:rsidR="00FC6FC5" w:rsidRDefault="00FC6FC5">
      <w:pPr>
        <w:pStyle w:val="TOC3"/>
        <w:tabs>
          <w:tab w:val="left" w:pos="1680"/>
        </w:tabs>
        <w:rPr>
          <w:rFonts w:eastAsiaTheme="minorEastAsia"/>
          <w:kern w:val="2"/>
          <w:sz w:val="24"/>
          <w:szCs w:val="24"/>
          <w:lang w:eastAsia="en-AU"/>
          <w14:ligatures w14:val="standardContextual"/>
        </w:rPr>
      </w:pPr>
      <w:hyperlink w:anchor="_Toc183182219" w:history="1">
        <w:r w:rsidRPr="00A52EAC">
          <w:rPr>
            <w:rStyle w:val="Hyperlink"/>
          </w:rPr>
          <w:t>1.3.3</w:t>
        </w:r>
        <w:r>
          <w:rPr>
            <w:rFonts w:eastAsiaTheme="minorEastAsia"/>
            <w:kern w:val="2"/>
            <w:sz w:val="24"/>
            <w:szCs w:val="24"/>
            <w:lang w:eastAsia="en-AU"/>
            <w14:ligatures w14:val="standardContextual"/>
          </w:rPr>
          <w:tab/>
        </w:r>
        <w:r w:rsidRPr="00A52EAC">
          <w:rPr>
            <w:rStyle w:val="Hyperlink"/>
          </w:rPr>
          <w:t>Scope and purpose</w:t>
        </w:r>
        <w:r>
          <w:rPr>
            <w:webHidden/>
          </w:rPr>
          <w:tab/>
        </w:r>
        <w:r>
          <w:rPr>
            <w:webHidden/>
          </w:rPr>
          <w:fldChar w:fldCharType="begin"/>
        </w:r>
        <w:r>
          <w:rPr>
            <w:webHidden/>
          </w:rPr>
          <w:instrText xml:space="preserve"> PAGEREF _Toc183182219 \h </w:instrText>
        </w:r>
        <w:r>
          <w:rPr>
            <w:webHidden/>
          </w:rPr>
        </w:r>
        <w:r>
          <w:rPr>
            <w:webHidden/>
          </w:rPr>
          <w:fldChar w:fldCharType="separate"/>
        </w:r>
        <w:r w:rsidR="002C084D">
          <w:rPr>
            <w:webHidden/>
          </w:rPr>
          <w:t>5</w:t>
        </w:r>
        <w:r>
          <w:rPr>
            <w:webHidden/>
          </w:rPr>
          <w:fldChar w:fldCharType="end"/>
        </w:r>
      </w:hyperlink>
    </w:p>
    <w:p w14:paraId="2CAB9F32" w14:textId="59861B94" w:rsidR="00FC6FC5" w:rsidRDefault="00FC6FC5">
      <w:pPr>
        <w:pStyle w:val="TOC3"/>
        <w:tabs>
          <w:tab w:val="left" w:pos="1680"/>
        </w:tabs>
        <w:rPr>
          <w:rFonts w:eastAsiaTheme="minorEastAsia"/>
          <w:kern w:val="2"/>
          <w:sz w:val="24"/>
          <w:szCs w:val="24"/>
          <w:lang w:eastAsia="en-AU"/>
          <w14:ligatures w14:val="standardContextual"/>
        </w:rPr>
      </w:pPr>
      <w:hyperlink w:anchor="_Toc183182220" w:history="1">
        <w:r w:rsidRPr="00A52EAC">
          <w:rPr>
            <w:rStyle w:val="Hyperlink"/>
          </w:rPr>
          <w:t>1.3.4</w:t>
        </w:r>
        <w:r>
          <w:rPr>
            <w:rFonts w:eastAsiaTheme="minorEastAsia"/>
            <w:kern w:val="2"/>
            <w:sz w:val="24"/>
            <w:szCs w:val="24"/>
            <w:lang w:eastAsia="en-AU"/>
            <w14:ligatures w14:val="standardContextual"/>
          </w:rPr>
          <w:tab/>
        </w:r>
        <w:r w:rsidRPr="00A52EAC">
          <w:rPr>
            <w:rStyle w:val="Hyperlink"/>
          </w:rPr>
          <w:t>Guiding principles</w:t>
        </w:r>
        <w:r>
          <w:rPr>
            <w:webHidden/>
          </w:rPr>
          <w:tab/>
        </w:r>
        <w:r>
          <w:rPr>
            <w:webHidden/>
          </w:rPr>
          <w:fldChar w:fldCharType="begin"/>
        </w:r>
        <w:r>
          <w:rPr>
            <w:webHidden/>
          </w:rPr>
          <w:instrText xml:space="preserve"> PAGEREF _Toc183182220 \h </w:instrText>
        </w:r>
        <w:r>
          <w:rPr>
            <w:webHidden/>
          </w:rPr>
        </w:r>
        <w:r>
          <w:rPr>
            <w:webHidden/>
          </w:rPr>
          <w:fldChar w:fldCharType="separate"/>
        </w:r>
        <w:r w:rsidR="002C084D">
          <w:rPr>
            <w:webHidden/>
          </w:rPr>
          <w:t>5</w:t>
        </w:r>
        <w:r>
          <w:rPr>
            <w:webHidden/>
          </w:rPr>
          <w:fldChar w:fldCharType="end"/>
        </w:r>
      </w:hyperlink>
    </w:p>
    <w:p w14:paraId="4F070EDD" w14:textId="1B3E88B1" w:rsidR="00FC6FC5" w:rsidRDefault="00FC6FC5">
      <w:pPr>
        <w:pStyle w:val="TOC3"/>
        <w:tabs>
          <w:tab w:val="left" w:pos="1680"/>
        </w:tabs>
        <w:rPr>
          <w:rFonts w:eastAsiaTheme="minorEastAsia"/>
          <w:kern w:val="2"/>
          <w:sz w:val="24"/>
          <w:szCs w:val="24"/>
          <w:lang w:eastAsia="en-AU"/>
          <w14:ligatures w14:val="standardContextual"/>
        </w:rPr>
      </w:pPr>
      <w:hyperlink w:anchor="_Toc183182221" w:history="1">
        <w:r w:rsidRPr="00A52EAC">
          <w:rPr>
            <w:rStyle w:val="Hyperlink"/>
          </w:rPr>
          <w:t>1.3.5</w:t>
        </w:r>
        <w:r>
          <w:rPr>
            <w:rFonts w:eastAsiaTheme="minorEastAsia"/>
            <w:kern w:val="2"/>
            <w:sz w:val="24"/>
            <w:szCs w:val="24"/>
            <w:lang w:eastAsia="en-AU"/>
            <w14:ligatures w14:val="standardContextual"/>
          </w:rPr>
          <w:tab/>
        </w:r>
        <w:r w:rsidRPr="00A52EAC">
          <w:rPr>
            <w:rStyle w:val="Hyperlink"/>
          </w:rPr>
          <w:t>Audience</w:t>
        </w:r>
        <w:r>
          <w:rPr>
            <w:webHidden/>
          </w:rPr>
          <w:tab/>
        </w:r>
        <w:r>
          <w:rPr>
            <w:webHidden/>
          </w:rPr>
          <w:fldChar w:fldCharType="begin"/>
        </w:r>
        <w:r>
          <w:rPr>
            <w:webHidden/>
          </w:rPr>
          <w:instrText xml:space="preserve"> PAGEREF _Toc183182221 \h </w:instrText>
        </w:r>
        <w:r>
          <w:rPr>
            <w:webHidden/>
          </w:rPr>
        </w:r>
        <w:r>
          <w:rPr>
            <w:webHidden/>
          </w:rPr>
          <w:fldChar w:fldCharType="separate"/>
        </w:r>
        <w:r w:rsidR="002C084D">
          <w:rPr>
            <w:webHidden/>
          </w:rPr>
          <w:t>6</w:t>
        </w:r>
        <w:r>
          <w:rPr>
            <w:webHidden/>
          </w:rPr>
          <w:fldChar w:fldCharType="end"/>
        </w:r>
      </w:hyperlink>
    </w:p>
    <w:p w14:paraId="5CD21BFC" w14:textId="50E2A6A8" w:rsidR="00FC6FC5" w:rsidRDefault="00FC6FC5">
      <w:pPr>
        <w:pStyle w:val="TOC1"/>
        <w:rPr>
          <w:rFonts w:eastAsiaTheme="minorEastAsia"/>
          <w:b w:val="0"/>
          <w:kern w:val="2"/>
          <w:sz w:val="24"/>
          <w:szCs w:val="24"/>
          <w:lang w:eastAsia="en-AU"/>
          <w14:ligatures w14:val="standardContextual"/>
        </w:rPr>
      </w:pPr>
      <w:hyperlink w:anchor="_Toc183182222" w:history="1">
        <w:r w:rsidRPr="00A52EAC">
          <w:rPr>
            <w:rStyle w:val="Hyperlink"/>
          </w:rPr>
          <w:t>2</w:t>
        </w:r>
        <w:r>
          <w:rPr>
            <w:rFonts w:eastAsiaTheme="minorEastAsia"/>
            <w:b w:val="0"/>
            <w:kern w:val="2"/>
            <w:sz w:val="24"/>
            <w:szCs w:val="24"/>
            <w:lang w:eastAsia="en-AU"/>
            <w14:ligatures w14:val="standardContextual"/>
          </w:rPr>
          <w:tab/>
        </w:r>
        <w:r w:rsidRPr="00A52EAC">
          <w:rPr>
            <w:rStyle w:val="Hyperlink"/>
          </w:rPr>
          <w:t>International market and regulatory requirements</w:t>
        </w:r>
        <w:r>
          <w:rPr>
            <w:webHidden/>
          </w:rPr>
          <w:tab/>
        </w:r>
        <w:r>
          <w:rPr>
            <w:webHidden/>
          </w:rPr>
          <w:fldChar w:fldCharType="begin"/>
        </w:r>
        <w:r>
          <w:rPr>
            <w:webHidden/>
          </w:rPr>
          <w:instrText xml:space="preserve"> PAGEREF _Toc183182222 \h </w:instrText>
        </w:r>
        <w:r>
          <w:rPr>
            <w:webHidden/>
          </w:rPr>
        </w:r>
        <w:r>
          <w:rPr>
            <w:webHidden/>
          </w:rPr>
          <w:fldChar w:fldCharType="separate"/>
        </w:r>
        <w:r w:rsidR="002C084D">
          <w:rPr>
            <w:webHidden/>
          </w:rPr>
          <w:t>8</w:t>
        </w:r>
        <w:r>
          <w:rPr>
            <w:webHidden/>
          </w:rPr>
          <w:fldChar w:fldCharType="end"/>
        </w:r>
      </w:hyperlink>
    </w:p>
    <w:p w14:paraId="03887B60" w14:textId="4BC11391" w:rsidR="00FC6FC5" w:rsidRDefault="00FC6FC5">
      <w:pPr>
        <w:pStyle w:val="TOC2"/>
        <w:tabs>
          <w:tab w:val="left" w:pos="1200"/>
        </w:tabs>
        <w:rPr>
          <w:rFonts w:eastAsiaTheme="minorEastAsia"/>
          <w:kern w:val="2"/>
          <w:sz w:val="24"/>
          <w:szCs w:val="24"/>
          <w:lang w:eastAsia="en-AU"/>
          <w14:ligatures w14:val="standardContextual"/>
        </w:rPr>
      </w:pPr>
      <w:hyperlink w:anchor="_Toc183182223" w:history="1">
        <w:r w:rsidRPr="00A52EAC">
          <w:rPr>
            <w:rStyle w:val="Hyperlink"/>
          </w:rPr>
          <w:t>2.1</w:t>
        </w:r>
        <w:r>
          <w:rPr>
            <w:rFonts w:eastAsiaTheme="minorEastAsia"/>
            <w:kern w:val="2"/>
            <w:sz w:val="24"/>
            <w:szCs w:val="24"/>
            <w:lang w:eastAsia="en-AU"/>
            <w14:ligatures w14:val="standardContextual"/>
          </w:rPr>
          <w:tab/>
        </w:r>
        <w:r w:rsidRPr="00A52EAC">
          <w:rPr>
            <w:rStyle w:val="Hyperlink"/>
          </w:rPr>
          <w:t>Current and emerging compliance requirements</w:t>
        </w:r>
        <w:r>
          <w:rPr>
            <w:webHidden/>
          </w:rPr>
          <w:tab/>
        </w:r>
        <w:r>
          <w:rPr>
            <w:webHidden/>
          </w:rPr>
          <w:fldChar w:fldCharType="begin"/>
        </w:r>
        <w:r>
          <w:rPr>
            <w:webHidden/>
          </w:rPr>
          <w:instrText xml:space="preserve"> PAGEREF _Toc183182223 \h </w:instrText>
        </w:r>
        <w:r>
          <w:rPr>
            <w:webHidden/>
          </w:rPr>
        </w:r>
        <w:r>
          <w:rPr>
            <w:webHidden/>
          </w:rPr>
          <w:fldChar w:fldCharType="separate"/>
        </w:r>
        <w:r w:rsidR="002C084D">
          <w:rPr>
            <w:webHidden/>
          </w:rPr>
          <w:t>9</w:t>
        </w:r>
        <w:r>
          <w:rPr>
            <w:webHidden/>
          </w:rPr>
          <w:fldChar w:fldCharType="end"/>
        </w:r>
      </w:hyperlink>
    </w:p>
    <w:p w14:paraId="25F1C9C6" w14:textId="49645E5A" w:rsidR="00FC6FC5" w:rsidRDefault="00FC6FC5">
      <w:pPr>
        <w:pStyle w:val="TOC3"/>
        <w:tabs>
          <w:tab w:val="left" w:pos="1680"/>
        </w:tabs>
        <w:rPr>
          <w:rFonts w:eastAsiaTheme="minorEastAsia"/>
          <w:kern w:val="2"/>
          <w:sz w:val="24"/>
          <w:szCs w:val="24"/>
          <w:lang w:eastAsia="en-AU"/>
          <w14:ligatures w14:val="standardContextual"/>
        </w:rPr>
      </w:pPr>
      <w:hyperlink w:anchor="_Toc183182224" w:history="1">
        <w:r w:rsidRPr="00A52EAC">
          <w:rPr>
            <w:rStyle w:val="Hyperlink"/>
          </w:rPr>
          <w:t>2.1.1</w:t>
        </w:r>
        <w:r>
          <w:rPr>
            <w:rFonts w:eastAsiaTheme="minorEastAsia"/>
            <w:kern w:val="2"/>
            <w:sz w:val="24"/>
            <w:szCs w:val="24"/>
            <w:lang w:eastAsia="en-AU"/>
            <w14:ligatures w14:val="standardContextual"/>
          </w:rPr>
          <w:tab/>
        </w:r>
        <w:r w:rsidRPr="00A52EAC">
          <w:rPr>
            <w:rStyle w:val="Hyperlink"/>
          </w:rPr>
          <w:t>Free trade agreements</w:t>
        </w:r>
        <w:r>
          <w:rPr>
            <w:webHidden/>
          </w:rPr>
          <w:tab/>
        </w:r>
        <w:r>
          <w:rPr>
            <w:webHidden/>
          </w:rPr>
          <w:fldChar w:fldCharType="begin"/>
        </w:r>
        <w:r>
          <w:rPr>
            <w:webHidden/>
          </w:rPr>
          <w:instrText xml:space="preserve"> PAGEREF _Toc183182224 \h </w:instrText>
        </w:r>
        <w:r>
          <w:rPr>
            <w:webHidden/>
          </w:rPr>
        </w:r>
        <w:r>
          <w:rPr>
            <w:webHidden/>
          </w:rPr>
          <w:fldChar w:fldCharType="separate"/>
        </w:r>
        <w:r w:rsidR="002C084D">
          <w:rPr>
            <w:webHidden/>
          </w:rPr>
          <w:t>9</w:t>
        </w:r>
        <w:r>
          <w:rPr>
            <w:webHidden/>
          </w:rPr>
          <w:fldChar w:fldCharType="end"/>
        </w:r>
      </w:hyperlink>
    </w:p>
    <w:p w14:paraId="47D677BD" w14:textId="37DE231D" w:rsidR="00FC6FC5" w:rsidRDefault="00FC6FC5">
      <w:pPr>
        <w:pStyle w:val="TOC3"/>
        <w:tabs>
          <w:tab w:val="left" w:pos="1680"/>
        </w:tabs>
        <w:rPr>
          <w:rFonts w:eastAsiaTheme="minorEastAsia"/>
          <w:kern w:val="2"/>
          <w:sz w:val="24"/>
          <w:szCs w:val="24"/>
          <w:lang w:eastAsia="en-AU"/>
          <w14:ligatures w14:val="standardContextual"/>
        </w:rPr>
      </w:pPr>
      <w:hyperlink w:anchor="_Toc183182225" w:history="1">
        <w:r w:rsidRPr="00A52EAC">
          <w:rPr>
            <w:rStyle w:val="Hyperlink"/>
          </w:rPr>
          <w:t>2.1.2</w:t>
        </w:r>
        <w:r>
          <w:rPr>
            <w:rFonts w:eastAsiaTheme="minorEastAsia"/>
            <w:kern w:val="2"/>
            <w:sz w:val="24"/>
            <w:szCs w:val="24"/>
            <w:lang w:eastAsia="en-AU"/>
            <w14:ligatures w14:val="standardContextual"/>
          </w:rPr>
          <w:tab/>
        </w:r>
        <w:r w:rsidRPr="00A52EAC">
          <w:rPr>
            <w:rStyle w:val="Hyperlink"/>
          </w:rPr>
          <w:t>European Union</w:t>
        </w:r>
        <w:r>
          <w:rPr>
            <w:webHidden/>
          </w:rPr>
          <w:tab/>
        </w:r>
        <w:r>
          <w:rPr>
            <w:webHidden/>
          </w:rPr>
          <w:fldChar w:fldCharType="begin"/>
        </w:r>
        <w:r>
          <w:rPr>
            <w:webHidden/>
          </w:rPr>
          <w:instrText xml:space="preserve"> PAGEREF _Toc183182225 \h </w:instrText>
        </w:r>
        <w:r>
          <w:rPr>
            <w:webHidden/>
          </w:rPr>
        </w:r>
        <w:r>
          <w:rPr>
            <w:webHidden/>
          </w:rPr>
          <w:fldChar w:fldCharType="separate"/>
        </w:r>
        <w:r w:rsidR="002C084D">
          <w:rPr>
            <w:webHidden/>
          </w:rPr>
          <w:t>9</w:t>
        </w:r>
        <w:r>
          <w:rPr>
            <w:webHidden/>
          </w:rPr>
          <w:fldChar w:fldCharType="end"/>
        </w:r>
      </w:hyperlink>
    </w:p>
    <w:p w14:paraId="09BC5A17" w14:textId="785755EC" w:rsidR="00FC6FC5" w:rsidRDefault="00FC6FC5">
      <w:pPr>
        <w:pStyle w:val="TOC3"/>
        <w:tabs>
          <w:tab w:val="left" w:pos="1680"/>
        </w:tabs>
        <w:rPr>
          <w:rFonts w:eastAsiaTheme="minorEastAsia"/>
          <w:kern w:val="2"/>
          <w:sz w:val="24"/>
          <w:szCs w:val="24"/>
          <w:lang w:eastAsia="en-AU"/>
          <w14:ligatures w14:val="standardContextual"/>
        </w:rPr>
      </w:pPr>
      <w:hyperlink w:anchor="_Toc183182226" w:history="1">
        <w:r w:rsidRPr="00A52EAC">
          <w:rPr>
            <w:rStyle w:val="Hyperlink"/>
          </w:rPr>
          <w:t>2.1.3</w:t>
        </w:r>
        <w:r>
          <w:rPr>
            <w:rFonts w:eastAsiaTheme="minorEastAsia"/>
            <w:kern w:val="2"/>
            <w:sz w:val="24"/>
            <w:szCs w:val="24"/>
            <w:lang w:eastAsia="en-AU"/>
            <w14:ligatures w14:val="standardContextual"/>
          </w:rPr>
          <w:tab/>
        </w:r>
        <w:r w:rsidRPr="00A52EAC">
          <w:rPr>
            <w:rStyle w:val="Hyperlink"/>
          </w:rPr>
          <w:t>North America – United States</w:t>
        </w:r>
        <w:r>
          <w:rPr>
            <w:webHidden/>
          </w:rPr>
          <w:tab/>
        </w:r>
        <w:r>
          <w:rPr>
            <w:webHidden/>
          </w:rPr>
          <w:fldChar w:fldCharType="begin"/>
        </w:r>
        <w:r>
          <w:rPr>
            <w:webHidden/>
          </w:rPr>
          <w:instrText xml:space="preserve"> PAGEREF _Toc183182226 \h </w:instrText>
        </w:r>
        <w:r>
          <w:rPr>
            <w:webHidden/>
          </w:rPr>
        </w:r>
        <w:r>
          <w:rPr>
            <w:webHidden/>
          </w:rPr>
          <w:fldChar w:fldCharType="separate"/>
        </w:r>
        <w:r w:rsidR="002C084D">
          <w:rPr>
            <w:webHidden/>
          </w:rPr>
          <w:t>11</w:t>
        </w:r>
        <w:r>
          <w:rPr>
            <w:webHidden/>
          </w:rPr>
          <w:fldChar w:fldCharType="end"/>
        </w:r>
      </w:hyperlink>
    </w:p>
    <w:p w14:paraId="19D8E253" w14:textId="0AC6903B" w:rsidR="00FC6FC5" w:rsidRDefault="00FC6FC5">
      <w:pPr>
        <w:pStyle w:val="TOC3"/>
        <w:tabs>
          <w:tab w:val="left" w:pos="1680"/>
        </w:tabs>
        <w:rPr>
          <w:rFonts w:eastAsiaTheme="minorEastAsia"/>
          <w:kern w:val="2"/>
          <w:sz w:val="24"/>
          <w:szCs w:val="24"/>
          <w:lang w:eastAsia="en-AU"/>
          <w14:ligatures w14:val="standardContextual"/>
        </w:rPr>
      </w:pPr>
      <w:hyperlink w:anchor="_Toc183182227" w:history="1">
        <w:r w:rsidRPr="00A52EAC">
          <w:rPr>
            <w:rStyle w:val="Hyperlink"/>
          </w:rPr>
          <w:t>2.1.4</w:t>
        </w:r>
        <w:r>
          <w:rPr>
            <w:rFonts w:eastAsiaTheme="minorEastAsia"/>
            <w:kern w:val="2"/>
            <w:sz w:val="24"/>
            <w:szCs w:val="24"/>
            <w:lang w:eastAsia="en-AU"/>
            <w14:ligatures w14:val="standardContextual"/>
          </w:rPr>
          <w:tab/>
        </w:r>
        <w:r w:rsidRPr="00A52EAC">
          <w:rPr>
            <w:rStyle w:val="Hyperlink"/>
          </w:rPr>
          <w:t>East Asia and Southeast Asia</w:t>
        </w:r>
        <w:r>
          <w:rPr>
            <w:webHidden/>
          </w:rPr>
          <w:tab/>
        </w:r>
        <w:r>
          <w:rPr>
            <w:webHidden/>
          </w:rPr>
          <w:fldChar w:fldCharType="begin"/>
        </w:r>
        <w:r>
          <w:rPr>
            <w:webHidden/>
          </w:rPr>
          <w:instrText xml:space="preserve"> PAGEREF _Toc183182227 \h </w:instrText>
        </w:r>
        <w:r>
          <w:rPr>
            <w:webHidden/>
          </w:rPr>
        </w:r>
        <w:r>
          <w:rPr>
            <w:webHidden/>
          </w:rPr>
          <w:fldChar w:fldCharType="separate"/>
        </w:r>
        <w:r w:rsidR="002C084D">
          <w:rPr>
            <w:webHidden/>
          </w:rPr>
          <w:t>11</w:t>
        </w:r>
        <w:r>
          <w:rPr>
            <w:webHidden/>
          </w:rPr>
          <w:fldChar w:fldCharType="end"/>
        </w:r>
      </w:hyperlink>
    </w:p>
    <w:p w14:paraId="306F45F2" w14:textId="241D3E27" w:rsidR="00FC6FC5" w:rsidRDefault="00FC6FC5">
      <w:pPr>
        <w:pStyle w:val="TOC2"/>
        <w:tabs>
          <w:tab w:val="left" w:pos="1200"/>
        </w:tabs>
        <w:rPr>
          <w:rFonts w:eastAsiaTheme="minorEastAsia"/>
          <w:kern w:val="2"/>
          <w:sz w:val="24"/>
          <w:szCs w:val="24"/>
          <w:lang w:eastAsia="en-AU"/>
          <w14:ligatures w14:val="standardContextual"/>
        </w:rPr>
      </w:pPr>
      <w:hyperlink w:anchor="_Toc183182228" w:history="1">
        <w:r w:rsidRPr="00A52EAC">
          <w:rPr>
            <w:rStyle w:val="Hyperlink"/>
          </w:rPr>
          <w:t>2.2</w:t>
        </w:r>
        <w:r>
          <w:rPr>
            <w:rFonts w:eastAsiaTheme="minorEastAsia"/>
            <w:kern w:val="2"/>
            <w:sz w:val="24"/>
            <w:szCs w:val="24"/>
            <w:lang w:eastAsia="en-AU"/>
            <w14:ligatures w14:val="standardContextual"/>
          </w:rPr>
          <w:tab/>
        </w:r>
        <w:r w:rsidRPr="00A52EAC">
          <w:rPr>
            <w:rStyle w:val="Hyperlink"/>
          </w:rPr>
          <w:t>Key evidence expectations</w:t>
        </w:r>
        <w:r>
          <w:rPr>
            <w:webHidden/>
          </w:rPr>
          <w:tab/>
        </w:r>
        <w:r>
          <w:rPr>
            <w:webHidden/>
          </w:rPr>
          <w:fldChar w:fldCharType="begin"/>
        </w:r>
        <w:r>
          <w:rPr>
            <w:webHidden/>
          </w:rPr>
          <w:instrText xml:space="preserve"> PAGEREF _Toc183182228 \h </w:instrText>
        </w:r>
        <w:r>
          <w:rPr>
            <w:webHidden/>
          </w:rPr>
        </w:r>
        <w:r>
          <w:rPr>
            <w:webHidden/>
          </w:rPr>
          <w:fldChar w:fldCharType="separate"/>
        </w:r>
        <w:r w:rsidR="002C084D">
          <w:rPr>
            <w:webHidden/>
          </w:rPr>
          <w:t>12</w:t>
        </w:r>
        <w:r>
          <w:rPr>
            <w:webHidden/>
          </w:rPr>
          <w:fldChar w:fldCharType="end"/>
        </w:r>
      </w:hyperlink>
    </w:p>
    <w:p w14:paraId="37DB2CCE" w14:textId="687B935E" w:rsidR="00FC6FC5" w:rsidRDefault="00FC6FC5">
      <w:pPr>
        <w:pStyle w:val="TOC3"/>
        <w:tabs>
          <w:tab w:val="left" w:pos="1680"/>
        </w:tabs>
        <w:rPr>
          <w:rFonts w:eastAsiaTheme="minorEastAsia"/>
          <w:kern w:val="2"/>
          <w:sz w:val="24"/>
          <w:szCs w:val="24"/>
          <w:lang w:eastAsia="en-AU"/>
          <w14:ligatures w14:val="standardContextual"/>
        </w:rPr>
      </w:pPr>
      <w:hyperlink w:anchor="_Toc183182229" w:history="1">
        <w:r w:rsidRPr="00A52EAC">
          <w:rPr>
            <w:rStyle w:val="Hyperlink"/>
          </w:rPr>
          <w:t>2.2.1</w:t>
        </w:r>
        <w:r>
          <w:rPr>
            <w:rFonts w:eastAsiaTheme="minorEastAsia"/>
            <w:kern w:val="2"/>
            <w:sz w:val="24"/>
            <w:szCs w:val="24"/>
            <w:lang w:eastAsia="en-AU"/>
            <w14:ligatures w14:val="standardContextual"/>
          </w:rPr>
          <w:tab/>
        </w:r>
        <w:r w:rsidRPr="00A52EAC">
          <w:rPr>
            <w:rStyle w:val="Hyperlink"/>
          </w:rPr>
          <w:t>Current and emerging expectations – form of evidence</w:t>
        </w:r>
        <w:r>
          <w:rPr>
            <w:webHidden/>
          </w:rPr>
          <w:tab/>
        </w:r>
        <w:r>
          <w:rPr>
            <w:webHidden/>
          </w:rPr>
          <w:fldChar w:fldCharType="begin"/>
        </w:r>
        <w:r>
          <w:rPr>
            <w:webHidden/>
          </w:rPr>
          <w:instrText xml:space="preserve"> PAGEREF _Toc183182229 \h </w:instrText>
        </w:r>
        <w:r>
          <w:rPr>
            <w:webHidden/>
          </w:rPr>
        </w:r>
        <w:r>
          <w:rPr>
            <w:webHidden/>
          </w:rPr>
          <w:fldChar w:fldCharType="separate"/>
        </w:r>
        <w:r w:rsidR="002C084D">
          <w:rPr>
            <w:webHidden/>
          </w:rPr>
          <w:t>12</w:t>
        </w:r>
        <w:r>
          <w:rPr>
            <w:webHidden/>
          </w:rPr>
          <w:fldChar w:fldCharType="end"/>
        </w:r>
      </w:hyperlink>
    </w:p>
    <w:p w14:paraId="6E52B725" w14:textId="654DB638" w:rsidR="00FC6FC5" w:rsidRDefault="00FC6FC5">
      <w:pPr>
        <w:pStyle w:val="TOC3"/>
        <w:tabs>
          <w:tab w:val="left" w:pos="1680"/>
        </w:tabs>
        <w:rPr>
          <w:rFonts w:eastAsiaTheme="minorEastAsia"/>
          <w:kern w:val="2"/>
          <w:sz w:val="24"/>
          <w:szCs w:val="24"/>
          <w:lang w:eastAsia="en-AU"/>
          <w14:ligatures w14:val="standardContextual"/>
        </w:rPr>
      </w:pPr>
      <w:hyperlink w:anchor="_Toc183182230" w:history="1">
        <w:r w:rsidRPr="00A52EAC">
          <w:rPr>
            <w:rStyle w:val="Hyperlink"/>
          </w:rPr>
          <w:t>2.2.2</w:t>
        </w:r>
        <w:r>
          <w:rPr>
            <w:rFonts w:eastAsiaTheme="minorEastAsia"/>
            <w:kern w:val="2"/>
            <w:sz w:val="24"/>
            <w:szCs w:val="24"/>
            <w:lang w:eastAsia="en-AU"/>
            <w14:ligatures w14:val="standardContextual"/>
          </w:rPr>
          <w:tab/>
        </w:r>
        <w:r w:rsidRPr="00A52EAC">
          <w:rPr>
            <w:rStyle w:val="Hyperlink"/>
          </w:rPr>
          <w:t>Current and emerging expectations – subject of evidence</w:t>
        </w:r>
        <w:r>
          <w:rPr>
            <w:webHidden/>
          </w:rPr>
          <w:tab/>
        </w:r>
        <w:r>
          <w:rPr>
            <w:webHidden/>
          </w:rPr>
          <w:fldChar w:fldCharType="begin"/>
        </w:r>
        <w:r>
          <w:rPr>
            <w:webHidden/>
          </w:rPr>
          <w:instrText xml:space="preserve"> PAGEREF _Toc183182230 \h </w:instrText>
        </w:r>
        <w:r>
          <w:rPr>
            <w:webHidden/>
          </w:rPr>
        </w:r>
        <w:r>
          <w:rPr>
            <w:webHidden/>
          </w:rPr>
          <w:fldChar w:fldCharType="separate"/>
        </w:r>
        <w:r w:rsidR="002C084D">
          <w:rPr>
            <w:webHidden/>
          </w:rPr>
          <w:t>13</w:t>
        </w:r>
        <w:r>
          <w:rPr>
            <w:webHidden/>
          </w:rPr>
          <w:fldChar w:fldCharType="end"/>
        </w:r>
      </w:hyperlink>
    </w:p>
    <w:p w14:paraId="7648FE40" w14:textId="4D80BBD0" w:rsidR="00FC6FC5" w:rsidRDefault="00FC6FC5">
      <w:pPr>
        <w:pStyle w:val="TOC1"/>
        <w:rPr>
          <w:rFonts w:eastAsiaTheme="minorEastAsia"/>
          <w:b w:val="0"/>
          <w:kern w:val="2"/>
          <w:sz w:val="24"/>
          <w:szCs w:val="24"/>
          <w:lang w:eastAsia="en-AU"/>
          <w14:ligatures w14:val="standardContextual"/>
        </w:rPr>
      </w:pPr>
      <w:hyperlink w:anchor="_Toc183182231" w:history="1">
        <w:r w:rsidRPr="00A52EAC">
          <w:rPr>
            <w:rStyle w:val="Hyperlink"/>
          </w:rPr>
          <w:t>3</w:t>
        </w:r>
        <w:r>
          <w:rPr>
            <w:rFonts w:eastAsiaTheme="minorEastAsia"/>
            <w:b w:val="0"/>
            <w:kern w:val="2"/>
            <w:sz w:val="24"/>
            <w:szCs w:val="24"/>
            <w:lang w:eastAsia="en-AU"/>
            <w14:ligatures w14:val="standardContextual"/>
          </w:rPr>
          <w:tab/>
        </w:r>
        <w:r w:rsidRPr="00A52EAC">
          <w:rPr>
            <w:rStyle w:val="Hyperlink"/>
          </w:rPr>
          <w:t>Priority sustainability principles and criteria</w:t>
        </w:r>
        <w:r>
          <w:rPr>
            <w:webHidden/>
          </w:rPr>
          <w:tab/>
        </w:r>
        <w:r>
          <w:rPr>
            <w:webHidden/>
          </w:rPr>
          <w:fldChar w:fldCharType="begin"/>
        </w:r>
        <w:r>
          <w:rPr>
            <w:webHidden/>
          </w:rPr>
          <w:instrText xml:space="preserve"> PAGEREF _Toc183182231 \h </w:instrText>
        </w:r>
        <w:r>
          <w:rPr>
            <w:webHidden/>
          </w:rPr>
        </w:r>
        <w:r>
          <w:rPr>
            <w:webHidden/>
          </w:rPr>
          <w:fldChar w:fldCharType="separate"/>
        </w:r>
        <w:r w:rsidR="002C084D">
          <w:rPr>
            <w:webHidden/>
          </w:rPr>
          <w:t>17</w:t>
        </w:r>
        <w:r>
          <w:rPr>
            <w:webHidden/>
          </w:rPr>
          <w:fldChar w:fldCharType="end"/>
        </w:r>
      </w:hyperlink>
    </w:p>
    <w:p w14:paraId="694EC82C" w14:textId="6D69D489" w:rsidR="00FC6FC5" w:rsidRDefault="00FC6FC5">
      <w:pPr>
        <w:pStyle w:val="TOC2"/>
        <w:tabs>
          <w:tab w:val="left" w:pos="1200"/>
        </w:tabs>
        <w:rPr>
          <w:rFonts w:eastAsiaTheme="minorEastAsia"/>
          <w:kern w:val="2"/>
          <w:sz w:val="24"/>
          <w:szCs w:val="24"/>
          <w:lang w:eastAsia="en-AU"/>
          <w14:ligatures w14:val="standardContextual"/>
        </w:rPr>
      </w:pPr>
      <w:hyperlink w:anchor="_Toc183182232" w:history="1">
        <w:r w:rsidRPr="00A52EAC">
          <w:rPr>
            <w:rStyle w:val="Hyperlink"/>
          </w:rPr>
          <w:t>3.1</w:t>
        </w:r>
        <w:r>
          <w:rPr>
            <w:rFonts w:eastAsiaTheme="minorEastAsia"/>
            <w:kern w:val="2"/>
            <w:sz w:val="24"/>
            <w:szCs w:val="24"/>
            <w:lang w:eastAsia="en-AU"/>
            <w14:ligatures w14:val="standardContextual"/>
          </w:rPr>
          <w:tab/>
        </w:r>
        <w:r w:rsidRPr="00A52EAC">
          <w:rPr>
            <w:rStyle w:val="Hyperlink"/>
          </w:rPr>
          <w:t>Material topics</w:t>
        </w:r>
        <w:r>
          <w:rPr>
            <w:webHidden/>
          </w:rPr>
          <w:tab/>
        </w:r>
        <w:r>
          <w:rPr>
            <w:webHidden/>
          </w:rPr>
          <w:fldChar w:fldCharType="begin"/>
        </w:r>
        <w:r>
          <w:rPr>
            <w:webHidden/>
          </w:rPr>
          <w:instrText xml:space="preserve"> PAGEREF _Toc183182232 \h </w:instrText>
        </w:r>
        <w:r>
          <w:rPr>
            <w:webHidden/>
          </w:rPr>
        </w:r>
        <w:r>
          <w:rPr>
            <w:webHidden/>
          </w:rPr>
          <w:fldChar w:fldCharType="separate"/>
        </w:r>
        <w:r w:rsidR="002C084D">
          <w:rPr>
            <w:webHidden/>
          </w:rPr>
          <w:t>17</w:t>
        </w:r>
        <w:r>
          <w:rPr>
            <w:webHidden/>
          </w:rPr>
          <w:fldChar w:fldCharType="end"/>
        </w:r>
      </w:hyperlink>
    </w:p>
    <w:p w14:paraId="0E62219F" w14:textId="21A493A5" w:rsidR="00FC6FC5" w:rsidRDefault="00FC6FC5">
      <w:pPr>
        <w:pStyle w:val="TOC2"/>
        <w:tabs>
          <w:tab w:val="left" w:pos="1200"/>
        </w:tabs>
        <w:rPr>
          <w:rFonts w:eastAsiaTheme="minorEastAsia"/>
          <w:kern w:val="2"/>
          <w:sz w:val="24"/>
          <w:szCs w:val="24"/>
          <w:lang w:eastAsia="en-AU"/>
          <w14:ligatures w14:val="standardContextual"/>
        </w:rPr>
      </w:pPr>
      <w:hyperlink w:anchor="_Toc183182233" w:history="1">
        <w:r w:rsidRPr="00A52EAC">
          <w:rPr>
            <w:rStyle w:val="Hyperlink"/>
          </w:rPr>
          <w:t>3.2</w:t>
        </w:r>
        <w:r>
          <w:rPr>
            <w:rFonts w:eastAsiaTheme="minorEastAsia"/>
            <w:kern w:val="2"/>
            <w:sz w:val="24"/>
            <w:szCs w:val="24"/>
            <w:lang w:eastAsia="en-AU"/>
            <w14:ligatures w14:val="standardContextual"/>
          </w:rPr>
          <w:tab/>
        </w:r>
        <w:r w:rsidRPr="00A52EAC">
          <w:rPr>
            <w:rStyle w:val="Hyperlink"/>
          </w:rPr>
          <w:t>Critical topics to demonstrating sustainability claims</w:t>
        </w:r>
        <w:r>
          <w:rPr>
            <w:webHidden/>
          </w:rPr>
          <w:tab/>
        </w:r>
        <w:r>
          <w:rPr>
            <w:webHidden/>
          </w:rPr>
          <w:fldChar w:fldCharType="begin"/>
        </w:r>
        <w:r>
          <w:rPr>
            <w:webHidden/>
          </w:rPr>
          <w:instrText xml:space="preserve"> PAGEREF _Toc183182233 \h </w:instrText>
        </w:r>
        <w:r>
          <w:rPr>
            <w:webHidden/>
          </w:rPr>
        </w:r>
        <w:r>
          <w:rPr>
            <w:webHidden/>
          </w:rPr>
          <w:fldChar w:fldCharType="separate"/>
        </w:r>
        <w:r w:rsidR="002C084D">
          <w:rPr>
            <w:webHidden/>
          </w:rPr>
          <w:t>18</w:t>
        </w:r>
        <w:r>
          <w:rPr>
            <w:webHidden/>
          </w:rPr>
          <w:fldChar w:fldCharType="end"/>
        </w:r>
      </w:hyperlink>
    </w:p>
    <w:p w14:paraId="65B077DF" w14:textId="1E00BA47" w:rsidR="00FC6FC5" w:rsidRDefault="00FC6FC5">
      <w:pPr>
        <w:pStyle w:val="TOC2"/>
        <w:tabs>
          <w:tab w:val="left" w:pos="1200"/>
        </w:tabs>
        <w:rPr>
          <w:rFonts w:eastAsiaTheme="minorEastAsia"/>
          <w:kern w:val="2"/>
          <w:sz w:val="24"/>
          <w:szCs w:val="24"/>
          <w:lang w:eastAsia="en-AU"/>
          <w14:ligatures w14:val="standardContextual"/>
        </w:rPr>
      </w:pPr>
      <w:hyperlink w:anchor="_Toc183182234" w:history="1">
        <w:r w:rsidRPr="00A52EAC">
          <w:rPr>
            <w:rStyle w:val="Hyperlink"/>
          </w:rPr>
          <w:t>3.3</w:t>
        </w:r>
        <w:r>
          <w:rPr>
            <w:rFonts w:eastAsiaTheme="minorEastAsia"/>
            <w:kern w:val="2"/>
            <w:sz w:val="24"/>
            <w:szCs w:val="24"/>
            <w:lang w:eastAsia="en-AU"/>
            <w14:ligatures w14:val="standardContextual"/>
          </w:rPr>
          <w:tab/>
        </w:r>
        <w:r w:rsidRPr="00A52EAC">
          <w:rPr>
            <w:rStyle w:val="Hyperlink"/>
          </w:rPr>
          <w:t>Alignment of priorities</w:t>
        </w:r>
        <w:r>
          <w:rPr>
            <w:webHidden/>
          </w:rPr>
          <w:tab/>
        </w:r>
        <w:r>
          <w:rPr>
            <w:webHidden/>
          </w:rPr>
          <w:fldChar w:fldCharType="begin"/>
        </w:r>
        <w:r>
          <w:rPr>
            <w:webHidden/>
          </w:rPr>
          <w:instrText xml:space="preserve"> PAGEREF _Toc183182234 \h </w:instrText>
        </w:r>
        <w:r>
          <w:rPr>
            <w:webHidden/>
          </w:rPr>
        </w:r>
        <w:r>
          <w:rPr>
            <w:webHidden/>
          </w:rPr>
          <w:fldChar w:fldCharType="separate"/>
        </w:r>
        <w:r w:rsidR="002C084D">
          <w:rPr>
            <w:webHidden/>
          </w:rPr>
          <w:t>18</w:t>
        </w:r>
        <w:r>
          <w:rPr>
            <w:webHidden/>
          </w:rPr>
          <w:fldChar w:fldCharType="end"/>
        </w:r>
      </w:hyperlink>
    </w:p>
    <w:p w14:paraId="3DF39F2C" w14:textId="49EC5062" w:rsidR="00FC6FC5" w:rsidRDefault="00FC6FC5">
      <w:pPr>
        <w:pStyle w:val="TOC2"/>
        <w:tabs>
          <w:tab w:val="left" w:pos="1200"/>
        </w:tabs>
        <w:rPr>
          <w:rFonts w:eastAsiaTheme="minorEastAsia"/>
          <w:kern w:val="2"/>
          <w:sz w:val="24"/>
          <w:szCs w:val="24"/>
          <w:lang w:eastAsia="en-AU"/>
          <w14:ligatures w14:val="standardContextual"/>
        </w:rPr>
      </w:pPr>
      <w:hyperlink w:anchor="_Toc183182235" w:history="1">
        <w:r w:rsidRPr="00A52EAC">
          <w:rPr>
            <w:rStyle w:val="Hyperlink"/>
          </w:rPr>
          <w:t>3.4</w:t>
        </w:r>
        <w:r>
          <w:rPr>
            <w:rFonts w:eastAsiaTheme="minorEastAsia"/>
            <w:kern w:val="2"/>
            <w:sz w:val="24"/>
            <w:szCs w:val="24"/>
            <w:lang w:eastAsia="en-AU"/>
            <w14:ligatures w14:val="standardContextual"/>
          </w:rPr>
          <w:tab/>
        </w:r>
        <w:r w:rsidRPr="00A52EAC">
          <w:rPr>
            <w:rStyle w:val="Hyperlink"/>
          </w:rPr>
          <w:t>Approaches to demonstrating sustainability claims</w:t>
        </w:r>
        <w:r>
          <w:rPr>
            <w:webHidden/>
          </w:rPr>
          <w:tab/>
        </w:r>
        <w:r>
          <w:rPr>
            <w:webHidden/>
          </w:rPr>
          <w:fldChar w:fldCharType="begin"/>
        </w:r>
        <w:r>
          <w:rPr>
            <w:webHidden/>
          </w:rPr>
          <w:instrText xml:space="preserve"> PAGEREF _Toc183182235 \h </w:instrText>
        </w:r>
        <w:r>
          <w:rPr>
            <w:webHidden/>
          </w:rPr>
        </w:r>
        <w:r>
          <w:rPr>
            <w:webHidden/>
          </w:rPr>
          <w:fldChar w:fldCharType="separate"/>
        </w:r>
        <w:r w:rsidR="002C084D">
          <w:rPr>
            <w:webHidden/>
          </w:rPr>
          <w:t>19</w:t>
        </w:r>
        <w:r>
          <w:rPr>
            <w:webHidden/>
          </w:rPr>
          <w:fldChar w:fldCharType="end"/>
        </w:r>
      </w:hyperlink>
    </w:p>
    <w:p w14:paraId="462E29CF" w14:textId="39C7CFFA" w:rsidR="00FC6FC5" w:rsidRDefault="00FC6FC5">
      <w:pPr>
        <w:pStyle w:val="TOC2"/>
        <w:tabs>
          <w:tab w:val="left" w:pos="1200"/>
        </w:tabs>
        <w:rPr>
          <w:rFonts w:eastAsiaTheme="minorEastAsia"/>
          <w:kern w:val="2"/>
          <w:sz w:val="24"/>
          <w:szCs w:val="24"/>
          <w:lang w:eastAsia="en-AU"/>
          <w14:ligatures w14:val="standardContextual"/>
        </w:rPr>
      </w:pPr>
      <w:hyperlink w:anchor="_Toc183182236" w:history="1">
        <w:r w:rsidRPr="00A52EAC">
          <w:rPr>
            <w:rStyle w:val="Hyperlink"/>
          </w:rPr>
          <w:t>3.5</w:t>
        </w:r>
        <w:r>
          <w:rPr>
            <w:rFonts w:eastAsiaTheme="minorEastAsia"/>
            <w:kern w:val="2"/>
            <w:sz w:val="24"/>
            <w:szCs w:val="24"/>
            <w:lang w:eastAsia="en-AU"/>
            <w14:ligatures w14:val="standardContextual"/>
          </w:rPr>
          <w:tab/>
        </w:r>
        <w:r w:rsidRPr="00A52EAC">
          <w:rPr>
            <w:rStyle w:val="Hyperlink"/>
          </w:rPr>
          <w:t>Verifying sustainability claims with data</w:t>
        </w:r>
        <w:r>
          <w:rPr>
            <w:webHidden/>
          </w:rPr>
          <w:tab/>
        </w:r>
        <w:r>
          <w:rPr>
            <w:webHidden/>
          </w:rPr>
          <w:fldChar w:fldCharType="begin"/>
        </w:r>
        <w:r>
          <w:rPr>
            <w:webHidden/>
          </w:rPr>
          <w:instrText xml:space="preserve"> PAGEREF _Toc183182236 \h </w:instrText>
        </w:r>
        <w:r>
          <w:rPr>
            <w:webHidden/>
          </w:rPr>
        </w:r>
        <w:r>
          <w:rPr>
            <w:webHidden/>
          </w:rPr>
          <w:fldChar w:fldCharType="separate"/>
        </w:r>
        <w:r w:rsidR="002C084D">
          <w:rPr>
            <w:webHidden/>
          </w:rPr>
          <w:t>20</w:t>
        </w:r>
        <w:r>
          <w:rPr>
            <w:webHidden/>
          </w:rPr>
          <w:fldChar w:fldCharType="end"/>
        </w:r>
      </w:hyperlink>
    </w:p>
    <w:p w14:paraId="7406C755" w14:textId="45D3E9A5" w:rsidR="00FC6FC5" w:rsidRDefault="00FC6FC5">
      <w:pPr>
        <w:pStyle w:val="TOC1"/>
        <w:rPr>
          <w:rFonts w:eastAsiaTheme="minorEastAsia"/>
          <w:b w:val="0"/>
          <w:kern w:val="2"/>
          <w:sz w:val="24"/>
          <w:szCs w:val="24"/>
          <w:lang w:eastAsia="en-AU"/>
          <w14:ligatures w14:val="standardContextual"/>
        </w:rPr>
      </w:pPr>
      <w:hyperlink w:anchor="_Toc183182237" w:history="1">
        <w:r w:rsidRPr="00A52EAC">
          <w:rPr>
            <w:rStyle w:val="Hyperlink"/>
          </w:rPr>
          <w:t>4</w:t>
        </w:r>
        <w:r>
          <w:rPr>
            <w:rFonts w:eastAsiaTheme="minorEastAsia"/>
            <w:b w:val="0"/>
            <w:kern w:val="2"/>
            <w:sz w:val="24"/>
            <w:szCs w:val="24"/>
            <w:lang w:eastAsia="en-AU"/>
            <w14:ligatures w14:val="standardContextual"/>
          </w:rPr>
          <w:tab/>
        </w:r>
        <w:r w:rsidRPr="00A52EAC">
          <w:rPr>
            <w:rStyle w:val="Hyperlink"/>
          </w:rPr>
          <w:t>Make a submission</w:t>
        </w:r>
        <w:r>
          <w:rPr>
            <w:webHidden/>
          </w:rPr>
          <w:tab/>
        </w:r>
        <w:r>
          <w:rPr>
            <w:webHidden/>
          </w:rPr>
          <w:fldChar w:fldCharType="begin"/>
        </w:r>
        <w:r>
          <w:rPr>
            <w:webHidden/>
          </w:rPr>
          <w:instrText xml:space="preserve"> PAGEREF _Toc183182237 \h </w:instrText>
        </w:r>
        <w:r>
          <w:rPr>
            <w:webHidden/>
          </w:rPr>
        </w:r>
        <w:r>
          <w:rPr>
            <w:webHidden/>
          </w:rPr>
          <w:fldChar w:fldCharType="separate"/>
        </w:r>
        <w:r w:rsidR="002C084D">
          <w:rPr>
            <w:webHidden/>
          </w:rPr>
          <w:t>21</w:t>
        </w:r>
        <w:r>
          <w:rPr>
            <w:webHidden/>
          </w:rPr>
          <w:fldChar w:fldCharType="end"/>
        </w:r>
      </w:hyperlink>
    </w:p>
    <w:p w14:paraId="4319FF9D" w14:textId="2A93F09D" w:rsidR="00FC6FC5" w:rsidRDefault="00FC6FC5">
      <w:pPr>
        <w:pStyle w:val="TOC2"/>
        <w:tabs>
          <w:tab w:val="left" w:pos="1200"/>
        </w:tabs>
        <w:rPr>
          <w:rFonts w:eastAsiaTheme="minorEastAsia"/>
          <w:kern w:val="2"/>
          <w:sz w:val="24"/>
          <w:szCs w:val="24"/>
          <w:lang w:eastAsia="en-AU"/>
          <w14:ligatures w14:val="standardContextual"/>
        </w:rPr>
      </w:pPr>
      <w:hyperlink w:anchor="_Toc183182238" w:history="1">
        <w:r w:rsidRPr="00A52EAC">
          <w:rPr>
            <w:rStyle w:val="Hyperlink"/>
          </w:rPr>
          <w:t>4.1</w:t>
        </w:r>
        <w:r>
          <w:rPr>
            <w:rFonts w:eastAsiaTheme="minorEastAsia"/>
            <w:kern w:val="2"/>
            <w:sz w:val="24"/>
            <w:szCs w:val="24"/>
            <w:lang w:eastAsia="en-AU"/>
            <w14:ligatures w14:val="standardContextual"/>
          </w:rPr>
          <w:tab/>
        </w:r>
        <w:r w:rsidRPr="00A52EAC">
          <w:rPr>
            <w:rStyle w:val="Hyperlink"/>
          </w:rPr>
          <w:t>Have your say</w:t>
        </w:r>
        <w:r>
          <w:rPr>
            <w:webHidden/>
          </w:rPr>
          <w:tab/>
        </w:r>
        <w:r>
          <w:rPr>
            <w:webHidden/>
          </w:rPr>
          <w:fldChar w:fldCharType="begin"/>
        </w:r>
        <w:r>
          <w:rPr>
            <w:webHidden/>
          </w:rPr>
          <w:instrText xml:space="preserve"> PAGEREF _Toc183182238 \h </w:instrText>
        </w:r>
        <w:r>
          <w:rPr>
            <w:webHidden/>
          </w:rPr>
        </w:r>
        <w:r>
          <w:rPr>
            <w:webHidden/>
          </w:rPr>
          <w:fldChar w:fldCharType="separate"/>
        </w:r>
        <w:r w:rsidR="002C084D">
          <w:rPr>
            <w:webHidden/>
          </w:rPr>
          <w:t>21</w:t>
        </w:r>
        <w:r>
          <w:rPr>
            <w:webHidden/>
          </w:rPr>
          <w:fldChar w:fldCharType="end"/>
        </w:r>
      </w:hyperlink>
    </w:p>
    <w:p w14:paraId="57700E10" w14:textId="0FCF6329" w:rsidR="00FC6FC5" w:rsidRDefault="00FC6FC5">
      <w:pPr>
        <w:pStyle w:val="TOC2"/>
        <w:tabs>
          <w:tab w:val="left" w:pos="1200"/>
        </w:tabs>
        <w:rPr>
          <w:rFonts w:eastAsiaTheme="minorEastAsia"/>
          <w:kern w:val="2"/>
          <w:sz w:val="24"/>
          <w:szCs w:val="24"/>
          <w:lang w:eastAsia="en-AU"/>
          <w14:ligatures w14:val="standardContextual"/>
        </w:rPr>
      </w:pPr>
      <w:hyperlink w:anchor="_Toc183182240" w:history="1">
        <w:r w:rsidRPr="00A52EAC">
          <w:rPr>
            <w:rStyle w:val="Hyperlink"/>
          </w:rPr>
          <w:t>4.2</w:t>
        </w:r>
        <w:r>
          <w:rPr>
            <w:rFonts w:eastAsiaTheme="minorEastAsia"/>
            <w:kern w:val="2"/>
            <w:sz w:val="24"/>
            <w:szCs w:val="24"/>
            <w:lang w:eastAsia="en-AU"/>
            <w14:ligatures w14:val="standardContextual"/>
          </w:rPr>
          <w:tab/>
        </w:r>
        <w:r w:rsidRPr="00A52EAC">
          <w:rPr>
            <w:rStyle w:val="Hyperlink"/>
          </w:rPr>
          <w:t>Next steps</w:t>
        </w:r>
        <w:r>
          <w:rPr>
            <w:webHidden/>
          </w:rPr>
          <w:tab/>
        </w:r>
        <w:r>
          <w:rPr>
            <w:webHidden/>
          </w:rPr>
          <w:fldChar w:fldCharType="begin"/>
        </w:r>
        <w:r>
          <w:rPr>
            <w:webHidden/>
          </w:rPr>
          <w:instrText xml:space="preserve"> PAGEREF _Toc183182240 \h </w:instrText>
        </w:r>
        <w:r>
          <w:rPr>
            <w:webHidden/>
          </w:rPr>
        </w:r>
        <w:r>
          <w:rPr>
            <w:webHidden/>
          </w:rPr>
          <w:fldChar w:fldCharType="separate"/>
        </w:r>
        <w:r w:rsidR="002C084D">
          <w:rPr>
            <w:webHidden/>
          </w:rPr>
          <w:t>21</w:t>
        </w:r>
        <w:r>
          <w:rPr>
            <w:webHidden/>
          </w:rPr>
          <w:fldChar w:fldCharType="end"/>
        </w:r>
      </w:hyperlink>
    </w:p>
    <w:p w14:paraId="00D86876" w14:textId="1FA4848C" w:rsidR="00FC6FC5" w:rsidRDefault="00FC6FC5">
      <w:pPr>
        <w:pStyle w:val="TOC2"/>
        <w:tabs>
          <w:tab w:val="left" w:pos="1200"/>
        </w:tabs>
        <w:rPr>
          <w:rFonts w:eastAsiaTheme="minorEastAsia"/>
          <w:kern w:val="2"/>
          <w:sz w:val="24"/>
          <w:szCs w:val="24"/>
          <w:lang w:eastAsia="en-AU"/>
          <w14:ligatures w14:val="standardContextual"/>
        </w:rPr>
      </w:pPr>
      <w:hyperlink w:anchor="_Toc183182241" w:history="1">
        <w:r w:rsidRPr="00A52EAC">
          <w:rPr>
            <w:rStyle w:val="Hyperlink"/>
          </w:rPr>
          <w:t>4.3</w:t>
        </w:r>
        <w:r>
          <w:rPr>
            <w:rFonts w:eastAsiaTheme="minorEastAsia"/>
            <w:kern w:val="2"/>
            <w:sz w:val="24"/>
            <w:szCs w:val="24"/>
            <w:lang w:eastAsia="en-AU"/>
            <w14:ligatures w14:val="standardContextual"/>
          </w:rPr>
          <w:tab/>
        </w:r>
        <w:r w:rsidRPr="00A52EAC">
          <w:rPr>
            <w:rStyle w:val="Hyperlink"/>
          </w:rPr>
          <w:t>Contacts</w:t>
        </w:r>
        <w:r>
          <w:rPr>
            <w:webHidden/>
          </w:rPr>
          <w:tab/>
        </w:r>
        <w:r>
          <w:rPr>
            <w:webHidden/>
          </w:rPr>
          <w:fldChar w:fldCharType="begin"/>
        </w:r>
        <w:r>
          <w:rPr>
            <w:webHidden/>
          </w:rPr>
          <w:instrText xml:space="preserve"> PAGEREF _Toc183182241 \h </w:instrText>
        </w:r>
        <w:r>
          <w:rPr>
            <w:webHidden/>
          </w:rPr>
        </w:r>
        <w:r>
          <w:rPr>
            <w:webHidden/>
          </w:rPr>
          <w:fldChar w:fldCharType="separate"/>
        </w:r>
        <w:r w:rsidR="002C084D">
          <w:rPr>
            <w:webHidden/>
          </w:rPr>
          <w:t>21</w:t>
        </w:r>
        <w:r>
          <w:rPr>
            <w:webHidden/>
          </w:rPr>
          <w:fldChar w:fldCharType="end"/>
        </w:r>
      </w:hyperlink>
    </w:p>
    <w:p w14:paraId="092C38E2" w14:textId="44475B2F" w:rsidR="00FC6FC5" w:rsidRDefault="00FC6FC5">
      <w:pPr>
        <w:pStyle w:val="TOC1"/>
        <w:rPr>
          <w:rFonts w:eastAsiaTheme="minorEastAsia"/>
          <w:b w:val="0"/>
          <w:kern w:val="2"/>
          <w:sz w:val="24"/>
          <w:szCs w:val="24"/>
          <w:lang w:eastAsia="en-AU"/>
          <w14:ligatures w14:val="standardContextual"/>
        </w:rPr>
      </w:pPr>
      <w:hyperlink w:anchor="_Toc183182242" w:history="1">
        <w:r w:rsidRPr="00A52EAC">
          <w:rPr>
            <w:rStyle w:val="Hyperlink"/>
          </w:rPr>
          <w:t>Glossary</w:t>
        </w:r>
        <w:r>
          <w:rPr>
            <w:webHidden/>
          </w:rPr>
          <w:tab/>
        </w:r>
        <w:r>
          <w:rPr>
            <w:webHidden/>
          </w:rPr>
          <w:fldChar w:fldCharType="begin"/>
        </w:r>
        <w:r>
          <w:rPr>
            <w:webHidden/>
          </w:rPr>
          <w:instrText xml:space="preserve"> PAGEREF _Toc183182242 \h </w:instrText>
        </w:r>
        <w:r>
          <w:rPr>
            <w:webHidden/>
          </w:rPr>
        </w:r>
        <w:r>
          <w:rPr>
            <w:webHidden/>
          </w:rPr>
          <w:fldChar w:fldCharType="separate"/>
        </w:r>
        <w:r w:rsidR="002C084D">
          <w:rPr>
            <w:webHidden/>
          </w:rPr>
          <w:t>22</w:t>
        </w:r>
        <w:r>
          <w:rPr>
            <w:webHidden/>
          </w:rPr>
          <w:fldChar w:fldCharType="end"/>
        </w:r>
      </w:hyperlink>
    </w:p>
    <w:p w14:paraId="008EEA8F" w14:textId="1493E864" w:rsidR="00FC6FC5" w:rsidRDefault="00FC6FC5">
      <w:pPr>
        <w:pStyle w:val="TOC1"/>
        <w:rPr>
          <w:rFonts w:eastAsiaTheme="minorEastAsia"/>
          <w:b w:val="0"/>
          <w:kern w:val="2"/>
          <w:sz w:val="24"/>
          <w:szCs w:val="24"/>
          <w:lang w:eastAsia="en-AU"/>
          <w14:ligatures w14:val="standardContextual"/>
        </w:rPr>
      </w:pPr>
      <w:hyperlink w:anchor="_Toc183182243" w:history="1">
        <w:r w:rsidRPr="00A52EAC">
          <w:rPr>
            <w:rStyle w:val="Hyperlink"/>
          </w:rPr>
          <w:t>References</w:t>
        </w:r>
        <w:r>
          <w:rPr>
            <w:webHidden/>
          </w:rPr>
          <w:tab/>
        </w:r>
        <w:r>
          <w:rPr>
            <w:webHidden/>
          </w:rPr>
          <w:fldChar w:fldCharType="begin"/>
        </w:r>
        <w:r>
          <w:rPr>
            <w:webHidden/>
          </w:rPr>
          <w:instrText xml:space="preserve"> PAGEREF _Toc183182243 \h </w:instrText>
        </w:r>
        <w:r>
          <w:rPr>
            <w:webHidden/>
          </w:rPr>
        </w:r>
        <w:r>
          <w:rPr>
            <w:webHidden/>
          </w:rPr>
          <w:fldChar w:fldCharType="separate"/>
        </w:r>
        <w:r w:rsidR="002C084D">
          <w:rPr>
            <w:webHidden/>
          </w:rPr>
          <w:t>25</w:t>
        </w:r>
        <w:r>
          <w:rPr>
            <w:webHidden/>
          </w:rPr>
          <w:fldChar w:fldCharType="end"/>
        </w:r>
      </w:hyperlink>
    </w:p>
    <w:p w14:paraId="2A794622" w14:textId="77777777" w:rsidR="00FC6FC5" w:rsidRDefault="00024C0E" w:rsidP="00C52492">
      <w:pPr>
        <w:pStyle w:val="TOCHeading2"/>
        <w:rPr>
          <w:noProof/>
        </w:rPr>
      </w:pPr>
      <w:r w:rsidRPr="00497728">
        <w:fldChar w:fldCharType="end"/>
      </w:r>
      <w:r w:rsidR="00D41581">
        <w:t>Tables</w:t>
      </w:r>
      <w:r w:rsidR="001769C4">
        <w:t xml:space="preserve"> and Figures</w:t>
      </w:r>
      <w:r w:rsidR="000917C3">
        <w:fldChar w:fldCharType="begin"/>
      </w:r>
      <w:r w:rsidR="000917C3">
        <w:instrText xml:space="preserve"> TOC \h \z \c "Table" </w:instrText>
      </w:r>
      <w:r w:rsidR="000917C3">
        <w:fldChar w:fldCharType="separate"/>
      </w:r>
    </w:p>
    <w:p w14:paraId="52A718F0" w14:textId="021EFCB4" w:rsidR="00E860E0" w:rsidRDefault="00FC6FC5" w:rsidP="009C3F63">
      <w:pPr>
        <w:pStyle w:val="TableofFigures"/>
        <w:tabs>
          <w:tab w:val="right" w:leader="dot" w:pos="9060"/>
        </w:tabs>
      </w:pPr>
      <w:hyperlink w:anchor="_Toc183182245" w:history="1">
        <w:r w:rsidRPr="002B40BF">
          <w:rPr>
            <w:rStyle w:val="Hyperlink"/>
            <w:noProof/>
          </w:rPr>
          <w:t>Table 1 Sectors and Australian-based sustainability frameworks</w:t>
        </w:r>
        <w:r>
          <w:rPr>
            <w:noProof/>
            <w:webHidden/>
          </w:rPr>
          <w:tab/>
        </w:r>
        <w:r>
          <w:rPr>
            <w:noProof/>
            <w:webHidden/>
          </w:rPr>
          <w:fldChar w:fldCharType="begin"/>
        </w:r>
        <w:r>
          <w:rPr>
            <w:noProof/>
            <w:webHidden/>
          </w:rPr>
          <w:instrText xml:space="preserve"> PAGEREF _Toc183182245 \h </w:instrText>
        </w:r>
        <w:r>
          <w:rPr>
            <w:noProof/>
            <w:webHidden/>
          </w:rPr>
        </w:r>
        <w:r>
          <w:rPr>
            <w:noProof/>
            <w:webHidden/>
          </w:rPr>
          <w:fldChar w:fldCharType="separate"/>
        </w:r>
        <w:r w:rsidR="002C084D">
          <w:rPr>
            <w:noProof/>
            <w:webHidden/>
          </w:rPr>
          <w:t>17</w:t>
        </w:r>
        <w:r>
          <w:rPr>
            <w:noProof/>
            <w:webHidden/>
          </w:rPr>
          <w:fldChar w:fldCharType="end"/>
        </w:r>
      </w:hyperlink>
      <w:r w:rsidR="000917C3">
        <w:fldChar w:fldCharType="end"/>
      </w:r>
    </w:p>
    <w:p w14:paraId="30A3F274" w14:textId="6B0DB7EB" w:rsidR="00FC6FC5" w:rsidRDefault="005C60FD">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"Figure" </w:instrText>
      </w:r>
      <w:r>
        <w:fldChar w:fldCharType="separate"/>
      </w:r>
      <w:hyperlink w:anchor="_Toc183182244" w:history="1">
        <w:r w:rsidR="00FC6FC5" w:rsidRPr="00E85723">
          <w:rPr>
            <w:rStyle w:val="Hyperlink"/>
            <w:noProof/>
          </w:rPr>
          <w:t>Figure 1 Governance framework of the AATGG</w:t>
        </w:r>
        <w:r w:rsidR="00FC6FC5">
          <w:rPr>
            <w:noProof/>
            <w:webHidden/>
          </w:rPr>
          <w:tab/>
        </w:r>
        <w:r w:rsidR="00FC6FC5">
          <w:rPr>
            <w:noProof/>
            <w:webHidden/>
          </w:rPr>
          <w:fldChar w:fldCharType="begin"/>
        </w:r>
        <w:r w:rsidR="00FC6FC5">
          <w:rPr>
            <w:noProof/>
            <w:webHidden/>
          </w:rPr>
          <w:instrText xml:space="preserve"> PAGEREF _Toc183182244 \h </w:instrText>
        </w:r>
        <w:r w:rsidR="00FC6FC5">
          <w:rPr>
            <w:noProof/>
            <w:webHidden/>
          </w:rPr>
        </w:r>
        <w:r w:rsidR="00FC6FC5">
          <w:rPr>
            <w:noProof/>
            <w:webHidden/>
          </w:rPr>
          <w:fldChar w:fldCharType="separate"/>
        </w:r>
        <w:r w:rsidR="002C084D">
          <w:rPr>
            <w:noProof/>
            <w:webHidden/>
          </w:rPr>
          <w:t>2</w:t>
        </w:r>
        <w:r w:rsidR="00FC6FC5">
          <w:rPr>
            <w:noProof/>
            <w:webHidden/>
          </w:rPr>
          <w:fldChar w:fldCharType="end"/>
        </w:r>
      </w:hyperlink>
    </w:p>
    <w:p w14:paraId="218EF64F" w14:textId="1C99095C" w:rsidR="00764D6A" w:rsidRPr="00497728" w:rsidRDefault="005C60FD">
      <w:pPr>
        <w:sectPr w:rsidR="00764D6A" w:rsidRPr="00497728" w:rsidSect="00C22DED">
          <w:headerReference w:type="even" r:id="rId16"/>
          <w:headerReference w:type="default" r:id="rId17"/>
          <w:footerReference w:type="even"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r>
        <w:fldChar w:fldCharType="end"/>
      </w:r>
    </w:p>
    <w:p w14:paraId="048BE7BB" w14:textId="47BF0E36" w:rsidR="00764D6A" w:rsidRPr="00497728" w:rsidRDefault="00C87948" w:rsidP="005212EA">
      <w:pPr>
        <w:pStyle w:val="Heading2"/>
      </w:pPr>
      <w:bookmarkStart w:id="0" w:name="_Toc161329265"/>
      <w:bookmarkStart w:id="1" w:name="_Toc183182208"/>
      <w:r w:rsidRPr="00497728">
        <w:lastRenderedPageBreak/>
        <w:t>Background</w:t>
      </w:r>
      <w:bookmarkEnd w:id="0"/>
      <w:bookmarkEnd w:id="1"/>
    </w:p>
    <w:p w14:paraId="7B284A2B" w14:textId="1D2F570A" w:rsidR="00226D6E" w:rsidRPr="00497728" w:rsidRDefault="00226D6E" w:rsidP="00226D6E">
      <w:pPr>
        <w:rPr>
          <w:color w:val="000000" w:themeColor="text1"/>
        </w:rPr>
      </w:pPr>
      <w:r w:rsidRPr="00497728">
        <w:rPr>
          <w:color w:val="000000" w:themeColor="text1"/>
        </w:rPr>
        <w:t xml:space="preserve">The Australian Agricultural Traceability Alliance is a coalition of partners </w:t>
      </w:r>
      <w:r w:rsidR="00E23C23">
        <w:rPr>
          <w:color w:val="000000" w:themeColor="text1"/>
        </w:rPr>
        <w:t>with</w:t>
      </w:r>
      <w:r w:rsidRPr="00497728">
        <w:rPr>
          <w:color w:val="000000" w:themeColor="text1"/>
        </w:rPr>
        <w:t xml:space="preserve"> an interest in enhancing national agricultural traceability. Partners include producers, value-adding businesses, state and territory governments, logistics firms, data services providers, processors, exporters, researchers and retailers.</w:t>
      </w:r>
    </w:p>
    <w:p w14:paraId="53B249A2" w14:textId="5090E116" w:rsidR="00226D6E" w:rsidRPr="00497728" w:rsidRDefault="007140BC" w:rsidP="00226D6E">
      <w:pPr>
        <w:rPr>
          <w:color w:val="000000" w:themeColor="text1"/>
        </w:rPr>
      </w:pPr>
      <w:r>
        <w:rPr>
          <w:color w:val="000000" w:themeColor="text1"/>
        </w:rPr>
        <w:t xml:space="preserve">The Department of Agriculture, Forestry and Fisheries formed the </w:t>
      </w:r>
      <w:r w:rsidR="00226D6E" w:rsidRPr="00497728">
        <w:rPr>
          <w:color w:val="000000" w:themeColor="text1"/>
        </w:rPr>
        <w:t>Australian Agricultural Traceability Governance Group (AATGG)</w:t>
      </w:r>
      <w:r w:rsidR="0094076A">
        <w:rPr>
          <w:color w:val="000000" w:themeColor="text1"/>
        </w:rPr>
        <w:t>.</w:t>
      </w:r>
      <w:r w:rsidR="00226D6E" w:rsidRPr="00497728">
        <w:rPr>
          <w:color w:val="000000" w:themeColor="text1"/>
        </w:rPr>
        <w:t xml:space="preserve"> </w:t>
      </w:r>
      <w:r w:rsidR="0094076A">
        <w:rPr>
          <w:color w:val="000000" w:themeColor="text1"/>
        </w:rPr>
        <w:t>It is</w:t>
      </w:r>
      <w:r w:rsidR="00226D6E" w:rsidRPr="00497728">
        <w:rPr>
          <w:color w:val="000000" w:themeColor="text1"/>
        </w:rPr>
        <w:t xml:space="preserve"> part of a broader governance framework for the </w:t>
      </w:r>
      <w:r w:rsidR="00397E9A" w:rsidRPr="00497728">
        <w:rPr>
          <w:color w:val="000000" w:themeColor="text1"/>
        </w:rPr>
        <w:t>a</w:t>
      </w:r>
      <w:r w:rsidR="00226D6E" w:rsidRPr="00497728">
        <w:rPr>
          <w:color w:val="000000" w:themeColor="text1"/>
        </w:rPr>
        <w:t xml:space="preserve">lliance to </w:t>
      </w:r>
      <w:r w:rsidR="0094076A">
        <w:rPr>
          <w:color w:val="000000" w:themeColor="text1"/>
        </w:rPr>
        <w:t>help</w:t>
      </w:r>
      <w:r w:rsidR="00226D6E" w:rsidRPr="00497728">
        <w:rPr>
          <w:color w:val="000000" w:themeColor="text1"/>
        </w:rPr>
        <w:t xml:space="preserve"> develop and implement the </w:t>
      </w:r>
      <w:r w:rsidR="00226D6E" w:rsidRPr="00497728">
        <w:rPr>
          <w:i/>
          <w:iCs/>
          <w:color w:val="000000" w:themeColor="text1"/>
        </w:rPr>
        <w:t>National Agricultural Traceability Strategy 2023 to 2033</w:t>
      </w:r>
      <w:r w:rsidR="00226D6E" w:rsidRPr="00497728">
        <w:rPr>
          <w:color w:val="000000" w:themeColor="text1"/>
        </w:rPr>
        <w:t>.</w:t>
      </w:r>
    </w:p>
    <w:p w14:paraId="39382FCD" w14:textId="6117E2FB" w:rsidR="00243E99" w:rsidRPr="00497728" w:rsidRDefault="00243E99" w:rsidP="00C95A6C">
      <w:r w:rsidRPr="00497728">
        <w:t xml:space="preserve">The </w:t>
      </w:r>
      <w:r w:rsidRPr="00497728">
        <w:rPr>
          <w:rStyle w:val="Emphasis"/>
        </w:rPr>
        <w:t>National Agricultural Traceability Strategy Implementation Plan</w:t>
      </w:r>
      <w:r w:rsidRPr="00497728">
        <w:t xml:space="preserve"> guides </w:t>
      </w:r>
      <w:r w:rsidR="00F12AB3" w:rsidRPr="00497728">
        <w:t xml:space="preserve">the Australian Government’s </w:t>
      </w:r>
      <w:r w:rsidRPr="00497728">
        <w:t>$100</w:t>
      </w:r>
      <w:r w:rsidR="0009611D" w:rsidRPr="00497728">
        <w:t> </w:t>
      </w:r>
      <w:r w:rsidRPr="00497728">
        <w:t xml:space="preserve">million </w:t>
      </w:r>
      <w:r w:rsidR="00F12AB3" w:rsidRPr="00497728">
        <w:t xml:space="preserve">investment </w:t>
      </w:r>
      <w:r w:rsidRPr="00497728">
        <w:t xml:space="preserve">in Australia’s agricultural traceability systems. This investment builds on the already strong traceability frameworks, especially around food safety, </w:t>
      </w:r>
      <w:r w:rsidR="00D8486F" w:rsidRPr="00497728">
        <w:t xml:space="preserve">food </w:t>
      </w:r>
      <w:r w:rsidRPr="00497728">
        <w:t>provenance and biosecurity.</w:t>
      </w:r>
    </w:p>
    <w:p w14:paraId="0B467686" w14:textId="40D6ECB1" w:rsidR="00E35753" w:rsidRPr="00497728" w:rsidRDefault="00E35753" w:rsidP="00E35753">
      <w:pPr>
        <w:rPr>
          <w:color w:val="000000" w:themeColor="text1"/>
        </w:rPr>
      </w:pPr>
      <w:r w:rsidRPr="00497728">
        <w:rPr>
          <w:color w:val="000000" w:themeColor="text1"/>
        </w:rPr>
        <w:t>The</w:t>
      </w:r>
      <w:r w:rsidR="00DB726B">
        <w:rPr>
          <w:color w:val="000000" w:themeColor="text1"/>
        </w:rPr>
        <w:t xml:space="preserve"> AATGG coordinates and governs the </w:t>
      </w:r>
      <w:r w:rsidRPr="00497728">
        <w:rPr>
          <w:color w:val="000000" w:themeColor="text1"/>
        </w:rPr>
        <w:t>Australian Agricultural Traceability Assuring Sustainability Claims Working Group (ASCWG)</w:t>
      </w:r>
      <w:r w:rsidR="00DB726B">
        <w:rPr>
          <w:color w:val="000000" w:themeColor="text1"/>
        </w:rPr>
        <w:t>. The ASCWG</w:t>
      </w:r>
      <w:r w:rsidRPr="00497728">
        <w:rPr>
          <w:color w:val="000000" w:themeColor="text1"/>
        </w:rPr>
        <w:t xml:space="preserve"> is one of </w:t>
      </w:r>
      <w:r w:rsidR="005B4F3A" w:rsidRPr="00497728">
        <w:rPr>
          <w:color w:val="000000" w:themeColor="text1"/>
        </w:rPr>
        <w:t>3</w:t>
      </w:r>
      <w:r w:rsidRPr="00497728">
        <w:rPr>
          <w:color w:val="000000" w:themeColor="text1"/>
        </w:rPr>
        <w:t xml:space="preserve"> </w:t>
      </w:r>
      <w:r w:rsidR="009A2D1F" w:rsidRPr="00497728">
        <w:rPr>
          <w:color w:val="000000" w:themeColor="text1"/>
        </w:rPr>
        <w:t>w</w:t>
      </w:r>
      <w:r w:rsidRPr="00497728">
        <w:rPr>
          <w:color w:val="000000" w:themeColor="text1"/>
        </w:rPr>
        <w:t xml:space="preserve">orking </w:t>
      </w:r>
      <w:r w:rsidR="009A2D1F" w:rsidRPr="00497728">
        <w:rPr>
          <w:color w:val="000000" w:themeColor="text1"/>
        </w:rPr>
        <w:t>g</w:t>
      </w:r>
      <w:r w:rsidRPr="00497728">
        <w:rPr>
          <w:color w:val="000000" w:themeColor="text1"/>
        </w:rPr>
        <w:t xml:space="preserve">roups that will </w:t>
      </w:r>
      <w:r w:rsidR="00DB726B">
        <w:rPr>
          <w:color w:val="000000" w:themeColor="text1"/>
        </w:rPr>
        <w:t xml:space="preserve">advise </w:t>
      </w:r>
      <w:r w:rsidRPr="00497728">
        <w:rPr>
          <w:color w:val="000000" w:themeColor="text1"/>
        </w:rPr>
        <w:t xml:space="preserve">the AATGG </w:t>
      </w:r>
      <w:r w:rsidR="000E65D5">
        <w:rPr>
          <w:color w:val="000000" w:themeColor="text1"/>
        </w:rPr>
        <w:t>on</w:t>
      </w:r>
      <w:r w:rsidRPr="00497728">
        <w:rPr>
          <w:color w:val="000000" w:themeColor="text1"/>
        </w:rPr>
        <w:t xml:space="preserve"> </w:t>
      </w:r>
      <w:r w:rsidR="000E65D5" w:rsidRPr="00497728">
        <w:rPr>
          <w:color w:val="000000" w:themeColor="text1"/>
        </w:rPr>
        <w:t>implementing</w:t>
      </w:r>
      <w:r w:rsidRPr="00497728">
        <w:rPr>
          <w:color w:val="000000" w:themeColor="text1"/>
        </w:rPr>
        <w:t xml:space="preserve"> the </w:t>
      </w:r>
      <w:r w:rsidR="005B4F3A" w:rsidRPr="00497728">
        <w:rPr>
          <w:color w:val="000000" w:themeColor="text1"/>
        </w:rPr>
        <w:t>s</w:t>
      </w:r>
      <w:r w:rsidRPr="00497728">
        <w:rPr>
          <w:color w:val="000000" w:themeColor="text1"/>
        </w:rPr>
        <w:t xml:space="preserve">trategy. </w:t>
      </w:r>
      <w:r w:rsidR="000E65D5">
        <w:rPr>
          <w:color w:val="000000" w:themeColor="text1"/>
        </w:rPr>
        <w:t>T</w:t>
      </w:r>
      <w:r w:rsidRPr="00497728">
        <w:rPr>
          <w:color w:val="000000" w:themeColor="text1"/>
        </w:rPr>
        <w:t xml:space="preserve">he AATGG seeks to ensure effective and non-duplicative efforts </w:t>
      </w:r>
      <w:r w:rsidR="00131429">
        <w:rPr>
          <w:color w:val="000000" w:themeColor="text1"/>
        </w:rPr>
        <w:t>on</w:t>
      </w:r>
      <w:r w:rsidRPr="00497728">
        <w:rPr>
          <w:color w:val="000000" w:themeColor="text1"/>
        </w:rPr>
        <w:t xml:space="preserve"> agricultural traceability in Australia</w:t>
      </w:r>
      <w:r w:rsidR="00131429">
        <w:rPr>
          <w:color w:val="000000" w:themeColor="text1"/>
        </w:rPr>
        <w:t xml:space="preserve"> through coordinated implementation</w:t>
      </w:r>
      <w:r w:rsidRPr="00497728">
        <w:rPr>
          <w:color w:val="000000" w:themeColor="text1"/>
        </w:rPr>
        <w:t>.</w:t>
      </w:r>
    </w:p>
    <w:p w14:paraId="11BDA4B7" w14:textId="4B0D0477" w:rsidR="00F12AB3" w:rsidRPr="00497728" w:rsidRDefault="00BB535C" w:rsidP="00BB535C">
      <w:pPr>
        <w:rPr>
          <w:color w:val="000000" w:themeColor="text1"/>
        </w:rPr>
      </w:pPr>
      <w:r w:rsidRPr="00497728">
        <w:rPr>
          <w:color w:val="000000" w:themeColor="text1"/>
        </w:rPr>
        <w:t xml:space="preserve">Each AATGG </w:t>
      </w:r>
      <w:r w:rsidR="00F12AB3" w:rsidRPr="00497728">
        <w:rPr>
          <w:color w:val="000000" w:themeColor="text1"/>
        </w:rPr>
        <w:t>w</w:t>
      </w:r>
      <w:r w:rsidRPr="00497728">
        <w:rPr>
          <w:color w:val="000000" w:themeColor="text1"/>
        </w:rPr>
        <w:t xml:space="preserve">orking </w:t>
      </w:r>
      <w:r w:rsidR="00F12AB3" w:rsidRPr="00497728">
        <w:rPr>
          <w:color w:val="000000" w:themeColor="text1"/>
        </w:rPr>
        <w:t>g</w:t>
      </w:r>
      <w:r w:rsidRPr="00497728">
        <w:rPr>
          <w:color w:val="000000" w:themeColor="text1"/>
        </w:rPr>
        <w:t xml:space="preserve">roup has been tasked </w:t>
      </w:r>
      <w:r w:rsidR="000A305F" w:rsidRPr="00497728">
        <w:rPr>
          <w:color w:val="000000" w:themeColor="text1"/>
        </w:rPr>
        <w:t xml:space="preserve">to engage broadly with stakeholders to prepare </w:t>
      </w:r>
      <w:r w:rsidRPr="00497728">
        <w:rPr>
          <w:color w:val="000000" w:themeColor="text1"/>
        </w:rPr>
        <w:t xml:space="preserve">a discussion paper to inform the </w:t>
      </w:r>
      <w:r w:rsidR="005B4F3A" w:rsidRPr="00497728">
        <w:rPr>
          <w:color w:val="000000" w:themeColor="text1"/>
        </w:rPr>
        <w:t>s</w:t>
      </w:r>
      <w:r w:rsidRPr="00497728">
        <w:rPr>
          <w:color w:val="000000" w:themeColor="text1"/>
        </w:rPr>
        <w:t>trategy</w:t>
      </w:r>
      <w:r w:rsidR="00FF1723">
        <w:rPr>
          <w:color w:val="000000" w:themeColor="text1"/>
        </w:rPr>
        <w:t>’s implementation</w:t>
      </w:r>
      <w:r w:rsidRPr="00497728">
        <w:rPr>
          <w:color w:val="000000" w:themeColor="text1"/>
        </w:rPr>
        <w:t>. The topics being explored are</w:t>
      </w:r>
      <w:r w:rsidR="00F12AB3" w:rsidRPr="00497728">
        <w:rPr>
          <w:color w:val="000000" w:themeColor="text1"/>
        </w:rPr>
        <w:t>:</w:t>
      </w:r>
    </w:p>
    <w:p w14:paraId="0ACDC4DD" w14:textId="237D91F8" w:rsidR="00F12AB3" w:rsidRPr="00497728" w:rsidRDefault="00BB535C" w:rsidP="00F12AB3">
      <w:pPr>
        <w:pStyle w:val="ListBullet"/>
      </w:pPr>
      <w:r w:rsidRPr="00497728">
        <w:t xml:space="preserve">data interoperability </w:t>
      </w:r>
      <w:r w:rsidR="00232878" w:rsidRPr="00497728">
        <w:t xml:space="preserve">standards </w:t>
      </w:r>
      <w:r w:rsidRPr="00497728">
        <w:t>to support traceability</w:t>
      </w:r>
      <w:r w:rsidR="00E518E0" w:rsidRPr="00497728">
        <w:t xml:space="preserve"> (Data Standards Working Group)</w:t>
      </w:r>
    </w:p>
    <w:p w14:paraId="196D9487" w14:textId="7BAA944F" w:rsidR="00F12AB3" w:rsidRPr="00497728" w:rsidRDefault="00BB535C" w:rsidP="00F12AB3">
      <w:pPr>
        <w:pStyle w:val="ListBullet"/>
      </w:pPr>
      <w:r w:rsidRPr="00497728">
        <w:t xml:space="preserve">assuring </w:t>
      </w:r>
      <w:r w:rsidR="00232878" w:rsidRPr="00497728">
        <w:t xml:space="preserve">agricultural </w:t>
      </w:r>
      <w:r w:rsidRPr="00497728">
        <w:t>sustainability claims</w:t>
      </w:r>
      <w:r w:rsidR="00E518E0" w:rsidRPr="00497728">
        <w:t xml:space="preserve"> (</w:t>
      </w:r>
      <w:r w:rsidR="0095007D" w:rsidRPr="00497728">
        <w:t>ASCWG</w:t>
      </w:r>
      <w:r w:rsidR="00E518E0" w:rsidRPr="00497728">
        <w:t>)</w:t>
      </w:r>
    </w:p>
    <w:p w14:paraId="49FB12F4" w14:textId="5A08A697" w:rsidR="00F12AB3" w:rsidRPr="00497728" w:rsidRDefault="004A5DFF" w:rsidP="00F12AB3">
      <w:pPr>
        <w:pStyle w:val="ListBullet"/>
      </w:pPr>
      <w:r w:rsidRPr="00497728">
        <w:t xml:space="preserve">understanding </w:t>
      </w:r>
      <w:r w:rsidR="00BB535C" w:rsidRPr="00497728">
        <w:t>research and development needs</w:t>
      </w:r>
      <w:r w:rsidR="00E518E0" w:rsidRPr="00497728">
        <w:t xml:space="preserve"> (Research and Development Working Group)</w:t>
      </w:r>
      <w:r w:rsidR="00BB535C" w:rsidRPr="00497728">
        <w:t>.</w:t>
      </w:r>
    </w:p>
    <w:p w14:paraId="4FFE144D" w14:textId="1DB466FE" w:rsidR="00BB535C" w:rsidRPr="00497728" w:rsidRDefault="005A35CA" w:rsidP="00F12AB3">
      <w:r w:rsidRPr="00497728">
        <w:fldChar w:fldCharType="begin"/>
      </w:r>
      <w:r w:rsidRPr="00497728">
        <w:instrText xml:space="preserve"> REF _Ref182250142 \h </w:instrText>
      </w:r>
      <w:r w:rsidR="00C54CBA" w:rsidRPr="00497728">
        <w:instrText xml:space="preserve"> \* MERGEFORMAT </w:instrText>
      </w:r>
      <w:r w:rsidRPr="00497728">
        <w:fldChar w:fldCharType="separate"/>
      </w:r>
      <w:r w:rsidR="002C084D" w:rsidRPr="00497728">
        <w:t xml:space="preserve">Figure </w:t>
      </w:r>
      <w:r w:rsidR="002C084D">
        <w:rPr>
          <w:noProof/>
        </w:rPr>
        <w:t>1</w:t>
      </w:r>
      <w:r w:rsidRPr="00497728">
        <w:fldChar w:fldCharType="end"/>
      </w:r>
      <w:r w:rsidRPr="00497728">
        <w:t xml:space="preserve"> </w:t>
      </w:r>
      <w:r w:rsidR="00AF7DE9" w:rsidRPr="00497728">
        <w:t>provides an overview of the governance framework.</w:t>
      </w:r>
    </w:p>
    <w:p w14:paraId="0AC4024D" w14:textId="7637A2D7" w:rsidR="00C7605D" w:rsidRPr="00497728" w:rsidRDefault="00C7605D" w:rsidP="00C7605D">
      <w:pPr>
        <w:pStyle w:val="Caption"/>
      </w:pPr>
      <w:bookmarkStart w:id="2" w:name="_Ref182250142"/>
      <w:bookmarkStart w:id="3" w:name="_Toc183182244"/>
      <w:r w:rsidRPr="00497728">
        <w:lastRenderedPageBreak/>
        <w:t xml:space="preserve">Figure </w:t>
      </w:r>
      <w:r>
        <w:fldChar w:fldCharType="begin"/>
      </w:r>
      <w:r>
        <w:instrText xml:space="preserve"> SEQ Figure \* ARABIC </w:instrText>
      </w:r>
      <w:r>
        <w:fldChar w:fldCharType="separate"/>
      </w:r>
      <w:r w:rsidR="002C084D">
        <w:rPr>
          <w:noProof/>
        </w:rPr>
        <w:t>1</w:t>
      </w:r>
      <w:r>
        <w:rPr>
          <w:noProof/>
        </w:rPr>
        <w:fldChar w:fldCharType="end"/>
      </w:r>
      <w:bookmarkEnd w:id="2"/>
      <w:r w:rsidRPr="00497728">
        <w:t xml:space="preserve"> Governance framework of the AATGG</w:t>
      </w:r>
      <w:bookmarkEnd w:id="3"/>
    </w:p>
    <w:p w14:paraId="45C7F3CD" w14:textId="77777777" w:rsidR="00075BBD" w:rsidRDefault="00611C49" w:rsidP="00051867">
      <w:pPr>
        <w:rPr>
          <w:color w:val="000000" w:themeColor="text1"/>
        </w:rPr>
      </w:pPr>
      <w:r w:rsidRPr="00497728">
        <w:rPr>
          <w:noProof/>
          <w:color w:val="000000" w:themeColor="text1"/>
        </w:rPr>
        <w:drawing>
          <wp:inline distT="0" distB="0" distL="0" distR="0" wp14:anchorId="0D88239A" wp14:editId="492F40E7">
            <wp:extent cx="5324475" cy="4358408"/>
            <wp:effectExtent l="0" t="0" r="0" b="4445"/>
            <wp:docPr id="1425885523" name="Picture 1" descr="The Australian Agricultural Traceability Alliance is a coalition of partners, who have a deep interest in enhancing national agricultural traceability and provide industry-led strategic advice focused on traceability.&#10;The Australian Agricultural Traceability Governance Group (AATGG) provides the governance framework for the Alliance and is supported by 4 industry-led technical advisory groups: Assuring Sustainability Working Group, Data standards Working Group, Strategic Reference Group and R and D Working Group. Other working groups are established a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85523" name="Picture 1" descr="The Australian Agricultural Traceability Alliance is a coalition of partners, who have a deep interest in enhancing national agricultural traceability and provide industry-led strategic advice focused on traceability.&#10;The Australian Agricultural Traceability Governance Group (AATGG) provides the governance framework for the Alliance and is supported by 4 industry-led technical advisory groups: Assuring Sustainability Working Group, Data standards Working Group, Strategic Reference Group and R and D Working Group. Other working groups are established as requir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49426" cy="4378832"/>
                    </a:xfrm>
                    <a:prstGeom prst="rect">
                      <a:avLst/>
                    </a:prstGeom>
                  </pic:spPr>
                </pic:pic>
              </a:graphicData>
            </a:graphic>
          </wp:inline>
        </w:drawing>
      </w:r>
    </w:p>
    <w:p w14:paraId="48ECDDC5" w14:textId="4E9CAD94" w:rsidR="00051867" w:rsidRPr="00497728" w:rsidRDefault="00075BBD" w:rsidP="00051867">
      <w:pPr>
        <w:rPr>
          <w:color w:val="000000" w:themeColor="text1"/>
        </w:rPr>
      </w:pPr>
      <w:r>
        <w:rPr>
          <w:color w:val="000000" w:themeColor="text1"/>
        </w:rPr>
        <w:t>T</w:t>
      </w:r>
      <w:r w:rsidR="00051867" w:rsidRPr="00497728">
        <w:rPr>
          <w:color w:val="000000" w:themeColor="text1"/>
        </w:rPr>
        <w:t xml:space="preserve">he ASCWG </w:t>
      </w:r>
      <w:r>
        <w:rPr>
          <w:color w:val="000000" w:themeColor="text1"/>
        </w:rPr>
        <w:t>has members</w:t>
      </w:r>
      <w:r w:rsidR="00051867" w:rsidRPr="00497728">
        <w:rPr>
          <w:color w:val="000000" w:themeColor="text1"/>
        </w:rPr>
        <w:t xml:space="preserve"> from governments, the private sector, industry, </w:t>
      </w:r>
      <w:r w:rsidR="00A674C7">
        <w:rPr>
          <w:color w:val="000000" w:themeColor="text1"/>
        </w:rPr>
        <w:t xml:space="preserve">and </w:t>
      </w:r>
      <w:r w:rsidR="00051867" w:rsidRPr="00497728">
        <w:rPr>
          <w:color w:val="000000" w:themeColor="text1"/>
        </w:rPr>
        <w:t>the research</w:t>
      </w:r>
      <w:r w:rsidR="00A674C7">
        <w:rPr>
          <w:color w:val="000000" w:themeColor="text1"/>
        </w:rPr>
        <w:t xml:space="preserve"> and</w:t>
      </w:r>
      <w:r w:rsidR="00051867" w:rsidRPr="00497728">
        <w:rPr>
          <w:color w:val="000000" w:themeColor="text1"/>
        </w:rPr>
        <w:t xml:space="preserve"> communit</w:t>
      </w:r>
      <w:r w:rsidR="00A674C7">
        <w:rPr>
          <w:color w:val="000000" w:themeColor="text1"/>
        </w:rPr>
        <w:t>ies.</w:t>
      </w:r>
      <w:r w:rsidR="00051867" w:rsidRPr="00497728">
        <w:rPr>
          <w:color w:val="000000" w:themeColor="text1"/>
        </w:rPr>
        <w:t xml:space="preserve"> It is co-chaired by the NFF and CSIRO</w:t>
      </w:r>
      <w:r w:rsidR="000B5895" w:rsidRPr="00497728">
        <w:rPr>
          <w:color w:val="000000" w:themeColor="text1"/>
        </w:rPr>
        <w:t>. T</w:t>
      </w:r>
      <w:r w:rsidR="00051867" w:rsidRPr="00497728">
        <w:rPr>
          <w:color w:val="000000" w:themeColor="text1"/>
        </w:rPr>
        <w:t>he NFF provides the secretariat</w:t>
      </w:r>
      <w:r w:rsidR="000B5895" w:rsidRPr="00497728">
        <w:rPr>
          <w:color w:val="000000" w:themeColor="text1"/>
        </w:rPr>
        <w:t xml:space="preserve"> to the working group</w:t>
      </w:r>
      <w:r w:rsidR="00051867" w:rsidRPr="00497728">
        <w:rPr>
          <w:color w:val="000000" w:themeColor="text1"/>
        </w:rPr>
        <w:t>.</w:t>
      </w:r>
    </w:p>
    <w:p w14:paraId="1BC74B32" w14:textId="04F3DD15" w:rsidR="00F256D8" w:rsidRPr="00497728" w:rsidRDefault="00AE54C4" w:rsidP="005212EA">
      <w:pPr>
        <w:pStyle w:val="Heading3"/>
      </w:pPr>
      <w:bookmarkStart w:id="4" w:name="_Toc183182209"/>
      <w:r w:rsidRPr="00497728">
        <w:t>W</w:t>
      </w:r>
      <w:r w:rsidR="00F256D8" w:rsidRPr="00497728">
        <w:t>orking group</w:t>
      </w:r>
      <w:bookmarkEnd w:id="4"/>
    </w:p>
    <w:p w14:paraId="4204B73E" w14:textId="2D57C68E" w:rsidR="00051867" w:rsidRPr="00497728" w:rsidRDefault="00051867" w:rsidP="00051867">
      <w:pPr>
        <w:rPr>
          <w:color w:val="000000" w:themeColor="text1"/>
        </w:rPr>
      </w:pPr>
      <w:r w:rsidRPr="00497728">
        <w:rPr>
          <w:color w:val="000000" w:themeColor="text1"/>
        </w:rPr>
        <w:t xml:space="preserve">The ASCWG has </w:t>
      </w:r>
      <w:r w:rsidR="00D4362E">
        <w:rPr>
          <w:color w:val="000000" w:themeColor="text1"/>
        </w:rPr>
        <w:t xml:space="preserve">the responsibility to </w:t>
      </w:r>
      <w:r w:rsidR="001F1730" w:rsidRPr="00497728">
        <w:rPr>
          <w:color w:val="000000" w:themeColor="text1"/>
        </w:rPr>
        <w:t>help</w:t>
      </w:r>
      <w:r w:rsidR="00864062" w:rsidRPr="00497728">
        <w:rPr>
          <w:color w:val="000000" w:themeColor="text1"/>
        </w:rPr>
        <w:t xml:space="preserve"> </w:t>
      </w:r>
      <w:r w:rsidRPr="00497728">
        <w:rPr>
          <w:color w:val="000000" w:themeColor="text1"/>
        </w:rPr>
        <w:t>Australian agricultur</w:t>
      </w:r>
      <w:r w:rsidR="00864062" w:rsidRPr="00497728">
        <w:rPr>
          <w:color w:val="000000" w:themeColor="text1"/>
        </w:rPr>
        <w:t>al industry</w:t>
      </w:r>
      <w:r w:rsidRPr="00497728">
        <w:rPr>
          <w:color w:val="000000" w:themeColor="text1"/>
        </w:rPr>
        <w:t xml:space="preserve"> </w:t>
      </w:r>
      <w:r w:rsidR="007E05D1">
        <w:rPr>
          <w:color w:val="000000" w:themeColor="text1"/>
        </w:rPr>
        <w:t>prove</w:t>
      </w:r>
      <w:r w:rsidRPr="00497728">
        <w:rPr>
          <w:color w:val="000000" w:themeColor="text1"/>
        </w:rPr>
        <w:t xml:space="preserve"> its sustainability and provide assurance that evidence </w:t>
      </w:r>
      <w:r w:rsidR="00864062" w:rsidRPr="00497728">
        <w:rPr>
          <w:color w:val="000000" w:themeColor="text1"/>
        </w:rPr>
        <w:t xml:space="preserve">exists </w:t>
      </w:r>
      <w:r w:rsidRPr="00497728">
        <w:rPr>
          <w:color w:val="000000" w:themeColor="text1"/>
        </w:rPr>
        <w:t>to support sustainability credential</w:t>
      </w:r>
      <w:r w:rsidR="00864062" w:rsidRPr="00497728">
        <w:rPr>
          <w:color w:val="000000" w:themeColor="text1"/>
        </w:rPr>
        <w:t xml:space="preserve"> claims</w:t>
      </w:r>
      <w:r w:rsidRPr="00497728">
        <w:rPr>
          <w:color w:val="000000" w:themeColor="text1"/>
        </w:rPr>
        <w:t xml:space="preserve">. </w:t>
      </w:r>
      <w:r w:rsidR="00864062" w:rsidRPr="00497728">
        <w:rPr>
          <w:color w:val="000000" w:themeColor="text1"/>
        </w:rPr>
        <w:t>T</w:t>
      </w:r>
      <w:r w:rsidRPr="00497728">
        <w:rPr>
          <w:color w:val="000000" w:themeColor="text1"/>
        </w:rPr>
        <w:t xml:space="preserve">raceability is a critical factor in enabling </w:t>
      </w:r>
      <w:r w:rsidR="00C76C79" w:rsidRPr="00497728">
        <w:rPr>
          <w:color w:val="000000" w:themeColor="text1"/>
        </w:rPr>
        <w:t xml:space="preserve">assurance of </w:t>
      </w:r>
      <w:r w:rsidRPr="00497728">
        <w:rPr>
          <w:color w:val="000000" w:themeColor="text1"/>
        </w:rPr>
        <w:t>sustainability claims.</w:t>
      </w:r>
    </w:p>
    <w:p w14:paraId="256F146E" w14:textId="77777777" w:rsidR="0088600D" w:rsidRDefault="007144C5" w:rsidP="00497728">
      <w:r w:rsidRPr="00497728">
        <w:rPr>
          <w:color w:val="000000" w:themeColor="text1"/>
        </w:rPr>
        <w:t xml:space="preserve">ASCWG’s success will be measured </w:t>
      </w:r>
      <w:r w:rsidR="00086691" w:rsidRPr="00497728">
        <w:rPr>
          <w:color w:val="000000" w:themeColor="text1"/>
        </w:rPr>
        <w:t>by</w:t>
      </w:r>
      <w:r w:rsidR="009C3BFD" w:rsidRPr="00497728">
        <w:rPr>
          <w:color w:val="000000" w:themeColor="text1"/>
        </w:rPr>
        <w:t xml:space="preserve"> </w:t>
      </w:r>
      <w:r w:rsidR="009F42EA" w:rsidRPr="00497728">
        <w:t>a</w:t>
      </w:r>
      <w:r w:rsidR="00086691" w:rsidRPr="00497728">
        <w:t>dvice</w:t>
      </w:r>
      <w:r w:rsidR="009F42EA" w:rsidRPr="00497728">
        <w:t xml:space="preserve"> provided </w:t>
      </w:r>
      <w:r w:rsidR="00086691" w:rsidRPr="00497728">
        <w:t xml:space="preserve">to the AATGG </w:t>
      </w:r>
      <w:r w:rsidR="009C3BFD" w:rsidRPr="00497728">
        <w:t>to</w:t>
      </w:r>
      <w:r w:rsidR="00086691" w:rsidRPr="00497728">
        <w:t xml:space="preserve"> inform implementation </w:t>
      </w:r>
      <w:r w:rsidR="009F42EA" w:rsidRPr="00497728">
        <w:t>of</w:t>
      </w:r>
      <w:r w:rsidR="00086691" w:rsidRPr="00497728">
        <w:t xml:space="preserve"> the strategy</w:t>
      </w:r>
      <w:r w:rsidR="00F17149" w:rsidRPr="00497728">
        <w:t>, and</w:t>
      </w:r>
      <w:r w:rsidR="009C3BFD" w:rsidRPr="00497728">
        <w:t xml:space="preserve"> </w:t>
      </w:r>
      <w:r w:rsidR="00727551" w:rsidRPr="00497728">
        <w:t>by</w:t>
      </w:r>
      <w:r w:rsidR="009C3BFD" w:rsidRPr="00497728">
        <w:t xml:space="preserve"> </w:t>
      </w:r>
      <w:r w:rsidR="00FA1088" w:rsidRPr="00497728">
        <w:t>Australia’s agricultural industry ha</w:t>
      </w:r>
      <w:r w:rsidR="00727551" w:rsidRPr="00497728">
        <w:t>ving</w:t>
      </w:r>
      <w:r w:rsidR="00C945B3" w:rsidRPr="00497728">
        <w:t xml:space="preserve"> </w:t>
      </w:r>
      <w:r w:rsidR="00FD3218" w:rsidRPr="00497728">
        <w:t xml:space="preserve">ways </w:t>
      </w:r>
      <w:r w:rsidR="00FA1088" w:rsidRPr="00497728">
        <w:t>to provide evidence</w:t>
      </w:r>
      <w:r w:rsidR="00FD3218" w:rsidRPr="00497728">
        <w:t xml:space="preserve"> that are efficient and</w:t>
      </w:r>
      <w:r w:rsidR="008A1FF2" w:rsidRPr="00497728">
        <w:t xml:space="preserve"> </w:t>
      </w:r>
      <w:r w:rsidR="006D4E82" w:rsidRPr="00497728">
        <w:t xml:space="preserve">support </w:t>
      </w:r>
      <w:r w:rsidR="00FA1088" w:rsidRPr="00497728">
        <w:t>sustainability claims.</w:t>
      </w:r>
    </w:p>
    <w:p w14:paraId="152B0BA9" w14:textId="03D14B20" w:rsidR="00FA1088" w:rsidRPr="00497728" w:rsidRDefault="00FA1088" w:rsidP="00497728">
      <w:pPr>
        <w:pStyle w:val="ListBullet"/>
        <w:numPr>
          <w:ilvl w:val="0"/>
          <w:numId w:val="0"/>
        </w:numPr>
      </w:pPr>
      <w:r w:rsidRPr="00497728">
        <w:t>Such claims will support international trade and market access for Australian food and fibre</w:t>
      </w:r>
      <w:r w:rsidR="00E35771">
        <w:t xml:space="preserve">. They will also </w:t>
      </w:r>
      <w:r w:rsidRPr="00497728">
        <w:t>limit compliance burdens on individual farmers and other</w:t>
      </w:r>
      <w:r w:rsidR="00EC77B1" w:rsidRPr="00497728">
        <w:t>s in the</w:t>
      </w:r>
      <w:r w:rsidRPr="00497728">
        <w:t xml:space="preserve"> supply chain.</w:t>
      </w:r>
    </w:p>
    <w:p w14:paraId="4CBD8E3B" w14:textId="117A6600" w:rsidR="0091062B" w:rsidRPr="00497728" w:rsidRDefault="00921362" w:rsidP="007D7A46">
      <w:pPr>
        <w:keepNext/>
        <w:rPr>
          <w:color w:val="000000" w:themeColor="text1"/>
        </w:rPr>
      </w:pPr>
      <w:r w:rsidRPr="00497728">
        <w:rPr>
          <w:color w:val="000000" w:themeColor="text1"/>
        </w:rPr>
        <w:lastRenderedPageBreak/>
        <w:t>To</w:t>
      </w:r>
      <w:r w:rsidR="0091062B" w:rsidRPr="00497728">
        <w:rPr>
          <w:color w:val="000000" w:themeColor="text1"/>
        </w:rPr>
        <w:t xml:space="preserve"> achiev</w:t>
      </w:r>
      <w:r w:rsidRPr="00497728">
        <w:rPr>
          <w:color w:val="000000" w:themeColor="text1"/>
        </w:rPr>
        <w:t>e</w:t>
      </w:r>
      <w:r w:rsidR="0091062B" w:rsidRPr="00497728">
        <w:rPr>
          <w:color w:val="000000" w:themeColor="text1"/>
        </w:rPr>
        <w:t xml:space="preserve"> this outcome </w:t>
      </w:r>
      <w:r w:rsidR="00CB414F" w:rsidRPr="00497728">
        <w:rPr>
          <w:color w:val="000000" w:themeColor="text1"/>
        </w:rPr>
        <w:t xml:space="preserve">the ASCWG </w:t>
      </w:r>
      <w:r w:rsidRPr="00497728">
        <w:rPr>
          <w:color w:val="000000" w:themeColor="text1"/>
        </w:rPr>
        <w:t xml:space="preserve">is </w:t>
      </w:r>
      <w:r w:rsidR="00CB414F" w:rsidRPr="00497728">
        <w:rPr>
          <w:color w:val="000000" w:themeColor="text1"/>
        </w:rPr>
        <w:t>cons</w:t>
      </w:r>
      <w:r w:rsidRPr="00497728">
        <w:rPr>
          <w:color w:val="000000" w:themeColor="text1"/>
        </w:rPr>
        <w:t>idering</w:t>
      </w:r>
      <w:r w:rsidR="0091062B" w:rsidRPr="00497728">
        <w:rPr>
          <w:color w:val="000000" w:themeColor="text1"/>
        </w:rPr>
        <w:t xml:space="preserve"> </w:t>
      </w:r>
      <w:r w:rsidR="006818CC" w:rsidRPr="00497728">
        <w:rPr>
          <w:color w:val="000000" w:themeColor="text1"/>
        </w:rPr>
        <w:t>3</w:t>
      </w:r>
      <w:r w:rsidR="0091062B" w:rsidRPr="00497728">
        <w:rPr>
          <w:color w:val="000000" w:themeColor="text1"/>
        </w:rPr>
        <w:t xml:space="preserve"> </w:t>
      </w:r>
      <w:r w:rsidRPr="00497728">
        <w:rPr>
          <w:color w:val="000000" w:themeColor="text1"/>
        </w:rPr>
        <w:t>aspects</w:t>
      </w:r>
      <w:r w:rsidR="0091062B" w:rsidRPr="00497728">
        <w:rPr>
          <w:color w:val="000000" w:themeColor="text1"/>
        </w:rPr>
        <w:t>:</w:t>
      </w:r>
    </w:p>
    <w:p w14:paraId="77F67E3F" w14:textId="5927E4FF" w:rsidR="005B67C7" w:rsidRPr="00497728" w:rsidRDefault="005B67C7" w:rsidP="006A7683">
      <w:pPr>
        <w:pStyle w:val="Heading4"/>
        <w:numPr>
          <w:ilvl w:val="0"/>
          <w:numId w:val="0"/>
        </w:numPr>
      </w:pPr>
      <w:bookmarkStart w:id="5" w:name="_Toc183182210"/>
      <w:r>
        <w:t xml:space="preserve">1 </w:t>
      </w:r>
      <w:r w:rsidR="007377EF" w:rsidRPr="00497728">
        <w:t>Understand e</w:t>
      </w:r>
      <w:r w:rsidR="00494719" w:rsidRPr="00497728">
        <w:t xml:space="preserve">ssential </w:t>
      </w:r>
      <w:r w:rsidR="007377EF" w:rsidRPr="00497728">
        <w:t xml:space="preserve">sustainability </w:t>
      </w:r>
      <w:r w:rsidR="00494719" w:rsidRPr="00497728">
        <w:t>credentials</w:t>
      </w:r>
      <w:bookmarkEnd w:id="5"/>
    </w:p>
    <w:p w14:paraId="5DC39555" w14:textId="4C420A41" w:rsidR="00494719" w:rsidRPr="005B67C7" w:rsidRDefault="005B67C7" w:rsidP="003A13AA">
      <w:pPr>
        <w:pStyle w:val="ListBullet"/>
      </w:pPr>
      <w:r>
        <w:t>U</w:t>
      </w:r>
      <w:r w:rsidR="00494719" w:rsidRPr="005B67C7">
        <w:t xml:space="preserve">nderstand which sustainability claims are essential for </w:t>
      </w:r>
      <w:r w:rsidR="00AB05B8" w:rsidRPr="005B67C7">
        <w:t>proving</w:t>
      </w:r>
      <w:r w:rsidR="00494719" w:rsidRPr="005B67C7">
        <w:t xml:space="preserve"> Australian agriculture's sustainability status in international markets across different </w:t>
      </w:r>
      <w:r w:rsidR="001C6DCD" w:rsidRPr="005B67C7">
        <w:t>sectors</w:t>
      </w:r>
      <w:r w:rsidR="00494719" w:rsidRPr="005B67C7">
        <w:t>, and what is required as evidence</w:t>
      </w:r>
      <w:r w:rsidR="00E518E0" w:rsidRPr="005B67C7">
        <w:t xml:space="preserve"> to support these claims</w:t>
      </w:r>
      <w:r w:rsidR="00494719" w:rsidRPr="005B67C7">
        <w:t>.</w:t>
      </w:r>
    </w:p>
    <w:p w14:paraId="01B8CDA9" w14:textId="596A54E9" w:rsidR="005B67C7" w:rsidRDefault="005B67C7" w:rsidP="005B67C7">
      <w:pPr>
        <w:pStyle w:val="Heading4"/>
        <w:numPr>
          <w:ilvl w:val="0"/>
          <w:numId w:val="0"/>
        </w:numPr>
        <w:ind w:left="964" w:hanging="964"/>
      </w:pPr>
      <w:bookmarkStart w:id="6" w:name="_Toc183182211"/>
      <w:r>
        <w:t xml:space="preserve">2 </w:t>
      </w:r>
      <w:r w:rsidR="007377EF" w:rsidRPr="005B67C7">
        <w:t xml:space="preserve">Identify </w:t>
      </w:r>
      <w:r w:rsidR="006B522B" w:rsidRPr="005B67C7">
        <w:t>approaches to support d</w:t>
      </w:r>
      <w:r w:rsidR="00494719" w:rsidRPr="005B67C7">
        <w:t>ata-driven claims</w:t>
      </w:r>
      <w:bookmarkEnd w:id="6"/>
    </w:p>
    <w:p w14:paraId="14FF8748" w14:textId="7075BA18" w:rsidR="003A13AA" w:rsidRDefault="00494719" w:rsidP="003A13AA">
      <w:pPr>
        <w:pStyle w:val="ListBullet"/>
      </w:pPr>
      <w:r w:rsidRPr="005B67C7">
        <w:t xml:space="preserve">Understand how data </w:t>
      </w:r>
      <w:r w:rsidR="00F062C1" w:rsidRPr="005B67C7">
        <w:t xml:space="preserve">and other forms of evidence </w:t>
      </w:r>
      <w:r w:rsidR="00E518E0" w:rsidRPr="005B67C7">
        <w:t xml:space="preserve">are used to </w:t>
      </w:r>
      <w:r w:rsidRPr="005B67C7">
        <w:t>support the verification of a sustainability claim.</w:t>
      </w:r>
    </w:p>
    <w:p w14:paraId="0EB30B52" w14:textId="18742D9D" w:rsidR="003A13AA" w:rsidRDefault="00494719" w:rsidP="003A13AA">
      <w:pPr>
        <w:pStyle w:val="ListBullet"/>
      </w:pPr>
      <w:r w:rsidRPr="005B67C7">
        <w:t>Identify gaps in data availability and propose how to remove barriers to data availability.</w:t>
      </w:r>
    </w:p>
    <w:p w14:paraId="4296643E" w14:textId="7CEC4229" w:rsidR="00494719" w:rsidRPr="005B67C7" w:rsidRDefault="00494719" w:rsidP="003A13AA">
      <w:pPr>
        <w:pStyle w:val="ListBullet"/>
      </w:pPr>
      <w:r w:rsidRPr="005B67C7">
        <w:t xml:space="preserve">Propose approaches for effective data collection and sharing to enable seamless integration with existing traceability systems or through the creation of traceability systems, for </w:t>
      </w:r>
      <w:r w:rsidR="00833783" w:rsidRPr="005B67C7">
        <w:t>many</w:t>
      </w:r>
      <w:r w:rsidRPr="005B67C7">
        <w:t xml:space="preserve"> purposes.</w:t>
      </w:r>
    </w:p>
    <w:p w14:paraId="763013B6" w14:textId="07AD41B3" w:rsidR="005B67C7" w:rsidRPr="005B67C7" w:rsidRDefault="005B67C7" w:rsidP="005B67C7">
      <w:pPr>
        <w:pStyle w:val="Heading4"/>
        <w:numPr>
          <w:ilvl w:val="0"/>
          <w:numId w:val="0"/>
        </w:numPr>
        <w:ind w:left="964" w:hanging="964"/>
      </w:pPr>
      <w:bookmarkStart w:id="7" w:name="_Toc183182212"/>
      <w:r>
        <w:t xml:space="preserve">3 </w:t>
      </w:r>
      <w:r w:rsidR="00B01420" w:rsidRPr="005B67C7">
        <w:t>Support verification for m</w:t>
      </w:r>
      <w:r w:rsidR="00494719" w:rsidRPr="005B67C7">
        <w:t xml:space="preserve">arket access </w:t>
      </w:r>
      <w:r w:rsidR="00B01420" w:rsidRPr="005B67C7">
        <w:t>purposes</w:t>
      </w:r>
      <w:bookmarkEnd w:id="7"/>
    </w:p>
    <w:p w14:paraId="166BB21D" w14:textId="06267622" w:rsidR="003A13AA" w:rsidRDefault="00B34528" w:rsidP="003A13AA">
      <w:pPr>
        <w:pStyle w:val="ListBullet"/>
      </w:pPr>
      <w:r w:rsidRPr="005B67C7">
        <w:t>Advise</w:t>
      </w:r>
      <w:r w:rsidR="00494719" w:rsidRPr="005B67C7">
        <w:t xml:space="preserve"> on </w:t>
      </w:r>
      <w:r w:rsidRPr="005B67C7">
        <w:t>using</w:t>
      </w:r>
      <w:r w:rsidR="00494719" w:rsidRPr="005B67C7">
        <w:t xml:space="preserve"> existing and emerging data which may support verification of sustainability claims</w:t>
      </w:r>
      <w:r w:rsidR="00763E88" w:rsidRPr="005B67C7">
        <w:t xml:space="preserve"> to maintain market access in response to emerging, complex regulatory requirements.</w:t>
      </w:r>
    </w:p>
    <w:p w14:paraId="174F1EA8" w14:textId="71243E01" w:rsidR="0091062B" w:rsidRPr="005B67C7" w:rsidRDefault="000D22B0" w:rsidP="005B67C7">
      <w:r w:rsidRPr="005B67C7">
        <w:t xml:space="preserve">A report will support this outcome. It will </w:t>
      </w:r>
      <w:r w:rsidR="00481707" w:rsidRPr="005B67C7">
        <w:t>make recommendations that consider Australia’s unique environment and production conditions</w:t>
      </w:r>
      <w:r w:rsidR="00A840CD" w:rsidRPr="005B67C7">
        <w:t xml:space="preserve">, and ways </w:t>
      </w:r>
      <w:r w:rsidR="0091062B" w:rsidRPr="005B67C7">
        <w:t>to provid</w:t>
      </w:r>
      <w:r w:rsidR="005C1ADD" w:rsidRPr="005B67C7">
        <w:t>e</w:t>
      </w:r>
      <w:r w:rsidR="0091062B" w:rsidRPr="005B67C7">
        <w:t xml:space="preserve"> evidence for sustainability claims that </w:t>
      </w:r>
      <w:r w:rsidR="005C1ADD" w:rsidRPr="005B67C7">
        <w:t>use</w:t>
      </w:r>
      <w:r w:rsidR="0091062B" w:rsidRPr="005B67C7">
        <w:t xml:space="preserve"> existing data sets and industry initiatives</w:t>
      </w:r>
      <w:r w:rsidR="00A840CD" w:rsidRPr="005B67C7">
        <w:t xml:space="preserve"> that</w:t>
      </w:r>
      <w:r w:rsidR="0091062B" w:rsidRPr="005B67C7">
        <w:t xml:space="preserve"> </w:t>
      </w:r>
      <w:r w:rsidR="00FD58E4" w:rsidRPr="005B67C7">
        <w:t xml:space="preserve">are </w:t>
      </w:r>
      <w:r w:rsidR="0091062B" w:rsidRPr="005B67C7">
        <w:t xml:space="preserve">based on international market </w:t>
      </w:r>
      <w:r w:rsidR="00B01420" w:rsidRPr="005B67C7">
        <w:t xml:space="preserve">regulatory </w:t>
      </w:r>
      <w:r w:rsidR="0091062B" w:rsidRPr="005B67C7">
        <w:t>requirements.</w:t>
      </w:r>
    </w:p>
    <w:p w14:paraId="255218FF" w14:textId="4D8BD49B" w:rsidR="00494719" w:rsidRPr="00497728" w:rsidRDefault="004150D0" w:rsidP="003D7D9E">
      <w:pPr>
        <w:pStyle w:val="Heading3"/>
        <w:spacing w:after="120"/>
      </w:pPr>
      <w:bookmarkStart w:id="8" w:name="_Toc183182213"/>
      <w:r w:rsidRPr="00497728">
        <w:t>Final r</w:t>
      </w:r>
      <w:r w:rsidR="000B68FC" w:rsidRPr="00497728">
        <w:t>eport</w:t>
      </w:r>
      <w:r w:rsidR="00200742" w:rsidRPr="00497728">
        <w:t xml:space="preserve"> development</w:t>
      </w:r>
      <w:bookmarkEnd w:id="8"/>
    </w:p>
    <w:p w14:paraId="2CE847BE" w14:textId="7898C91B" w:rsidR="009A5632" w:rsidRPr="00497728" w:rsidRDefault="00A004E6" w:rsidP="009A5632">
      <w:pPr>
        <w:spacing w:line="259" w:lineRule="auto"/>
        <w:rPr>
          <w:color w:val="000000" w:themeColor="text1"/>
        </w:rPr>
      </w:pPr>
      <w:r>
        <w:rPr>
          <w:color w:val="000000" w:themeColor="text1"/>
        </w:rPr>
        <w:t>D</w:t>
      </w:r>
      <w:r w:rsidR="009A5632" w:rsidRPr="00497728">
        <w:rPr>
          <w:color w:val="000000" w:themeColor="text1"/>
        </w:rPr>
        <w:t xml:space="preserve">evelopment of the </w:t>
      </w:r>
      <w:r w:rsidR="000B68FC" w:rsidRPr="00497728">
        <w:rPr>
          <w:color w:val="000000" w:themeColor="text1"/>
        </w:rPr>
        <w:t>final report</w:t>
      </w:r>
      <w:r w:rsidR="009A5632" w:rsidRPr="00497728">
        <w:rPr>
          <w:color w:val="000000" w:themeColor="text1"/>
        </w:rPr>
        <w:t xml:space="preserve"> </w:t>
      </w:r>
      <w:r>
        <w:rPr>
          <w:color w:val="000000" w:themeColor="text1"/>
        </w:rPr>
        <w:t>will be completed</w:t>
      </w:r>
      <w:r w:rsidR="009A5632" w:rsidRPr="00497728">
        <w:rPr>
          <w:color w:val="000000" w:themeColor="text1"/>
        </w:rPr>
        <w:t xml:space="preserve"> in </w:t>
      </w:r>
      <w:r w:rsidR="00153FEA" w:rsidRPr="00497728">
        <w:rPr>
          <w:color w:val="000000" w:themeColor="text1"/>
        </w:rPr>
        <w:t>2</w:t>
      </w:r>
      <w:r w:rsidR="009A5632" w:rsidRPr="00497728">
        <w:rPr>
          <w:color w:val="000000" w:themeColor="text1"/>
        </w:rPr>
        <w:t xml:space="preserve"> phases</w:t>
      </w:r>
      <w:r w:rsidR="007D7A46">
        <w:rPr>
          <w:color w:val="000000" w:themeColor="text1"/>
        </w:rPr>
        <w:t>.</w:t>
      </w:r>
    </w:p>
    <w:p w14:paraId="5A2A15E6" w14:textId="28BE6C7D" w:rsidR="00F55038" w:rsidRPr="00497728" w:rsidRDefault="00F55038" w:rsidP="006A7683">
      <w:pPr>
        <w:pStyle w:val="Heading4"/>
        <w:numPr>
          <w:ilvl w:val="0"/>
          <w:numId w:val="0"/>
        </w:numPr>
        <w:ind w:left="964" w:hanging="964"/>
      </w:pPr>
      <w:bookmarkStart w:id="9" w:name="_Phase_1"/>
      <w:bookmarkStart w:id="10" w:name="_Toc183182214"/>
      <w:bookmarkEnd w:id="9"/>
      <w:r w:rsidRPr="00497728">
        <w:t>Phase 1</w:t>
      </w:r>
      <w:bookmarkEnd w:id="10"/>
    </w:p>
    <w:p w14:paraId="1DDFE311" w14:textId="3E36D6B8" w:rsidR="00A468BE" w:rsidRPr="00497728" w:rsidRDefault="00CD38CC" w:rsidP="00C8071D">
      <w:r w:rsidRPr="00497728">
        <w:t>C</w:t>
      </w:r>
      <w:r w:rsidR="00A468BE" w:rsidRPr="00497728">
        <w:t xml:space="preserve">onsultation and desktop research </w:t>
      </w:r>
      <w:r w:rsidR="0072449C" w:rsidRPr="00497728">
        <w:t>during Phase 1 will</w:t>
      </w:r>
      <w:r w:rsidR="00A468BE" w:rsidRPr="00497728">
        <w:t>:</w:t>
      </w:r>
    </w:p>
    <w:p w14:paraId="1B96F924" w14:textId="0C8EB046" w:rsidR="00F55038" w:rsidRPr="00497728" w:rsidRDefault="0072449C" w:rsidP="00C8071D">
      <w:pPr>
        <w:pStyle w:val="ListNumber"/>
        <w:numPr>
          <w:ilvl w:val="0"/>
          <w:numId w:val="30"/>
        </w:numPr>
      </w:pPr>
      <w:r w:rsidRPr="00497728">
        <w:t xml:space="preserve">document </w:t>
      </w:r>
      <w:r w:rsidR="00F55038" w:rsidRPr="00497728">
        <w:t xml:space="preserve">major current and emerging international market and </w:t>
      </w:r>
      <w:r w:rsidR="00394F14" w:rsidRPr="00497728">
        <w:t xml:space="preserve">regulatory </w:t>
      </w:r>
      <w:r w:rsidR="00F55038" w:rsidRPr="00497728">
        <w:t>requirements in relation to sustainability claims</w:t>
      </w:r>
    </w:p>
    <w:p w14:paraId="09E092BA" w14:textId="590D3090" w:rsidR="00F55038" w:rsidRPr="00497728" w:rsidRDefault="0072449C" w:rsidP="00C8071D">
      <w:pPr>
        <w:pStyle w:val="ListNumber"/>
      </w:pPr>
      <w:r w:rsidRPr="00497728">
        <w:t xml:space="preserve">define </w:t>
      </w:r>
      <w:r w:rsidR="00F55038" w:rsidRPr="00497728">
        <w:t>priority sustainability principles and criteria that respond to emerging international market and compliance requirements and are common to sustainability claims</w:t>
      </w:r>
    </w:p>
    <w:p w14:paraId="0769A957" w14:textId="6A0CFAEC" w:rsidR="00F55038" w:rsidRPr="00497728" w:rsidRDefault="0072449C" w:rsidP="00C8071D">
      <w:pPr>
        <w:pStyle w:val="ListNumber"/>
      </w:pPr>
      <w:r w:rsidRPr="00497728">
        <w:t xml:space="preserve">identify </w:t>
      </w:r>
      <w:r w:rsidR="00F55038" w:rsidRPr="00497728">
        <w:t>and assess current and emerging approaches to</w:t>
      </w:r>
      <w:r w:rsidR="003534E5" w:rsidRPr="00497728">
        <w:t xml:space="preserve"> </w:t>
      </w:r>
      <w:r w:rsidR="00F55038" w:rsidRPr="00497728">
        <w:t>demonstrating sustainability claims and their capacity to respond to international market requirements</w:t>
      </w:r>
    </w:p>
    <w:p w14:paraId="7B9211D2" w14:textId="12F04DE3" w:rsidR="00F55038" w:rsidRPr="00497728" w:rsidRDefault="0072449C" w:rsidP="00C8071D">
      <w:pPr>
        <w:pStyle w:val="ListNumber"/>
      </w:pPr>
      <w:r w:rsidRPr="00497728">
        <w:t xml:space="preserve">assess </w:t>
      </w:r>
      <w:r w:rsidR="00F55038" w:rsidRPr="00497728">
        <w:t xml:space="preserve">key data points or datasets that lend themselves to </w:t>
      </w:r>
      <w:r w:rsidR="00F820B9" w:rsidRPr="00497728">
        <w:t xml:space="preserve">supporting </w:t>
      </w:r>
      <w:r w:rsidR="00F55038" w:rsidRPr="00497728">
        <w:t>the verification of sustainability claims</w:t>
      </w:r>
      <w:r w:rsidR="00535394" w:rsidRPr="00497728">
        <w:t>.</w:t>
      </w:r>
    </w:p>
    <w:p w14:paraId="11F685EE" w14:textId="2862B44F" w:rsidR="00A468BE" w:rsidRPr="006A7683" w:rsidRDefault="00A468BE" w:rsidP="006A7683">
      <w:r w:rsidRPr="006A7683">
        <w:t xml:space="preserve">A combination of </w:t>
      </w:r>
      <w:r w:rsidR="00356879" w:rsidRPr="006A7683">
        <w:t xml:space="preserve">desktop research, targeted interviews and broad </w:t>
      </w:r>
      <w:r w:rsidR="0009477B" w:rsidRPr="006A7683">
        <w:t xml:space="preserve">stakeholder </w:t>
      </w:r>
      <w:r w:rsidR="009B3C88" w:rsidRPr="006A7683">
        <w:t>consultation</w:t>
      </w:r>
      <w:r w:rsidR="00356879" w:rsidRPr="006A7683">
        <w:t xml:space="preserve"> through the release of this </w:t>
      </w:r>
      <w:r w:rsidR="009B3C88" w:rsidRPr="006A7683">
        <w:t xml:space="preserve">initial </w:t>
      </w:r>
      <w:r w:rsidR="00356879" w:rsidRPr="006A7683">
        <w:t xml:space="preserve">paper </w:t>
      </w:r>
      <w:r w:rsidR="0009477B" w:rsidRPr="006A7683">
        <w:t xml:space="preserve">is being </w:t>
      </w:r>
      <w:r w:rsidR="00153FEA" w:rsidRPr="006A7683">
        <w:t>used</w:t>
      </w:r>
      <w:r w:rsidR="0009477B" w:rsidRPr="006A7683">
        <w:t xml:space="preserve"> under </w:t>
      </w:r>
      <w:r w:rsidR="00FD58E4" w:rsidRPr="006A7683">
        <w:t>this phase</w:t>
      </w:r>
      <w:r w:rsidR="0009477B" w:rsidRPr="006A7683">
        <w:t>.</w:t>
      </w:r>
    </w:p>
    <w:p w14:paraId="2DC28D5E" w14:textId="20174896" w:rsidR="00F55038" w:rsidRPr="00497728" w:rsidRDefault="00F55038" w:rsidP="007D7A46">
      <w:pPr>
        <w:pStyle w:val="Heading4"/>
        <w:pageBreakBefore/>
        <w:numPr>
          <w:ilvl w:val="0"/>
          <w:numId w:val="0"/>
        </w:numPr>
        <w:ind w:left="964" w:hanging="964"/>
      </w:pPr>
      <w:bookmarkStart w:id="11" w:name="_Phase_2"/>
      <w:bookmarkStart w:id="12" w:name="_Toc183182215"/>
      <w:bookmarkEnd w:id="11"/>
      <w:r w:rsidRPr="00497728">
        <w:lastRenderedPageBreak/>
        <w:t>Phase 2</w:t>
      </w:r>
      <w:bookmarkEnd w:id="12"/>
    </w:p>
    <w:p w14:paraId="6586BC4F" w14:textId="4A1FF588" w:rsidR="0009477B" w:rsidRPr="00497728" w:rsidRDefault="0009477B" w:rsidP="00C8071D">
      <w:r w:rsidRPr="00497728">
        <w:t xml:space="preserve">Based on the outcomes of </w:t>
      </w:r>
      <w:r w:rsidR="00F90701" w:rsidRPr="00497728">
        <w:t xml:space="preserve">Phase </w:t>
      </w:r>
      <w:r w:rsidRPr="00497728">
        <w:t xml:space="preserve">1, </w:t>
      </w:r>
      <w:r w:rsidR="0069020A" w:rsidRPr="00497728">
        <w:t>a discussion paper will be prepared that</w:t>
      </w:r>
      <w:r w:rsidRPr="00497728">
        <w:t>:</w:t>
      </w:r>
    </w:p>
    <w:p w14:paraId="1BB60E2A" w14:textId="18F7A55E" w:rsidR="00F55038" w:rsidRPr="00497728" w:rsidRDefault="00FE49F8" w:rsidP="00C32AE3">
      <w:pPr>
        <w:pStyle w:val="ListNumber"/>
        <w:numPr>
          <w:ilvl w:val="0"/>
          <w:numId w:val="31"/>
        </w:numPr>
      </w:pPr>
      <w:r w:rsidRPr="00497728">
        <w:t xml:space="preserve">conceptualises </w:t>
      </w:r>
      <w:r w:rsidR="00F55038" w:rsidRPr="00497728">
        <w:t xml:space="preserve">possible approaches to providing evidence-based sustainability claims and their application </w:t>
      </w:r>
      <w:r w:rsidR="00FD58E4" w:rsidRPr="00497728">
        <w:t xml:space="preserve">within </w:t>
      </w:r>
      <w:r w:rsidR="00F55038" w:rsidRPr="00497728">
        <w:t>Australian agriculture</w:t>
      </w:r>
    </w:p>
    <w:p w14:paraId="7B87595A" w14:textId="6F8FD226" w:rsidR="006D3EA2" w:rsidRPr="00497728" w:rsidRDefault="00FE49F8" w:rsidP="00C8071D">
      <w:pPr>
        <w:pStyle w:val="ListNumber"/>
      </w:pPr>
      <w:r w:rsidRPr="00497728">
        <w:t xml:space="preserve">identifies </w:t>
      </w:r>
      <w:r w:rsidR="006D3EA2" w:rsidRPr="00497728">
        <w:t>key issues that must be considered when determining the best approaches to providing evidence to support sustainability claims</w:t>
      </w:r>
    </w:p>
    <w:p w14:paraId="324A31E2" w14:textId="7F1DA3F7" w:rsidR="00F55038" w:rsidRPr="00497728" w:rsidRDefault="00FE49F8" w:rsidP="00C8071D">
      <w:pPr>
        <w:pStyle w:val="ListNumber"/>
      </w:pPr>
      <w:r w:rsidRPr="00497728">
        <w:t xml:space="preserve">poses </w:t>
      </w:r>
      <w:r w:rsidR="00AB6FBB" w:rsidRPr="00497728">
        <w:t>options</w:t>
      </w:r>
      <w:r w:rsidR="00F55038" w:rsidRPr="00497728">
        <w:t xml:space="preserve"> </w:t>
      </w:r>
      <w:r w:rsidR="00221DC4" w:rsidRPr="00497728">
        <w:t>with respect</w:t>
      </w:r>
      <w:r w:rsidR="00F55038" w:rsidRPr="00497728">
        <w:t xml:space="preserve"> to issues that may be important in </w:t>
      </w:r>
      <w:r w:rsidR="00FD58E4" w:rsidRPr="00497728">
        <w:t xml:space="preserve">identifying </w:t>
      </w:r>
      <w:r w:rsidR="00F55038" w:rsidRPr="00497728">
        <w:t xml:space="preserve">an appropriate approach to operationalising a sustainability claim verification system that is interoperable with </w:t>
      </w:r>
      <w:r w:rsidR="00FD58E4" w:rsidRPr="00497728">
        <w:t xml:space="preserve">existing and proposed </w:t>
      </w:r>
      <w:r w:rsidR="00EF54EB">
        <w:t>department</w:t>
      </w:r>
      <w:r w:rsidR="00F55038" w:rsidRPr="00497728">
        <w:t xml:space="preserve"> and industry traceability systems and assists the AATGG in its deliberations.</w:t>
      </w:r>
    </w:p>
    <w:p w14:paraId="193DF060" w14:textId="666DEC83" w:rsidR="007D73E8" w:rsidRPr="00497728" w:rsidRDefault="004870E4" w:rsidP="00FE49F8">
      <w:r w:rsidRPr="00497728">
        <w:t xml:space="preserve">This initial </w:t>
      </w:r>
      <w:r w:rsidR="000B68FC" w:rsidRPr="00497728">
        <w:t xml:space="preserve">discussion </w:t>
      </w:r>
      <w:r w:rsidRPr="00497728">
        <w:t xml:space="preserve">paper addresses points </w:t>
      </w:r>
      <w:r w:rsidR="00AF58EB" w:rsidRPr="00497728">
        <w:t xml:space="preserve">one to </w:t>
      </w:r>
      <w:r w:rsidRPr="00497728">
        <w:t xml:space="preserve">3 in </w:t>
      </w:r>
      <w:hyperlink w:anchor="_Phase_1" w:history="1">
        <w:r w:rsidRPr="00E51EE4">
          <w:rPr>
            <w:rStyle w:val="Hyperlink"/>
          </w:rPr>
          <w:t>Phase 1</w:t>
        </w:r>
      </w:hyperlink>
      <w:r w:rsidRPr="00497728">
        <w:t>.</w:t>
      </w:r>
    </w:p>
    <w:p w14:paraId="59C6E9C9" w14:textId="66B88DC6" w:rsidR="00A91A98" w:rsidRPr="00497728" w:rsidRDefault="005F710B" w:rsidP="00497728">
      <w:pPr>
        <w:pStyle w:val="Heading3"/>
      </w:pPr>
      <w:bookmarkStart w:id="13" w:name="_Toc183182216"/>
      <w:r w:rsidRPr="00497728">
        <w:t>Develop</w:t>
      </w:r>
      <w:r w:rsidR="0063654C" w:rsidRPr="00497728">
        <w:t>ment approach</w:t>
      </w:r>
      <w:bookmarkEnd w:id="13"/>
    </w:p>
    <w:p w14:paraId="583656A8" w14:textId="57FD4940" w:rsidR="002B336E" w:rsidRPr="00497728" w:rsidRDefault="007D73E8" w:rsidP="00203C23">
      <w:r w:rsidRPr="00497728">
        <w:t>This paper</w:t>
      </w:r>
      <w:r w:rsidR="00425C5F">
        <w:t xml:space="preserve"> </w:t>
      </w:r>
      <w:r w:rsidR="00D54136">
        <w:t>draws o</w:t>
      </w:r>
      <w:r w:rsidR="00425C5F">
        <w:t>n desktop research</w:t>
      </w:r>
      <w:r w:rsidRPr="00497728">
        <w:t xml:space="preserve">, targeted interviews with </w:t>
      </w:r>
      <w:r w:rsidR="0020474D" w:rsidRPr="00497728">
        <w:t xml:space="preserve">12 </w:t>
      </w:r>
      <w:r w:rsidRPr="00497728">
        <w:t>government, industry and supply chain stakeholders</w:t>
      </w:r>
      <w:r w:rsidR="004B1F47">
        <w:t xml:space="preserve"> and</w:t>
      </w:r>
      <w:r w:rsidRPr="00497728">
        <w:t xml:space="preserve"> an analysis of material sustainability topics</w:t>
      </w:r>
      <w:r w:rsidR="004B1F47">
        <w:t>. It also uses</w:t>
      </w:r>
      <w:r w:rsidRPr="00497728">
        <w:t xml:space="preserve"> market information</w:t>
      </w:r>
      <w:r w:rsidR="006D3EA2" w:rsidRPr="00497728">
        <w:t>,</w:t>
      </w:r>
      <w:r w:rsidR="0020474D" w:rsidRPr="00497728">
        <w:t xml:space="preserve"> and the combined knowledge of the project team and working group</w:t>
      </w:r>
      <w:r w:rsidRPr="00497728">
        <w:t>.</w:t>
      </w:r>
    </w:p>
    <w:p w14:paraId="134CFC7F" w14:textId="77777777" w:rsidR="002B336E" w:rsidRPr="00497728" w:rsidRDefault="002B336E" w:rsidP="00C32AE3">
      <w:pPr>
        <w:pStyle w:val="Heading4"/>
      </w:pPr>
      <w:bookmarkStart w:id="14" w:name="_Toc183182217"/>
      <w:r w:rsidRPr="00497728">
        <w:t>Desktop research</w:t>
      </w:r>
      <w:bookmarkEnd w:id="14"/>
    </w:p>
    <w:p w14:paraId="51A3DD2A" w14:textId="47ADF172" w:rsidR="004870E4" w:rsidRPr="00497728" w:rsidRDefault="007D73E8" w:rsidP="00420675">
      <w:r w:rsidRPr="00497728">
        <w:t xml:space="preserve">A range of documents were reviewed in the development of this paper and are included </w:t>
      </w:r>
      <w:r w:rsidR="001549C1">
        <w:t xml:space="preserve">at </w:t>
      </w:r>
      <w:hyperlink w:anchor="_References" w:history="1">
        <w:r w:rsidR="00BE7FAF">
          <w:rPr>
            <w:rStyle w:val="Hyperlink"/>
          </w:rPr>
          <w:t>References</w:t>
        </w:r>
      </w:hyperlink>
      <w:r w:rsidRPr="00497728">
        <w:t>.</w:t>
      </w:r>
      <w:r w:rsidR="002B336E" w:rsidRPr="00497728">
        <w:t xml:space="preserve"> </w:t>
      </w:r>
      <w:r w:rsidR="007675E2">
        <w:t>The working group</w:t>
      </w:r>
      <w:r w:rsidR="00E23C8A">
        <w:t xml:space="preserve"> initially suggested a</w:t>
      </w:r>
      <w:r w:rsidR="002B336E" w:rsidRPr="00497728">
        <w:t xml:space="preserve"> list of documents </w:t>
      </w:r>
      <w:r w:rsidR="00E23C8A">
        <w:t>to</w:t>
      </w:r>
      <w:r w:rsidR="002B336E" w:rsidRPr="00497728">
        <w:t xml:space="preserve"> the authors. </w:t>
      </w:r>
      <w:r w:rsidR="006E21CD" w:rsidRPr="00497728">
        <w:t xml:space="preserve">These were shortlisted </w:t>
      </w:r>
      <w:r w:rsidR="00EE3838">
        <w:t>for</w:t>
      </w:r>
      <w:r w:rsidR="006E21CD" w:rsidRPr="00497728">
        <w:t xml:space="preserve"> relevance to the</w:t>
      </w:r>
      <w:r w:rsidR="00EE3838">
        <w:t xml:space="preserve"> in-scope</w:t>
      </w:r>
      <w:r w:rsidR="006E21CD" w:rsidRPr="00497728">
        <w:t xml:space="preserve"> markets and </w:t>
      </w:r>
      <w:r w:rsidR="001C6DCD" w:rsidRPr="00497728">
        <w:t>sectors</w:t>
      </w:r>
      <w:r w:rsidR="006E21CD" w:rsidRPr="00497728">
        <w:t xml:space="preserve"> </w:t>
      </w:r>
      <w:r w:rsidR="00215FB7" w:rsidRPr="00497728">
        <w:t xml:space="preserve">(see </w:t>
      </w:r>
      <w:hyperlink w:anchor="_Scope_and_purpose" w:history="1">
        <w:r w:rsidR="00E51EE4">
          <w:rPr>
            <w:rStyle w:val="Hyperlink"/>
          </w:rPr>
          <w:t>Scope and purpose</w:t>
        </w:r>
      </w:hyperlink>
      <w:r w:rsidR="001F2C20" w:rsidRPr="00497728">
        <w:t>)</w:t>
      </w:r>
      <w:r w:rsidR="006E21CD" w:rsidRPr="00497728">
        <w:t xml:space="preserve">. </w:t>
      </w:r>
      <w:r w:rsidR="00527D46">
        <w:t>We reviewed more documents</w:t>
      </w:r>
      <w:r w:rsidR="006E21CD" w:rsidRPr="00497728">
        <w:t xml:space="preserve"> </w:t>
      </w:r>
      <w:r w:rsidR="00E77D45" w:rsidRPr="00497728">
        <w:t>based on</w:t>
      </w:r>
      <w:r w:rsidR="00392E32" w:rsidRPr="00497728">
        <w:t xml:space="preserve"> those </w:t>
      </w:r>
      <w:r w:rsidR="00EA1335">
        <w:t>found</w:t>
      </w:r>
      <w:r w:rsidR="00392E32" w:rsidRPr="00497728">
        <w:t xml:space="preserve"> </w:t>
      </w:r>
      <w:r w:rsidR="00EA1335">
        <w:t>in</w:t>
      </w:r>
      <w:r w:rsidR="00B632FB" w:rsidRPr="00497728">
        <w:t xml:space="preserve"> the desktop research and</w:t>
      </w:r>
      <w:r w:rsidR="00E77D45" w:rsidRPr="00497728">
        <w:t xml:space="preserve"> </w:t>
      </w:r>
      <w:r w:rsidR="00D10BC5">
        <w:t xml:space="preserve">stakeholder </w:t>
      </w:r>
      <w:r w:rsidR="00E77D45" w:rsidRPr="00497728">
        <w:t>interviews.</w:t>
      </w:r>
      <w:r w:rsidR="00BF2A2E" w:rsidRPr="00497728">
        <w:t xml:space="preserve"> </w:t>
      </w:r>
      <w:r w:rsidR="00D10BC5">
        <w:t>We also reviewed m</w:t>
      </w:r>
      <w:r w:rsidR="00BF2A2E" w:rsidRPr="00497728">
        <w:t>ateriality assessments and industry sustainability framework reports for th</w:t>
      </w:r>
      <w:r w:rsidR="00D10BC5">
        <w:t>e relevant</w:t>
      </w:r>
      <w:r w:rsidR="00BF2A2E" w:rsidRPr="00497728">
        <w:t xml:space="preserve"> </w:t>
      </w:r>
      <w:r w:rsidR="001C6DCD" w:rsidRPr="00497728">
        <w:t>sectors</w:t>
      </w:r>
      <w:r w:rsidR="00BF2A2E" w:rsidRPr="00497728">
        <w:t xml:space="preserve">. </w:t>
      </w:r>
      <w:r w:rsidR="00F77D35">
        <w:t xml:space="preserve">We </w:t>
      </w:r>
      <w:r w:rsidR="00384C8C" w:rsidRPr="00497728">
        <w:t>reviewed and</w:t>
      </w:r>
      <w:r w:rsidR="00FC4F93" w:rsidRPr="00497728">
        <w:t xml:space="preserve"> analysed </w:t>
      </w:r>
      <w:r w:rsidR="00F77D35">
        <w:t xml:space="preserve">all information </w:t>
      </w:r>
      <w:r w:rsidR="00FC4F93" w:rsidRPr="00497728">
        <w:t>for trends</w:t>
      </w:r>
      <w:r w:rsidR="00627417" w:rsidRPr="00497728">
        <w:t xml:space="preserve"> and commonalities</w:t>
      </w:r>
      <w:r w:rsidR="00F77D35">
        <w:t xml:space="preserve">. We then </w:t>
      </w:r>
      <w:r w:rsidR="00627417" w:rsidRPr="00497728">
        <w:t xml:space="preserve">distilled </w:t>
      </w:r>
      <w:r w:rsidR="00C92509">
        <w:t xml:space="preserve">the findings </w:t>
      </w:r>
      <w:r w:rsidR="00627417" w:rsidRPr="00497728">
        <w:t xml:space="preserve">and </w:t>
      </w:r>
      <w:r w:rsidR="00881687" w:rsidRPr="00497728">
        <w:t>overla</w:t>
      </w:r>
      <w:r w:rsidR="00C92509">
        <w:t>i</w:t>
      </w:r>
      <w:r w:rsidR="00881687" w:rsidRPr="00497728">
        <w:t xml:space="preserve">d </w:t>
      </w:r>
      <w:r w:rsidR="00C92509">
        <w:t>them w</w:t>
      </w:r>
      <w:r w:rsidR="00881687" w:rsidRPr="00497728">
        <w:t xml:space="preserve">ith the </w:t>
      </w:r>
      <w:r w:rsidR="007D6339" w:rsidRPr="00497728">
        <w:t>interview</w:t>
      </w:r>
      <w:r w:rsidR="00881687" w:rsidRPr="00497728">
        <w:t xml:space="preserve"> findings</w:t>
      </w:r>
      <w:r w:rsidR="00627417" w:rsidRPr="00497728">
        <w:t>.</w:t>
      </w:r>
    </w:p>
    <w:p w14:paraId="1414A9BD" w14:textId="33BD47B6" w:rsidR="00392E32" w:rsidRPr="00497728" w:rsidRDefault="00392E32" w:rsidP="00420675">
      <w:pPr>
        <w:pStyle w:val="Heading4"/>
      </w:pPr>
      <w:bookmarkStart w:id="15" w:name="_Toc183182218"/>
      <w:r w:rsidRPr="00497728">
        <w:t>Interviews</w:t>
      </w:r>
      <w:bookmarkEnd w:id="15"/>
    </w:p>
    <w:p w14:paraId="69CC3D3A" w14:textId="57F344EA" w:rsidR="006D3EA2" w:rsidRPr="00497728" w:rsidRDefault="00755B57" w:rsidP="00420675">
      <w:r>
        <w:t xml:space="preserve">In consultation with working group co-chairs, </w:t>
      </w:r>
      <w:r w:rsidR="004B5762">
        <w:t>we identified s</w:t>
      </w:r>
      <w:r w:rsidR="00392E32" w:rsidRPr="00497728">
        <w:t>takeholders from government, industry and supply chain</w:t>
      </w:r>
      <w:r w:rsidR="006D3EA2" w:rsidRPr="00497728">
        <w:t>s</w:t>
      </w:r>
      <w:r w:rsidR="000830EE" w:rsidRPr="00497728">
        <w:t xml:space="preserve">, </w:t>
      </w:r>
      <w:r w:rsidR="00392E32" w:rsidRPr="00497728">
        <w:t xml:space="preserve">based on their relevance to the markets and </w:t>
      </w:r>
      <w:r w:rsidR="001C6DCD" w:rsidRPr="00497728">
        <w:t>sectors</w:t>
      </w:r>
      <w:r w:rsidR="00392E32" w:rsidRPr="00497728">
        <w:t xml:space="preserve"> within </w:t>
      </w:r>
      <w:hyperlink w:anchor="_Scope_and_purpose" w:history="1">
        <w:r w:rsidR="004C7EFA" w:rsidRPr="00497728">
          <w:rPr>
            <w:rStyle w:val="Hyperlink"/>
          </w:rPr>
          <w:t>S</w:t>
        </w:r>
        <w:r w:rsidR="00392E32" w:rsidRPr="00497728">
          <w:rPr>
            <w:rStyle w:val="Hyperlink"/>
          </w:rPr>
          <w:t>cope</w:t>
        </w:r>
        <w:r w:rsidR="004C7EFA" w:rsidRPr="00497728">
          <w:rPr>
            <w:rStyle w:val="Hyperlink"/>
          </w:rPr>
          <w:t xml:space="preserve"> and purpose</w:t>
        </w:r>
      </w:hyperlink>
      <w:r w:rsidR="00392E32" w:rsidRPr="00497728">
        <w:t xml:space="preserve">. </w:t>
      </w:r>
      <w:r w:rsidR="00E27D3F">
        <w:t>We conducted i</w:t>
      </w:r>
      <w:r w:rsidR="00A67396" w:rsidRPr="00497728">
        <w:t xml:space="preserve">nterviews online </w:t>
      </w:r>
      <w:r w:rsidR="00B9097C" w:rsidRPr="00497728">
        <w:t>and structured</w:t>
      </w:r>
      <w:r w:rsidR="00E27D3F">
        <w:t xml:space="preserve"> them</w:t>
      </w:r>
      <w:r w:rsidR="00B9097C" w:rsidRPr="00497728">
        <w:t xml:space="preserve"> around understanding</w:t>
      </w:r>
      <w:r w:rsidR="009A6523" w:rsidRPr="00497728">
        <w:t>:</w:t>
      </w:r>
    </w:p>
    <w:p w14:paraId="6FCC920D" w14:textId="76129974" w:rsidR="006D3EA2" w:rsidRPr="00497728" w:rsidRDefault="00C131AA" w:rsidP="00420675">
      <w:pPr>
        <w:pStyle w:val="ListBullet"/>
      </w:pPr>
      <w:r w:rsidRPr="00497728">
        <w:t xml:space="preserve">what </w:t>
      </w:r>
      <w:r w:rsidR="00FD08C2" w:rsidRPr="00497728">
        <w:t xml:space="preserve">sustainability outcomes markets/companies </w:t>
      </w:r>
      <w:r w:rsidR="0007347F" w:rsidRPr="00497728">
        <w:t xml:space="preserve">are </w:t>
      </w:r>
      <w:r w:rsidR="006D3EA2" w:rsidRPr="00497728">
        <w:t xml:space="preserve">currently </w:t>
      </w:r>
      <w:r w:rsidR="00FD08C2" w:rsidRPr="00497728">
        <w:t>being asked to demonstrate</w:t>
      </w:r>
      <w:r w:rsidR="0007347F" w:rsidRPr="00497728">
        <w:t xml:space="preserve"> and</w:t>
      </w:r>
      <w:r w:rsidR="00FD08C2" w:rsidRPr="00497728">
        <w:t xml:space="preserve"> against which requirements</w:t>
      </w:r>
    </w:p>
    <w:p w14:paraId="5B944A07" w14:textId="3DC85FCF" w:rsidR="006D3EA2" w:rsidRPr="00497728" w:rsidRDefault="00FD08C2" w:rsidP="00420675">
      <w:pPr>
        <w:pStyle w:val="ListBullet"/>
      </w:pPr>
      <w:r w:rsidRPr="00497728">
        <w:t xml:space="preserve">what’s driving </w:t>
      </w:r>
      <w:r w:rsidR="006D3EA2" w:rsidRPr="00497728">
        <w:t>these</w:t>
      </w:r>
      <w:r w:rsidRPr="00497728">
        <w:t xml:space="preserve"> </w:t>
      </w:r>
      <w:r w:rsidR="00887AA5" w:rsidRPr="00497728">
        <w:t>requests</w:t>
      </w:r>
    </w:p>
    <w:p w14:paraId="3D2216BE" w14:textId="2308E170" w:rsidR="006D3EA2" w:rsidRPr="00497728" w:rsidRDefault="00FD08C2" w:rsidP="00420675">
      <w:pPr>
        <w:pStyle w:val="ListBullet"/>
      </w:pPr>
      <w:r w:rsidRPr="00497728">
        <w:t xml:space="preserve">what the expectations for evidence </w:t>
      </w:r>
      <w:r w:rsidR="00B86017" w:rsidRPr="00497728">
        <w:t>are</w:t>
      </w:r>
    </w:p>
    <w:p w14:paraId="26DCE5CE" w14:textId="0A29137A" w:rsidR="006D3EA2" w:rsidRPr="00497728" w:rsidRDefault="008802C6" w:rsidP="00420675">
      <w:pPr>
        <w:pStyle w:val="ListBullet"/>
      </w:pPr>
      <w:r w:rsidRPr="00497728">
        <w:t>how is that evidence expected to be provided</w:t>
      </w:r>
    </w:p>
    <w:p w14:paraId="1E124222" w14:textId="1E20F608" w:rsidR="006D3EA2" w:rsidRPr="00497728" w:rsidRDefault="00B86017" w:rsidP="00420675">
      <w:pPr>
        <w:pStyle w:val="ListBullet"/>
      </w:pPr>
      <w:r w:rsidRPr="00497728">
        <w:t>what key subjects or topics are of particular focus</w:t>
      </w:r>
    </w:p>
    <w:p w14:paraId="30460D76" w14:textId="30F8C1EC" w:rsidR="006D3EA2" w:rsidRPr="00497728" w:rsidRDefault="00B86017" w:rsidP="00420675">
      <w:pPr>
        <w:pStyle w:val="ListBullet"/>
      </w:pPr>
      <w:r w:rsidRPr="00497728">
        <w:t>what may be emerging in the future.</w:t>
      </w:r>
    </w:p>
    <w:p w14:paraId="135A80F9" w14:textId="12C45ADD" w:rsidR="00392E32" w:rsidRPr="00497728" w:rsidRDefault="002231CD" w:rsidP="00420675">
      <w:r w:rsidRPr="00497728">
        <w:t>Interviews were analysed for trends and commonalities</w:t>
      </w:r>
      <w:r w:rsidR="00900302">
        <w:t>. We distilled the</w:t>
      </w:r>
      <w:r w:rsidRPr="00497728">
        <w:t xml:space="preserve"> findings and </w:t>
      </w:r>
      <w:r w:rsidR="00881687" w:rsidRPr="00497728">
        <w:t>overla</w:t>
      </w:r>
      <w:r w:rsidR="00900302">
        <w:t>i</w:t>
      </w:r>
      <w:r w:rsidR="00881687" w:rsidRPr="00497728">
        <w:t>d</w:t>
      </w:r>
      <w:r w:rsidR="00C95023">
        <w:t xml:space="preserve"> them</w:t>
      </w:r>
      <w:r w:rsidR="00881687" w:rsidRPr="00497728">
        <w:t xml:space="preserve"> with the desktop research findings</w:t>
      </w:r>
      <w:r w:rsidRPr="00497728">
        <w:t>.</w:t>
      </w:r>
    </w:p>
    <w:p w14:paraId="38DE8B19" w14:textId="4D05E403" w:rsidR="00243E99" w:rsidRPr="00497728" w:rsidRDefault="00243E99" w:rsidP="00497728">
      <w:pPr>
        <w:pStyle w:val="Heading4"/>
      </w:pPr>
      <w:bookmarkStart w:id="16" w:name="_Scope_and_purpose"/>
      <w:bookmarkStart w:id="17" w:name="_Ref178772575"/>
      <w:bookmarkStart w:id="18" w:name="_Ref179462911"/>
      <w:bookmarkStart w:id="19" w:name="_Toc183182219"/>
      <w:bookmarkEnd w:id="16"/>
      <w:r w:rsidRPr="00497728">
        <w:lastRenderedPageBreak/>
        <w:t xml:space="preserve">Scope </w:t>
      </w:r>
      <w:r w:rsidR="00926EB2" w:rsidRPr="00497728">
        <w:t>and purpose</w:t>
      </w:r>
      <w:bookmarkEnd w:id="17"/>
      <w:bookmarkEnd w:id="18"/>
      <w:bookmarkEnd w:id="19"/>
    </w:p>
    <w:p w14:paraId="0096A2A0" w14:textId="16BBD1FF" w:rsidR="00926EB2" w:rsidRPr="00497728" w:rsidRDefault="00452DE3" w:rsidP="00956257">
      <w:pPr>
        <w:rPr>
          <w:color w:val="000000" w:themeColor="text1"/>
        </w:rPr>
      </w:pPr>
      <w:r w:rsidRPr="00497728">
        <w:t xml:space="preserve">It is recognised this paper is based on a small set of </w:t>
      </w:r>
      <w:r w:rsidR="0008698F" w:rsidRPr="00497728">
        <w:t xml:space="preserve">stakeholder </w:t>
      </w:r>
      <w:r w:rsidRPr="00497728">
        <w:t xml:space="preserve">perspectives. </w:t>
      </w:r>
      <w:r w:rsidR="00926EB2" w:rsidRPr="00497728">
        <w:t xml:space="preserve">The paper </w:t>
      </w:r>
      <w:r w:rsidR="00B514E3">
        <w:t>aims</w:t>
      </w:r>
      <w:r w:rsidR="00926EB2" w:rsidRPr="00497728">
        <w:t xml:space="preserve"> to canvas</w:t>
      </w:r>
      <w:r w:rsidR="00C05182" w:rsidRPr="00497728">
        <w:t>s</w:t>
      </w:r>
      <w:r w:rsidR="00926EB2" w:rsidRPr="00497728">
        <w:t xml:space="preserve"> stakeholder </w:t>
      </w:r>
      <w:r w:rsidR="00A44FA8" w:rsidRPr="00497728">
        <w:t xml:space="preserve">knowledge and </w:t>
      </w:r>
      <w:r w:rsidR="00926EB2" w:rsidRPr="00497728">
        <w:t>views</w:t>
      </w:r>
      <w:r w:rsidR="00F717A6" w:rsidRPr="00F717A6">
        <w:t xml:space="preserve"> </w:t>
      </w:r>
      <w:r w:rsidR="00F717A6" w:rsidRPr="00497728">
        <w:t>widely</w:t>
      </w:r>
      <w:r w:rsidR="007E15AD">
        <w:t>. It seeks to understand</w:t>
      </w:r>
      <w:r w:rsidR="00926EB2" w:rsidRPr="00497728">
        <w:t xml:space="preserve"> </w:t>
      </w:r>
      <w:r w:rsidR="00A44FA8" w:rsidRPr="00497728">
        <w:t xml:space="preserve">current and </w:t>
      </w:r>
      <w:r w:rsidR="00F5597C" w:rsidRPr="00497728">
        <w:t>e</w:t>
      </w:r>
      <w:r w:rsidR="00A44FA8" w:rsidRPr="00497728">
        <w:t xml:space="preserve">merging </w:t>
      </w:r>
      <w:r w:rsidR="008F2DE6" w:rsidRPr="00497728">
        <w:rPr>
          <w:color w:val="000000" w:themeColor="text1"/>
        </w:rPr>
        <w:t>expectations from</w:t>
      </w:r>
      <w:r w:rsidR="00E372FB" w:rsidRPr="00497728">
        <w:rPr>
          <w:color w:val="000000" w:themeColor="text1"/>
        </w:rPr>
        <w:t xml:space="preserve"> </w:t>
      </w:r>
      <w:r w:rsidR="00274255" w:rsidRPr="00497728">
        <w:rPr>
          <w:color w:val="000000" w:themeColor="text1"/>
        </w:rPr>
        <w:t xml:space="preserve">international </w:t>
      </w:r>
      <w:r w:rsidR="00E372FB" w:rsidRPr="00497728">
        <w:rPr>
          <w:color w:val="000000" w:themeColor="text1"/>
        </w:rPr>
        <w:t xml:space="preserve">markets </w:t>
      </w:r>
      <w:r w:rsidR="005112AC">
        <w:rPr>
          <w:color w:val="000000" w:themeColor="text1"/>
        </w:rPr>
        <w:t>for providing</w:t>
      </w:r>
      <w:r w:rsidR="00A44FA8" w:rsidRPr="00497728">
        <w:rPr>
          <w:color w:val="000000" w:themeColor="text1"/>
        </w:rPr>
        <w:t xml:space="preserve"> </w:t>
      </w:r>
      <w:r w:rsidR="001900BF" w:rsidRPr="00497728">
        <w:rPr>
          <w:color w:val="000000" w:themeColor="text1"/>
        </w:rPr>
        <w:t xml:space="preserve">evidence for sustainability claims that </w:t>
      </w:r>
      <w:r w:rsidR="005112AC">
        <w:rPr>
          <w:color w:val="000000" w:themeColor="text1"/>
        </w:rPr>
        <w:t>use</w:t>
      </w:r>
      <w:r w:rsidR="001900BF" w:rsidRPr="00497728">
        <w:rPr>
          <w:color w:val="000000" w:themeColor="text1"/>
        </w:rPr>
        <w:t xml:space="preserve"> existing data sets and addresses current and emerging </w:t>
      </w:r>
      <w:r w:rsidR="00394F14" w:rsidRPr="00497728">
        <w:rPr>
          <w:color w:val="000000" w:themeColor="text1"/>
        </w:rPr>
        <w:t>market and</w:t>
      </w:r>
      <w:r w:rsidR="001900BF" w:rsidRPr="00497728">
        <w:rPr>
          <w:color w:val="000000" w:themeColor="text1"/>
        </w:rPr>
        <w:t xml:space="preserve"> regulatory requirements.</w:t>
      </w:r>
    </w:p>
    <w:p w14:paraId="68597203" w14:textId="4E0D150F" w:rsidR="003808B2" w:rsidRPr="00497728" w:rsidRDefault="00E56B2F" w:rsidP="00A105C0">
      <w:pPr>
        <w:keepLines/>
      </w:pPr>
      <w:r>
        <w:rPr>
          <w:color w:val="000000" w:themeColor="text1"/>
        </w:rPr>
        <w:t xml:space="preserve">This paper focuses on </w:t>
      </w:r>
      <w:r w:rsidR="007D7A46">
        <w:t>8</w:t>
      </w:r>
      <w:r w:rsidR="007D24C6" w:rsidRPr="00497728">
        <w:t xml:space="preserve"> </w:t>
      </w:r>
      <w:r w:rsidR="001C6DCD" w:rsidRPr="00497728">
        <w:t>sectors</w:t>
      </w:r>
      <w:r w:rsidR="001D3B17" w:rsidRPr="00497728">
        <w:t xml:space="preserve">. </w:t>
      </w:r>
      <w:r w:rsidR="00196749">
        <w:t>Sectors</w:t>
      </w:r>
      <w:r w:rsidR="001D3B17" w:rsidRPr="00497728">
        <w:t xml:space="preserve"> were selected </w:t>
      </w:r>
      <w:r w:rsidR="008F2DE6" w:rsidRPr="00497728">
        <w:t>through</w:t>
      </w:r>
      <w:r w:rsidR="007E02AB" w:rsidRPr="00497728">
        <w:t xml:space="preserve"> an analysis of the</w:t>
      </w:r>
      <w:r w:rsidR="003808B2" w:rsidRPr="00497728">
        <w:t>:</w:t>
      </w:r>
    </w:p>
    <w:p w14:paraId="0E1C1939" w14:textId="0BDEEF63" w:rsidR="003808B2" w:rsidRPr="00497728" w:rsidRDefault="00A23759" w:rsidP="00A105C0">
      <w:pPr>
        <w:pStyle w:val="ListBullet"/>
        <w:keepLines/>
      </w:pPr>
      <w:r w:rsidRPr="00497728">
        <w:t xml:space="preserve">total </w:t>
      </w:r>
      <w:r w:rsidR="001D3B17" w:rsidRPr="00497728">
        <w:t>export market</w:t>
      </w:r>
      <w:r w:rsidR="007E02AB" w:rsidRPr="00497728">
        <w:t xml:space="preserve"> value</w:t>
      </w:r>
      <w:r w:rsidR="001D3B17" w:rsidRPr="00497728">
        <w:t xml:space="preserve"> (</w:t>
      </w:r>
      <w:r w:rsidR="004D65B1" w:rsidRPr="00497728">
        <w:t>Australian dollar</w:t>
      </w:r>
      <w:r w:rsidR="008F69C9" w:rsidRPr="00497728">
        <w:t>s</w:t>
      </w:r>
      <w:r w:rsidR="001D3B17" w:rsidRPr="00497728">
        <w:t>) for the financial year 2022</w:t>
      </w:r>
      <w:r w:rsidR="001A1845" w:rsidRPr="00497728">
        <w:t>–</w:t>
      </w:r>
      <w:r w:rsidR="001D3B17" w:rsidRPr="00497728">
        <w:t>23</w:t>
      </w:r>
      <w:r w:rsidR="003808B2" w:rsidRPr="00497728">
        <w:t xml:space="preserve"> to </w:t>
      </w:r>
      <w:r w:rsidR="00471292" w:rsidRPr="00497728">
        <w:t>identify</w:t>
      </w:r>
      <w:r w:rsidR="00E135BC" w:rsidRPr="00497728">
        <w:t xml:space="preserve"> the highest value </w:t>
      </w:r>
      <w:r w:rsidR="001C6DCD" w:rsidRPr="00497728">
        <w:t>sectors</w:t>
      </w:r>
    </w:p>
    <w:p w14:paraId="4259C28E" w14:textId="194C3D7F" w:rsidR="004D65B1" w:rsidRPr="00497728" w:rsidRDefault="005B49D1" w:rsidP="00A105C0">
      <w:pPr>
        <w:pStyle w:val="ListBullet"/>
        <w:keepLines/>
      </w:pPr>
      <w:r w:rsidRPr="00497728">
        <w:t xml:space="preserve">diverse </w:t>
      </w:r>
      <w:r w:rsidR="00510203" w:rsidRPr="00497728">
        <w:t xml:space="preserve">range </w:t>
      </w:r>
      <w:r w:rsidR="00CC1DC2" w:rsidRPr="00497728">
        <w:t xml:space="preserve">of </w:t>
      </w:r>
      <w:r w:rsidR="003808B2" w:rsidRPr="00497728">
        <w:t xml:space="preserve">export market destinations </w:t>
      </w:r>
      <w:r w:rsidR="00CC1DC2" w:rsidRPr="00497728">
        <w:t>for each commodity</w:t>
      </w:r>
      <w:r w:rsidR="003808B2" w:rsidRPr="00497728">
        <w:t xml:space="preserve"> to ensure a broad selection of markets</w:t>
      </w:r>
      <w:r w:rsidR="0063562A" w:rsidRPr="00497728">
        <w:t xml:space="preserve"> across all </w:t>
      </w:r>
      <w:r w:rsidR="001C6DCD" w:rsidRPr="00497728">
        <w:t>sectors</w:t>
      </w:r>
    </w:p>
    <w:p w14:paraId="55D6B026" w14:textId="5FD3DD99" w:rsidR="007D24C6" w:rsidRPr="00497728" w:rsidRDefault="0006120B" w:rsidP="00A105C0">
      <w:pPr>
        <w:pStyle w:val="ListBullet"/>
        <w:keepLines/>
      </w:pPr>
      <w:r w:rsidRPr="00497728">
        <w:t>differing levels of maturity in relation to sustainability</w:t>
      </w:r>
      <w:r w:rsidR="00BE493F" w:rsidRPr="00497728">
        <w:t xml:space="preserve"> </w:t>
      </w:r>
      <w:r w:rsidR="00E218AD" w:rsidRPr="00497728">
        <w:t>regulation and requirements</w:t>
      </w:r>
      <w:r w:rsidR="008F2DE6" w:rsidRPr="00497728">
        <w:t>,</w:t>
      </w:r>
      <w:r w:rsidR="00E218AD" w:rsidRPr="00497728">
        <w:t xml:space="preserve"> </w:t>
      </w:r>
      <w:r w:rsidR="00BE493F" w:rsidRPr="00497728">
        <w:t>both for the industry and for different export markets</w:t>
      </w:r>
      <w:r w:rsidR="0078363D" w:rsidRPr="00497728">
        <w:t>.</w:t>
      </w:r>
    </w:p>
    <w:p w14:paraId="0A5D8ECF" w14:textId="6F86DC91" w:rsidR="00645325" w:rsidRPr="00497728" w:rsidRDefault="00A87724" w:rsidP="00956257">
      <w:r w:rsidRPr="00497728">
        <w:t xml:space="preserve">Based on this analysis, the </w:t>
      </w:r>
      <w:r w:rsidR="001C6DCD" w:rsidRPr="00497728">
        <w:t xml:space="preserve">sectors </w:t>
      </w:r>
      <w:r w:rsidR="001F292C" w:rsidRPr="00497728">
        <w:t>and markets</w:t>
      </w:r>
      <w:r w:rsidRPr="00497728">
        <w:t xml:space="preserve"> </w:t>
      </w:r>
      <w:r w:rsidR="001A628D" w:rsidRPr="00497728">
        <w:t>within the scope of this paper</w:t>
      </w:r>
      <w:r w:rsidR="00645325" w:rsidRPr="00497728">
        <w:t xml:space="preserve"> are:</w:t>
      </w:r>
    </w:p>
    <w:p w14:paraId="20A53162" w14:textId="1DE2EDE3" w:rsidR="00645325" w:rsidRPr="00497728" w:rsidRDefault="001C6DCD" w:rsidP="00FA77D5">
      <w:pPr>
        <w:pStyle w:val="ListBullet"/>
      </w:pPr>
      <w:r w:rsidRPr="00497728">
        <w:t>Sectors</w:t>
      </w:r>
    </w:p>
    <w:p w14:paraId="366A6DB5" w14:textId="75B7C20B" w:rsidR="00262E4B" w:rsidRPr="00497728" w:rsidRDefault="00262E4B" w:rsidP="00FA77D5">
      <w:pPr>
        <w:pStyle w:val="ListBullet2"/>
      </w:pPr>
      <w:r w:rsidRPr="00497728">
        <w:t>Wheat</w:t>
      </w:r>
    </w:p>
    <w:p w14:paraId="75DB0317" w14:textId="023B791C" w:rsidR="00262E4B" w:rsidRPr="00497728" w:rsidRDefault="00262E4B" w:rsidP="00FA77D5">
      <w:pPr>
        <w:pStyle w:val="ListBullet2"/>
      </w:pPr>
      <w:r w:rsidRPr="00497728">
        <w:t>Beef</w:t>
      </w:r>
    </w:p>
    <w:p w14:paraId="28D8E83F" w14:textId="538F7F7C" w:rsidR="00262E4B" w:rsidRPr="00497728" w:rsidRDefault="00262E4B" w:rsidP="00FA77D5">
      <w:pPr>
        <w:pStyle w:val="ListBullet2"/>
      </w:pPr>
      <w:r w:rsidRPr="00497728">
        <w:t>Canola</w:t>
      </w:r>
    </w:p>
    <w:p w14:paraId="4282DB3C" w14:textId="3A677E7B" w:rsidR="00262E4B" w:rsidRPr="00497728" w:rsidRDefault="00262E4B" w:rsidP="00FA77D5">
      <w:pPr>
        <w:pStyle w:val="ListBullet2"/>
      </w:pPr>
      <w:r w:rsidRPr="00497728">
        <w:t>Cotton</w:t>
      </w:r>
    </w:p>
    <w:p w14:paraId="65ECF205" w14:textId="7BAC68DB" w:rsidR="00262E4B" w:rsidRPr="00497728" w:rsidRDefault="00262E4B" w:rsidP="00FA77D5">
      <w:pPr>
        <w:pStyle w:val="ListBullet2"/>
      </w:pPr>
      <w:r w:rsidRPr="00497728">
        <w:t>Wool</w:t>
      </w:r>
    </w:p>
    <w:p w14:paraId="1A2A3ADC" w14:textId="5C679C83" w:rsidR="00262E4B" w:rsidRPr="00497728" w:rsidRDefault="00262E4B" w:rsidP="00FA77D5">
      <w:pPr>
        <w:pStyle w:val="ListBullet2"/>
      </w:pPr>
      <w:r w:rsidRPr="00497728">
        <w:t>Seafood</w:t>
      </w:r>
    </w:p>
    <w:p w14:paraId="6B1E3FBA" w14:textId="3BF46105" w:rsidR="00262E4B" w:rsidRPr="00497728" w:rsidRDefault="00262E4B" w:rsidP="00FA77D5">
      <w:pPr>
        <w:pStyle w:val="ListBullet2"/>
      </w:pPr>
      <w:r w:rsidRPr="00497728">
        <w:t>Dairy</w:t>
      </w:r>
    </w:p>
    <w:p w14:paraId="4DBBC935" w14:textId="4FA819F8" w:rsidR="00262E4B" w:rsidRPr="00497728" w:rsidRDefault="00262E4B" w:rsidP="00FA77D5">
      <w:pPr>
        <w:pStyle w:val="ListBullet2"/>
      </w:pPr>
      <w:r w:rsidRPr="00497728">
        <w:t>Horticultur</w:t>
      </w:r>
      <w:r w:rsidR="00BA0C6D" w:rsidRPr="00497728">
        <w:t>e (fruit and vegetables)</w:t>
      </w:r>
      <w:r w:rsidR="009654F2" w:rsidRPr="00497728">
        <w:t>.</w:t>
      </w:r>
    </w:p>
    <w:p w14:paraId="266DEBC3" w14:textId="54738FDF" w:rsidR="00BA0C6D" w:rsidRPr="00497728" w:rsidRDefault="00BA0C6D" w:rsidP="00FA77D5">
      <w:pPr>
        <w:pStyle w:val="ListBullet"/>
      </w:pPr>
      <w:r w:rsidRPr="00497728">
        <w:t>Markets</w:t>
      </w:r>
    </w:p>
    <w:p w14:paraId="70484170" w14:textId="4BCA03E7" w:rsidR="00BA0C6D" w:rsidRPr="00497728" w:rsidRDefault="00E37A36" w:rsidP="00FA77D5">
      <w:pPr>
        <w:pStyle w:val="ListBullet2"/>
      </w:pPr>
      <w:r w:rsidRPr="00497728">
        <w:t>EU</w:t>
      </w:r>
    </w:p>
    <w:p w14:paraId="2C7B8C4B" w14:textId="746B9045" w:rsidR="00BA0C6D" w:rsidRPr="00497728" w:rsidRDefault="00BA0C6D" w:rsidP="00FA77D5">
      <w:pPr>
        <w:pStyle w:val="ListBullet2"/>
      </w:pPr>
      <w:r w:rsidRPr="00497728">
        <w:t>East Asia</w:t>
      </w:r>
    </w:p>
    <w:p w14:paraId="3F176AEA" w14:textId="2878D255" w:rsidR="0012407F" w:rsidRPr="00497728" w:rsidRDefault="004E7807" w:rsidP="00FA77D5">
      <w:pPr>
        <w:pStyle w:val="ListBullet2"/>
      </w:pPr>
      <w:r w:rsidRPr="00497728">
        <w:t>South</w:t>
      </w:r>
      <w:r w:rsidR="008F2DE6" w:rsidRPr="00497728">
        <w:t>-</w:t>
      </w:r>
      <w:r w:rsidRPr="00497728">
        <w:t>East Asia</w:t>
      </w:r>
    </w:p>
    <w:p w14:paraId="61C02D65" w14:textId="4AEBEEA6" w:rsidR="001550F6" w:rsidRPr="00497728" w:rsidRDefault="00BA0C6D" w:rsidP="00FA77D5">
      <w:pPr>
        <w:pStyle w:val="ListBullet2"/>
      </w:pPr>
      <w:r w:rsidRPr="00497728">
        <w:t>North America</w:t>
      </w:r>
      <w:r w:rsidR="002D5218" w:rsidRPr="00497728">
        <w:t xml:space="preserve"> (principally the </w:t>
      </w:r>
      <w:r w:rsidR="00E37A36" w:rsidRPr="00497728">
        <w:t>US</w:t>
      </w:r>
      <w:r w:rsidR="002D5218" w:rsidRPr="00497728">
        <w:t>)</w:t>
      </w:r>
      <w:r w:rsidR="009654F2" w:rsidRPr="00497728">
        <w:t>.</w:t>
      </w:r>
    </w:p>
    <w:p w14:paraId="5F9AC002" w14:textId="26428A4B" w:rsidR="00696041" w:rsidRPr="00497728" w:rsidRDefault="00896B5F" w:rsidP="00497728">
      <w:pPr>
        <w:pStyle w:val="Heading4"/>
      </w:pPr>
      <w:bookmarkStart w:id="20" w:name="_Toc183182220"/>
      <w:r w:rsidRPr="00497728">
        <w:t>Guiding principles</w:t>
      </w:r>
      <w:bookmarkEnd w:id="20"/>
    </w:p>
    <w:p w14:paraId="4A51A564" w14:textId="582F2667" w:rsidR="00D82518" w:rsidRPr="00497728" w:rsidRDefault="006834E4" w:rsidP="00D82518">
      <w:r w:rsidRPr="00497728">
        <w:t xml:space="preserve">To focus </w:t>
      </w:r>
      <w:r w:rsidR="008F2DE6" w:rsidRPr="00497728">
        <w:t>the</w:t>
      </w:r>
      <w:r w:rsidRPr="00497728">
        <w:t xml:space="preserve"> paper</w:t>
      </w:r>
      <w:r w:rsidR="00D82518" w:rsidRPr="00497728">
        <w:t xml:space="preserve"> the ASCWG identified guiding principles that can be summarised as:</w:t>
      </w:r>
    </w:p>
    <w:p w14:paraId="0625FB5C" w14:textId="646FC410" w:rsidR="0030707E" w:rsidRPr="00497728" w:rsidRDefault="00682185" w:rsidP="006A7683">
      <w:pPr>
        <w:pStyle w:val="Heading5"/>
      </w:pPr>
      <w:r w:rsidRPr="00497728">
        <w:t xml:space="preserve">Focus on </w:t>
      </w:r>
      <w:r w:rsidR="00D82518" w:rsidRPr="00497728">
        <w:t>e</w:t>
      </w:r>
      <w:r w:rsidRPr="00497728">
        <w:t>vidence-</w:t>
      </w:r>
      <w:r w:rsidR="00D82518" w:rsidRPr="00497728">
        <w:t>b</w:t>
      </w:r>
      <w:r w:rsidRPr="00497728">
        <w:t xml:space="preserve">ased </w:t>
      </w:r>
      <w:r w:rsidR="00D82518" w:rsidRPr="00497728">
        <w:t>s</w:t>
      </w:r>
      <w:r w:rsidRPr="00497728">
        <w:t>ustainability</w:t>
      </w:r>
      <w:r w:rsidR="008F2DE6" w:rsidRPr="00497728">
        <w:t xml:space="preserve"> claims</w:t>
      </w:r>
    </w:p>
    <w:p w14:paraId="0AC39231" w14:textId="77BD2256" w:rsidR="00682185" w:rsidRPr="00497728" w:rsidRDefault="00623B7B" w:rsidP="00497728">
      <w:r w:rsidRPr="00497728">
        <w:t>E</w:t>
      </w:r>
      <w:r w:rsidR="00682185" w:rsidRPr="00497728">
        <w:t xml:space="preserve">nsure that </w:t>
      </w:r>
      <w:r w:rsidR="00F178B6" w:rsidRPr="00497728">
        <w:t xml:space="preserve">Australian agriculture </w:t>
      </w:r>
      <w:r w:rsidR="00682185" w:rsidRPr="00497728">
        <w:t xml:space="preserve">sustainability claims support export </w:t>
      </w:r>
      <w:r w:rsidR="00A877C6" w:rsidRPr="00497728">
        <w:t xml:space="preserve">market </w:t>
      </w:r>
      <w:r w:rsidR="00682185" w:rsidRPr="00497728">
        <w:t xml:space="preserve">and </w:t>
      </w:r>
      <w:r w:rsidR="002D2218" w:rsidRPr="00497728">
        <w:t xml:space="preserve">regulatory </w:t>
      </w:r>
      <w:r w:rsidR="00F178B6" w:rsidRPr="00497728">
        <w:t>requirements</w:t>
      </w:r>
      <w:r w:rsidR="00682185" w:rsidRPr="00497728">
        <w:t>, integrating both regulatory and non-regulatory approaches.</w:t>
      </w:r>
    </w:p>
    <w:p w14:paraId="3BFCA1AE" w14:textId="77777777" w:rsidR="0030707E" w:rsidRPr="00497728" w:rsidRDefault="00682185" w:rsidP="006A7683">
      <w:pPr>
        <w:pStyle w:val="Heading5"/>
      </w:pPr>
      <w:r w:rsidRPr="00497728">
        <w:t xml:space="preserve">Build on </w:t>
      </w:r>
      <w:r w:rsidR="00D82518" w:rsidRPr="00497728">
        <w:t>e</w:t>
      </w:r>
      <w:r w:rsidRPr="00497728">
        <w:t xml:space="preserve">xisting </w:t>
      </w:r>
      <w:r w:rsidR="00D82518" w:rsidRPr="00497728">
        <w:t>e</w:t>
      </w:r>
      <w:r w:rsidRPr="00497728">
        <w:t>fforts</w:t>
      </w:r>
    </w:p>
    <w:p w14:paraId="30058EB5" w14:textId="01BBBEF8" w:rsidR="00682185" w:rsidRPr="00497728" w:rsidRDefault="001B0E43" w:rsidP="00497728">
      <w:r w:rsidRPr="00497728">
        <w:t>B</w:t>
      </w:r>
      <w:r w:rsidR="00682185" w:rsidRPr="00497728">
        <w:t xml:space="preserve">uild on existing national and industry-level sustainability initiatives, while evolving </w:t>
      </w:r>
      <w:r w:rsidR="008F2DE6" w:rsidRPr="00497728">
        <w:t>as</w:t>
      </w:r>
      <w:r w:rsidR="00682185" w:rsidRPr="00497728">
        <w:t xml:space="preserve"> learnings </w:t>
      </w:r>
      <w:r w:rsidR="008F2DE6" w:rsidRPr="00497728">
        <w:t xml:space="preserve">are made </w:t>
      </w:r>
      <w:r w:rsidR="00682185" w:rsidRPr="00497728">
        <w:t xml:space="preserve">and </w:t>
      </w:r>
      <w:r w:rsidR="008F2DE6" w:rsidRPr="00497728">
        <w:t xml:space="preserve">new </w:t>
      </w:r>
      <w:r w:rsidR="00682185" w:rsidRPr="00497728">
        <w:t xml:space="preserve">data </w:t>
      </w:r>
      <w:r w:rsidR="008F2DE6" w:rsidRPr="00497728">
        <w:t>becomes available</w:t>
      </w:r>
      <w:r w:rsidR="00682185" w:rsidRPr="00497728">
        <w:t xml:space="preserve"> to address gaps.</w:t>
      </w:r>
    </w:p>
    <w:p w14:paraId="11403803" w14:textId="77777777" w:rsidR="0030707E" w:rsidRPr="00497728" w:rsidRDefault="00682185" w:rsidP="006A7683">
      <w:pPr>
        <w:pStyle w:val="Heading5"/>
      </w:pPr>
      <w:r w:rsidRPr="00497728">
        <w:lastRenderedPageBreak/>
        <w:t>Industry-</w:t>
      </w:r>
      <w:r w:rsidR="000B6531" w:rsidRPr="00497728">
        <w:t>l</w:t>
      </w:r>
      <w:r w:rsidRPr="00497728">
        <w:t xml:space="preserve">evel </w:t>
      </w:r>
      <w:r w:rsidR="000B6531" w:rsidRPr="00497728">
        <w:t>f</w:t>
      </w:r>
      <w:r w:rsidRPr="00497728">
        <w:t xml:space="preserve">ocus with </w:t>
      </w:r>
      <w:r w:rsidR="000B6531" w:rsidRPr="00497728">
        <w:t>s</w:t>
      </w:r>
      <w:r w:rsidRPr="00497728">
        <w:t xml:space="preserve">upply </w:t>
      </w:r>
      <w:r w:rsidR="000B6531" w:rsidRPr="00497728">
        <w:t>c</w:t>
      </w:r>
      <w:r w:rsidRPr="00497728">
        <w:t xml:space="preserve">hain </w:t>
      </w:r>
      <w:r w:rsidR="000B6531" w:rsidRPr="00497728">
        <w:t>c</w:t>
      </w:r>
      <w:r w:rsidRPr="00497728">
        <w:t>onsideration</w:t>
      </w:r>
    </w:p>
    <w:p w14:paraId="2530EA28" w14:textId="1ABF609B" w:rsidR="00682185" w:rsidRPr="00497728" w:rsidRDefault="00682185" w:rsidP="00497728">
      <w:r w:rsidRPr="00497728">
        <w:t xml:space="preserve">The focus is on sustainability </w:t>
      </w:r>
      <w:r w:rsidR="00016DF7" w:rsidRPr="00497728">
        <w:t xml:space="preserve">claims </w:t>
      </w:r>
      <w:r w:rsidRPr="00497728">
        <w:t xml:space="preserve">at the whole </w:t>
      </w:r>
      <w:r w:rsidR="00AD3927" w:rsidRPr="00497728">
        <w:t xml:space="preserve">of </w:t>
      </w:r>
      <w:r w:rsidR="00754E28" w:rsidRPr="00497728">
        <w:t xml:space="preserve">industry </w:t>
      </w:r>
      <w:r w:rsidRPr="00497728">
        <w:t xml:space="preserve">level rather than individual farms, but it </w:t>
      </w:r>
      <w:r w:rsidR="00E25CB0" w:rsidRPr="00497728">
        <w:t>may</w:t>
      </w:r>
      <w:r w:rsidRPr="00497728">
        <w:t xml:space="preserve"> consider the role of different actors across the supply chain, from farms to retail</w:t>
      </w:r>
      <w:r w:rsidR="00D6651E" w:rsidRPr="00497728">
        <w:t>ers</w:t>
      </w:r>
      <w:r w:rsidRPr="00497728">
        <w:t>.</w:t>
      </w:r>
    </w:p>
    <w:p w14:paraId="58851A49" w14:textId="77777777" w:rsidR="0030707E" w:rsidRPr="00497728" w:rsidRDefault="00682185" w:rsidP="006A7683">
      <w:pPr>
        <w:pStyle w:val="Heading5"/>
      </w:pPr>
      <w:r w:rsidRPr="00497728">
        <w:t xml:space="preserve">Data and </w:t>
      </w:r>
      <w:r w:rsidR="000B6531" w:rsidRPr="00497728">
        <w:t>v</w:t>
      </w:r>
      <w:r w:rsidRPr="00497728">
        <w:t>erification</w:t>
      </w:r>
    </w:p>
    <w:p w14:paraId="1E257A20" w14:textId="2A7459F7" w:rsidR="00682185" w:rsidRPr="00497728" w:rsidRDefault="00682185" w:rsidP="00497728">
      <w:r w:rsidRPr="00497728">
        <w:t xml:space="preserve">Emphasis is placed on </w:t>
      </w:r>
      <w:r w:rsidR="00874FC1" w:rsidRPr="00497728">
        <w:t xml:space="preserve">using </w:t>
      </w:r>
      <w:r w:rsidRPr="00497728">
        <w:t xml:space="preserve">existing data to support sustainability claims and identifying gaps where data or information needs to be </w:t>
      </w:r>
      <w:r w:rsidR="008F2DE6" w:rsidRPr="00497728">
        <w:t xml:space="preserve">collected or otherwise </w:t>
      </w:r>
      <w:r w:rsidRPr="00497728">
        <w:t>synthesi</w:t>
      </w:r>
      <w:r w:rsidR="00E25CB0" w:rsidRPr="00497728">
        <w:t>s</w:t>
      </w:r>
      <w:r w:rsidRPr="00497728">
        <w:t xml:space="preserve">ed. Verification methods, whether through standards or innovative approaches beyond </w:t>
      </w:r>
      <w:r w:rsidR="00905A62" w:rsidRPr="00497728">
        <w:t xml:space="preserve">typical audit-based </w:t>
      </w:r>
      <w:r w:rsidRPr="00497728">
        <w:t>certification, are critical for credibility.</w:t>
      </w:r>
    </w:p>
    <w:p w14:paraId="485862E1" w14:textId="77777777" w:rsidR="0030707E" w:rsidRPr="00497728" w:rsidRDefault="00002080" w:rsidP="006A7683">
      <w:pPr>
        <w:pStyle w:val="Heading5"/>
      </w:pPr>
      <w:r w:rsidRPr="00497728">
        <w:t>Market access and regulatory compliance</w:t>
      </w:r>
    </w:p>
    <w:p w14:paraId="666B5C9D" w14:textId="39E32A37" w:rsidR="00682185" w:rsidRPr="00497728" w:rsidRDefault="00682185" w:rsidP="00497728">
      <w:r w:rsidRPr="00497728">
        <w:t>Sustainability claims are relevant for international trade, market access, financial sectors, and corporate sustainability reporting, and may differ for various audiences.</w:t>
      </w:r>
      <w:r w:rsidR="008A15E6" w:rsidRPr="00497728">
        <w:t xml:space="preserve"> The focus of this paper is on </w:t>
      </w:r>
      <w:r w:rsidR="001C71A9" w:rsidRPr="00497728">
        <w:t xml:space="preserve">export </w:t>
      </w:r>
      <w:r w:rsidR="00002080" w:rsidRPr="00497728">
        <w:t>market access and regulatory compliance.</w:t>
      </w:r>
    </w:p>
    <w:p w14:paraId="6F8BBFDE" w14:textId="4BB9E849" w:rsidR="0030707E" w:rsidRPr="00497728" w:rsidRDefault="00682185" w:rsidP="006A7683">
      <w:pPr>
        <w:pStyle w:val="Heading5"/>
      </w:pPr>
      <w:r w:rsidRPr="00497728">
        <w:t xml:space="preserve">Adaptability and </w:t>
      </w:r>
      <w:r w:rsidR="00905A62" w:rsidRPr="00497728">
        <w:t>r</w:t>
      </w:r>
      <w:r w:rsidRPr="00497728">
        <w:t>elevance</w:t>
      </w:r>
    </w:p>
    <w:p w14:paraId="7853EEA6" w14:textId="4FF053A4" w:rsidR="00896B5F" w:rsidRPr="00497728" w:rsidRDefault="00682185" w:rsidP="00497728">
      <w:r w:rsidRPr="00497728">
        <w:t xml:space="preserve">The proposed approaches must be </w:t>
      </w:r>
      <w:r w:rsidR="00A73D84" w:rsidRPr="00497728">
        <w:t xml:space="preserve">relevant </w:t>
      </w:r>
      <w:r w:rsidRPr="00497728">
        <w:t>to Australia’s unique agricultural environment without imposing undue burdens</w:t>
      </w:r>
      <w:r w:rsidR="008F2DE6" w:rsidRPr="00497728">
        <w:t xml:space="preserve"> on participants</w:t>
      </w:r>
      <w:r w:rsidRPr="00497728">
        <w:t>, while aligning with international trade rules and evidence</w:t>
      </w:r>
      <w:r w:rsidR="009B2DFD">
        <w:noBreakHyphen/>
      </w:r>
      <w:r w:rsidRPr="00497728">
        <w:t>based decision-making systems.</w:t>
      </w:r>
    </w:p>
    <w:p w14:paraId="68B0E0BA" w14:textId="4FB2D136" w:rsidR="00896B5F" w:rsidRPr="00497728" w:rsidRDefault="00896B5F" w:rsidP="00497728">
      <w:pPr>
        <w:pStyle w:val="Heading4"/>
        <w:numPr>
          <w:ilvl w:val="2"/>
          <w:numId w:val="3"/>
        </w:numPr>
      </w:pPr>
      <w:bookmarkStart w:id="21" w:name="_Toc183182221"/>
      <w:r w:rsidRPr="00497728">
        <w:t>Audience</w:t>
      </w:r>
      <w:bookmarkEnd w:id="21"/>
    </w:p>
    <w:p w14:paraId="7548C2A3" w14:textId="5A863754" w:rsidR="00956257" w:rsidRPr="00497728" w:rsidRDefault="00874FC1" w:rsidP="00956257">
      <w:r w:rsidRPr="00497728">
        <w:t>T</w:t>
      </w:r>
      <w:r w:rsidR="00956257" w:rsidRPr="00497728">
        <w:t xml:space="preserve">here are </w:t>
      </w:r>
      <w:r w:rsidR="00C52371">
        <w:t>many</w:t>
      </w:r>
      <w:r w:rsidR="00956257" w:rsidRPr="00497728">
        <w:t xml:space="preserve"> audiences for this </w:t>
      </w:r>
      <w:r w:rsidR="00337B41" w:rsidRPr="00497728">
        <w:t>paper</w:t>
      </w:r>
      <w:r w:rsidR="00956257" w:rsidRPr="00497728">
        <w:t xml:space="preserve"> including </w:t>
      </w:r>
      <w:r w:rsidR="00C66416" w:rsidRPr="00497728">
        <w:t xml:space="preserve">governments, </w:t>
      </w:r>
      <w:r w:rsidR="00525B06" w:rsidRPr="00497728">
        <w:t xml:space="preserve">industry bodies, </w:t>
      </w:r>
      <w:r w:rsidR="00956257" w:rsidRPr="00497728">
        <w:t>supply chain participants</w:t>
      </w:r>
      <w:r w:rsidR="005746F6" w:rsidRPr="00497728">
        <w:t>,</w:t>
      </w:r>
      <w:r w:rsidR="00E96353" w:rsidRPr="00497728">
        <w:t xml:space="preserve"> and</w:t>
      </w:r>
      <w:r w:rsidR="00956257" w:rsidRPr="00497728">
        <w:t xml:space="preserve"> regulators.</w:t>
      </w:r>
    </w:p>
    <w:p w14:paraId="0C077A10" w14:textId="1E238F2A" w:rsidR="00146A67" w:rsidRPr="00497728" w:rsidRDefault="00B72E74" w:rsidP="00146A67">
      <w:pPr>
        <w:rPr>
          <w:color w:val="000000" w:themeColor="text1"/>
        </w:rPr>
      </w:pPr>
      <w:r w:rsidRPr="00497728">
        <w:t>All feedback is welcome t</w:t>
      </w:r>
      <w:r w:rsidR="00146A67" w:rsidRPr="00497728">
        <w:t xml:space="preserve">hat assists </w:t>
      </w:r>
      <w:r w:rsidR="00DF1EFF">
        <w:t xml:space="preserve">in </w:t>
      </w:r>
      <w:r w:rsidR="00B3711E">
        <w:t>identifying</w:t>
      </w:r>
      <w:r w:rsidR="006F2579" w:rsidRPr="00497728">
        <w:t xml:space="preserve"> </w:t>
      </w:r>
      <w:r w:rsidR="00AB6B80" w:rsidRPr="00497728">
        <w:rPr>
          <w:color w:val="000000" w:themeColor="text1"/>
        </w:rPr>
        <w:t>approaches</w:t>
      </w:r>
      <w:r w:rsidR="00146A67" w:rsidRPr="00497728">
        <w:rPr>
          <w:color w:val="000000" w:themeColor="text1"/>
        </w:rPr>
        <w:t xml:space="preserve"> and requirements expected by markets to provide evidence for sustainability claims that leverage existing data sets and address current and emerging regulatory requirements.</w:t>
      </w:r>
    </w:p>
    <w:p w14:paraId="0900CA56" w14:textId="5752B4BB" w:rsidR="00BB0E2A" w:rsidRPr="00497728" w:rsidRDefault="00BB0E2A" w:rsidP="00146A67">
      <w:pPr>
        <w:rPr>
          <w:color w:val="000000" w:themeColor="text1"/>
        </w:rPr>
      </w:pPr>
      <w:r w:rsidRPr="00497728">
        <w:rPr>
          <w:color w:val="000000" w:themeColor="text1"/>
        </w:rPr>
        <w:t xml:space="preserve">Input </w:t>
      </w:r>
      <w:r w:rsidR="00B3711E" w:rsidRPr="00497728">
        <w:rPr>
          <w:color w:val="000000" w:themeColor="text1"/>
        </w:rPr>
        <w:t xml:space="preserve">is particularly encouraged </w:t>
      </w:r>
      <w:r w:rsidRPr="00497728">
        <w:rPr>
          <w:color w:val="000000" w:themeColor="text1"/>
        </w:rPr>
        <w:t xml:space="preserve">from supply chain participants in major export markets </w:t>
      </w:r>
      <w:r w:rsidR="00A64FB4" w:rsidRPr="00497728">
        <w:rPr>
          <w:color w:val="000000" w:themeColor="text1"/>
        </w:rPr>
        <w:t xml:space="preserve">for </w:t>
      </w:r>
      <w:r w:rsidRPr="00497728">
        <w:rPr>
          <w:color w:val="000000" w:themeColor="text1"/>
        </w:rPr>
        <w:t>Australian food and fibre products.</w:t>
      </w:r>
    </w:p>
    <w:p w14:paraId="415374B7" w14:textId="2C88E9F1" w:rsidR="00360B49" w:rsidRPr="00497728" w:rsidRDefault="00360B49" w:rsidP="00CD22AE">
      <w:pPr>
        <w:keepLines/>
      </w:pPr>
      <w:r w:rsidRPr="00497728">
        <w:rPr>
          <w:color w:val="000000" w:themeColor="text1"/>
        </w:rPr>
        <w:t xml:space="preserve">Ultimately, the final </w:t>
      </w:r>
      <w:r w:rsidR="00337B41" w:rsidRPr="00497728">
        <w:rPr>
          <w:color w:val="000000" w:themeColor="text1"/>
        </w:rPr>
        <w:t>report</w:t>
      </w:r>
      <w:r w:rsidRPr="00497728">
        <w:rPr>
          <w:color w:val="000000" w:themeColor="text1"/>
        </w:rPr>
        <w:t xml:space="preserve"> will </w:t>
      </w:r>
      <w:r w:rsidRPr="00497728">
        <w:t>support and inform:</w:t>
      </w:r>
    </w:p>
    <w:p w14:paraId="753071C4" w14:textId="4C2C0CDB" w:rsidR="004C6EBE" w:rsidRPr="00497728" w:rsidRDefault="004C6EBE" w:rsidP="00497728">
      <w:pPr>
        <w:pStyle w:val="ListBullet"/>
        <w:keepLines/>
      </w:pPr>
      <w:r w:rsidRPr="00497728">
        <w:t>government agencies and industry bodies involved with international trade relations</w:t>
      </w:r>
    </w:p>
    <w:p w14:paraId="2F12F2E9" w14:textId="50F60CB8" w:rsidR="00CE1B3E" w:rsidRPr="00497728" w:rsidRDefault="006F2579" w:rsidP="00497728">
      <w:pPr>
        <w:pStyle w:val="ListBullet"/>
        <w:keepLines/>
      </w:pPr>
      <w:r w:rsidRPr="00497728">
        <w:t xml:space="preserve">those </w:t>
      </w:r>
      <w:r w:rsidR="00CE1B3E" w:rsidRPr="00497728">
        <w:t xml:space="preserve">with </w:t>
      </w:r>
      <w:r w:rsidRPr="00497728">
        <w:t xml:space="preserve">an </w:t>
      </w:r>
      <w:r w:rsidR="00CE1B3E" w:rsidRPr="00497728">
        <w:t>interest in evidenced-based sustainability claims and traceability</w:t>
      </w:r>
      <w:r w:rsidR="00B12EC1" w:rsidRPr="00497728">
        <w:t xml:space="preserve"> of these claims</w:t>
      </w:r>
    </w:p>
    <w:p w14:paraId="39B17290" w14:textId="2D473201" w:rsidR="00360B49" w:rsidRPr="00497728" w:rsidRDefault="00360B49" w:rsidP="00497728">
      <w:pPr>
        <w:pStyle w:val="ListBullet"/>
        <w:keepLines/>
      </w:pPr>
      <w:r w:rsidRPr="00497728">
        <w:t>participants in supply chain</w:t>
      </w:r>
      <w:r w:rsidR="004B403F" w:rsidRPr="00497728">
        <w:t>s</w:t>
      </w:r>
      <w:r w:rsidRPr="00497728">
        <w:t xml:space="preserve"> who develop or </w:t>
      </w:r>
      <w:r w:rsidR="00420BDE">
        <w:t>buy</w:t>
      </w:r>
      <w:r w:rsidRPr="00497728">
        <w:t xml:space="preserve"> systems </w:t>
      </w:r>
      <w:r w:rsidR="00201774" w:rsidRPr="00497728">
        <w:t>for evidenced-based</w:t>
      </w:r>
      <w:r w:rsidRPr="00497728">
        <w:t xml:space="preserve"> </w:t>
      </w:r>
      <w:r w:rsidR="00201774" w:rsidRPr="00497728">
        <w:t>sustainability</w:t>
      </w:r>
      <w:r w:rsidRPr="00497728">
        <w:t xml:space="preserve"> claims along the supply chain (e.g. input providers, primary producers, processors, freight forwarders, importers, exporters, wholesalers, retailers)</w:t>
      </w:r>
    </w:p>
    <w:p w14:paraId="7614D581" w14:textId="23180833" w:rsidR="00360B49" w:rsidRPr="00497728" w:rsidRDefault="00360B49" w:rsidP="00497728">
      <w:pPr>
        <w:pStyle w:val="ListBullet"/>
        <w:keepLines/>
      </w:pPr>
      <w:r w:rsidRPr="00497728">
        <w:t xml:space="preserve">assessment bodies that verify </w:t>
      </w:r>
      <w:r w:rsidR="00BC2700" w:rsidRPr="00497728">
        <w:t>sustainability</w:t>
      </w:r>
      <w:r w:rsidRPr="00497728">
        <w:t xml:space="preserve"> claims and issue credentials where applicable</w:t>
      </w:r>
    </w:p>
    <w:p w14:paraId="71A317AA" w14:textId="6BFF4EFD" w:rsidR="00904B42" w:rsidRPr="00497728" w:rsidRDefault="00904B42" w:rsidP="00497728">
      <w:pPr>
        <w:pStyle w:val="ListBullet"/>
        <w:keepLines/>
      </w:pPr>
      <w:r w:rsidRPr="00497728">
        <w:t>technology providers who develop systems that underpin evidence-based sustainability claims</w:t>
      </w:r>
    </w:p>
    <w:p w14:paraId="184FA463" w14:textId="3C861E2C" w:rsidR="00360B49" w:rsidRPr="00497728" w:rsidRDefault="00360B49" w:rsidP="00497728">
      <w:pPr>
        <w:pStyle w:val="ListBullet"/>
        <w:keepLines/>
      </w:pPr>
      <w:r w:rsidRPr="00497728">
        <w:t>research</w:t>
      </w:r>
      <w:r w:rsidR="00784548" w:rsidRPr="00497728">
        <w:t>ers</w:t>
      </w:r>
      <w:r w:rsidRPr="00497728">
        <w:t xml:space="preserve"> (public and private) with </w:t>
      </w:r>
      <w:r w:rsidR="00956C26" w:rsidRPr="00497728">
        <w:t xml:space="preserve">an </w:t>
      </w:r>
      <w:r w:rsidRPr="00497728">
        <w:t xml:space="preserve">interest in </w:t>
      </w:r>
      <w:r w:rsidR="00BC2700" w:rsidRPr="00497728">
        <w:t>sustainability</w:t>
      </w:r>
      <w:r w:rsidR="00C72D56" w:rsidRPr="00497728">
        <w:t xml:space="preserve"> claims</w:t>
      </w:r>
      <w:r w:rsidR="00BC2700" w:rsidRPr="00497728">
        <w:t xml:space="preserve">, </w:t>
      </w:r>
      <w:r w:rsidRPr="00497728">
        <w:t>traceability, supply chain, market access, and related topics</w:t>
      </w:r>
    </w:p>
    <w:p w14:paraId="42621A72" w14:textId="3CA1ABEA" w:rsidR="00360B49" w:rsidRPr="00497728" w:rsidRDefault="00360B49" w:rsidP="00497728">
      <w:pPr>
        <w:pStyle w:val="ListBullet"/>
        <w:keepLines/>
      </w:pPr>
      <w:r w:rsidRPr="00497728">
        <w:t>buyers of environmental outcomes (e.g. green finance, carbon, biodiversity and other environmental, social, and governance (ESG) markets)</w:t>
      </w:r>
    </w:p>
    <w:p w14:paraId="3E8558A8" w14:textId="5C2EBC1E" w:rsidR="006043F1" w:rsidRPr="00497728" w:rsidRDefault="00360B49" w:rsidP="00497728">
      <w:pPr>
        <w:pStyle w:val="ListBullet"/>
        <w:keepLines/>
      </w:pPr>
      <w:r w:rsidRPr="00497728">
        <w:lastRenderedPageBreak/>
        <w:t>agricultural industry bodies that advocate for supply chain participants</w:t>
      </w:r>
      <w:r w:rsidR="00904B42" w:rsidRPr="00497728">
        <w:t>.</w:t>
      </w:r>
    </w:p>
    <w:p w14:paraId="7418F890" w14:textId="4E169369" w:rsidR="0023082C" w:rsidRPr="00497728" w:rsidRDefault="00555583" w:rsidP="00D26947">
      <w:pPr>
        <w:pStyle w:val="Heading2"/>
      </w:pPr>
      <w:bookmarkStart w:id="22" w:name="_Toc183182222"/>
      <w:r w:rsidRPr="00497728">
        <w:lastRenderedPageBreak/>
        <w:t xml:space="preserve">International market and </w:t>
      </w:r>
      <w:r w:rsidR="00E03307" w:rsidRPr="00497728">
        <w:t xml:space="preserve">regulatory </w:t>
      </w:r>
      <w:r w:rsidRPr="00497728">
        <w:t>requirements</w:t>
      </w:r>
      <w:bookmarkEnd w:id="22"/>
    </w:p>
    <w:p w14:paraId="43A9C136" w14:textId="1EF57ABE" w:rsidR="009B5236" w:rsidRPr="00497728" w:rsidRDefault="006F2579" w:rsidP="00215970">
      <w:r w:rsidRPr="00497728">
        <w:t xml:space="preserve">Many of </w:t>
      </w:r>
      <w:r w:rsidR="00D65E3C" w:rsidRPr="00497728">
        <w:t>Australia’s</w:t>
      </w:r>
      <w:r w:rsidR="00EF56F3" w:rsidRPr="00497728">
        <w:t xml:space="preserve"> </w:t>
      </w:r>
      <w:r w:rsidR="00BF1EE1" w:rsidRPr="00497728">
        <w:t>international agricul</w:t>
      </w:r>
      <w:r w:rsidR="006A45FE" w:rsidRPr="00497728">
        <w:t xml:space="preserve">tural </w:t>
      </w:r>
      <w:r w:rsidR="00EF56F3" w:rsidRPr="00497728">
        <w:t>markets are placing increasing emphasis on sustainability</w:t>
      </w:r>
      <w:r w:rsidR="006A45FE" w:rsidRPr="00497728">
        <w:t xml:space="preserve">. This is being </w:t>
      </w:r>
      <w:r w:rsidR="00EF56F3" w:rsidRPr="00497728">
        <w:t>driven</w:t>
      </w:r>
      <w:r w:rsidR="00C54966" w:rsidRPr="00497728">
        <w:t xml:space="preserve"> by</w:t>
      </w:r>
      <w:r w:rsidR="00EF56F3" w:rsidRPr="00497728">
        <w:t xml:space="preserve"> regulatory </w:t>
      </w:r>
      <w:r w:rsidR="00856ADA" w:rsidRPr="00497728">
        <w:t>changes</w:t>
      </w:r>
      <w:r w:rsidR="00EA5283" w:rsidRPr="00497728">
        <w:t xml:space="preserve">, corporate </w:t>
      </w:r>
      <w:r w:rsidR="00F60CE0" w:rsidRPr="00497728">
        <w:t xml:space="preserve">responsibility </w:t>
      </w:r>
      <w:r w:rsidR="00EA5283" w:rsidRPr="00497728">
        <w:t>initiatives</w:t>
      </w:r>
      <w:r w:rsidR="00D65E3C" w:rsidRPr="00497728">
        <w:t xml:space="preserve"> </w:t>
      </w:r>
      <w:r w:rsidR="00574679" w:rsidRPr="00497728">
        <w:t>and</w:t>
      </w:r>
      <w:r w:rsidR="00D65E3C" w:rsidRPr="00497728">
        <w:t>, in some cases</w:t>
      </w:r>
      <w:r w:rsidR="006A45FE" w:rsidRPr="00497728">
        <w:t>,</w:t>
      </w:r>
      <w:r w:rsidR="00D65E3C" w:rsidRPr="00497728">
        <w:t xml:space="preserve"> </w:t>
      </w:r>
      <w:r w:rsidRPr="00497728">
        <w:t xml:space="preserve">as a </w:t>
      </w:r>
      <w:r w:rsidR="00D65E3C" w:rsidRPr="00497728">
        <w:t xml:space="preserve">response to </w:t>
      </w:r>
      <w:r w:rsidR="00574679" w:rsidRPr="00497728">
        <w:t>activist activity.</w:t>
      </w:r>
      <w:r w:rsidR="00401274" w:rsidRPr="00497728">
        <w:t xml:space="preserve"> </w:t>
      </w:r>
      <w:r w:rsidR="00DE398A" w:rsidRPr="00497728">
        <w:t xml:space="preserve">Rarely does the driver for </w:t>
      </w:r>
      <w:r w:rsidR="009B5236" w:rsidRPr="00497728">
        <w:t xml:space="preserve">demonstrating </w:t>
      </w:r>
      <w:r w:rsidR="00DE398A" w:rsidRPr="00497728">
        <w:t xml:space="preserve">sustainability appear to be </w:t>
      </w:r>
      <w:r w:rsidR="00A96DA6" w:rsidRPr="00497728">
        <w:t xml:space="preserve">purely </w:t>
      </w:r>
      <w:r w:rsidR="009B5236" w:rsidRPr="00497728">
        <w:t xml:space="preserve">responding to </w:t>
      </w:r>
      <w:r w:rsidR="00DE398A" w:rsidRPr="00497728">
        <w:t xml:space="preserve">consumer </w:t>
      </w:r>
      <w:r w:rsidR="009B5236" w:rsidRPr="00497728">
        <w:t>expectations.</w:t>
      </w:r>
    </w:p>
    <w:p w14:paraId="32C680B6" w14:textId="0DF6E16F" w:rsidR="003F46BC" w:rsidRPr="00497728" w:rsidRDefault="00A84949" w:rsidP="00215970">
      <w:r w:rsidRPr="00497728">
        <w:t>As a result, sustainability</w:t>
      </w:r>
      <w:r w:rsidR="00E27B29" w:rsidRPr="00497728">
        <w:t xml:space="preserve">, and the ability to demonstrate that </w:t>
      </w:r>
      <w:r w:rsidR="009B5236" w:rsidRPr="00497728">
        <w:t xml:space="preserve">a </w:t>
      </w:r>
      <w:r w:rsidR="00E27B29" w:rsidRPr="00497728">
        <w:t>product has been produced sustainably,</w:t>
      </w:r>
      <w:r w:rsidRPr="00497728">
        <w:t xml:space="preserve"> </w:t>
      </w:r>
      <w:r w:rsidR="00D65E3C" w:rsidRPr="00497728">
        <w:t>is increasingly becoming</w:t>
      </w:r>
      <w:r w:rsidR="00215970" w:rsidRPr="00497728">
        <w:t xml:space="preserve"> </w:t>
      </w:r>
      <w:r w:rsidR="006F5D3E" w:rsidRPr="00497728">
        <w:t xml:space="preserve">a </w:t>
      </w:r>
      <w:r w:rsidR="00215970" w:rsidRPr="00497728">
        <w:t xml:space="preserve">key </w:t>
      </w:r>
      <w:r w:rsidR="00D65E3C" w:rsidRPr="00497728">
        <w:t>factor in</w:t>
      </w:r>
      <w:r w:rsidR="00215970" w:rsidRPr="00497728">
        <w:t xml:space="preserve"> market access</w:t>
      </w:r>
      <w:r w:rsidR="00D65E3C" w:rsidRPr="00497728">
        <w:t xml:space="preserve"> negotiations</w:t>
      </w:r>
      <w:r w:rsidR="00EF16DC" w:rsidRPr="00497728">
        <w:t xml:space="preserve"> </w:t>
      </w:r>
      <w:r w:rsidR="00C80CC7" w:rsidRPr="00497728">
        <w:t>at the government to government</w:t>
      </w:r>
      <w:r w:rsidR="007D575B" w:rsidRPr="00497728">
        <w:t>, industry to government</w:t>
      </w:r>
      <w:r w:rsidR="00C80CC7" w:rsidRPr="00497728">
        <w:t xml:space="preserve"> and business to business level</w:t>
      </w:r>
      <w:r w:rsidR="00D43B68" w:rsidRPr="00497728">
        <w:t>s</w:t>
      </w:r>
      <w:r w:rsidR="00C80CC7" w:rsidRPr="00497728">
        <w:t>.</w:t>
      </w:r>
    </w:p>
    <w:p w14:paraId="76499D95" w14:textId="0922A600" w:rsidR="003E3856" w:rsidRPr="00497728" w:rsidRDefault="00E64E52" w:rsidP="00CC249B">
      <w:r w:rsidRPr="00497728">
        <w:t>A</w:t>
      </w:r>
      <w:r w:rsidR="00A64BA0" w:rsidRPr="00497728">
        <w:t>t</w:t>
      </w:r>
      <w:r w:rsidRPr="00497728">
        <w:t xml:space="preserve"> the government level, different </w:t>
      </w:r>
      <w:r w:rsidR="00CC249B" w:rsidRPr="00497728">
        <w:t xml:space="preserve">markets have </w:t>
      </w:r>
      <w:r w:rsidR="00A71AFF" w:rsidRPr="00497728">
        <w:t xml:space="preserve">implemented their </w:t>
      </w:r>
      <w:r w:rsidR="00CC249B" w:rsidRPr="00497728">
        <w:t xml:space="preserve">own </w:t>
      </w:r>
      <w:r w:rsidR="00BB5786" w:rsidRPr="00497728">
        <w:t xml:space="preserve">domestic </w:t>
      </w:r>
      <w:r w:rsidR="00CC249B" w:rsidRPr="00497728">
        <w:t>regulations, often driven by environmental goals, climate change mitigation strategies, and ethical considerations. In particular, the EU is leading in pushing for transparency and accountability in sustainability claims</w:t>
      </w:r>
      <w:r w:rsidR="0098119F" w:rsidRPr="00497728">
        <w:t xml:space="preserve">. </w:t>
      </w:r>
      <w:r w:rsidR="008F3E1C" w:rsidRPr="00497728">
        <w:t xml:space="preserve">The result is enhanced reporting requirements </w:t>
      </w:r>
      <w:r w:rsidR="007953AB" w:rsidRPr="00497728">
        <w:t xml:space="preserve">for </w:t>
      </w:r>
      <w:r w:rsidR="0098578A" w:rsidRPr="00497728">
        <w:t>supply chain participants</w:t>
      </w:r>
      <w:r w:rsidR="007953AB" w:rsidRPr="00497728">
        <w:t xml:space="preserve"> about the sustainability of their operations. </w:t>
      </w:r>
      <w:r w:rsidR="0098119F" w:rsidRPr="00497728">
        <w:t>O</w:t>
      </w:r>
      <w:r w:rsidR="00CC249B" w:rsidRPr="00497728">
        <w:t xml:space="preserve">ther major markets such as the United States, </w:t>
      </w:r>
      <w:r w:rsidR="004E50F6" w:rsidRPr="00497728">
        <w:t>East Asia</w:t>
      </w:r>
      <w:r w:rsidR="00CC249B" w:rsidRPr="00497728">
        <w:t>, and increasingly, South</w:t>
      </w:r>
      <w:r w:rsidR="00EE64A5" w:rsidRPr="00497728">
        <w:t>e</w:t>
      </w:r>
      <w:r w:rsidR="009B5236" w:rsidRPr="00497728">
        <w:t xml:space="preserve">ast </w:t>
      </w:r>
      <w:r w:rsidR="00CC249B" w:rsidRPr="00497728">
        <w:t>Asia, are following suit</w:t>
      </w:r>
      <w:r w:rsidR="003E3856" w:rsidRPr="00497728">
        <w:t>.</w:t>
      </w:r>
    </w:p>
    <w:p w14:paraId="6ED02E5C" w14:textId="57A40D49" w:rsidR="003E3856" w:rsidRPr="00497728" w:rsidRDefault="00E16288" w:rsidP="00CC249B">
      <w:r w:rsidRPr="00497728">
        <w:t>It is still too early to determine whether these markets will implement consistent requirements or if internal pressures will lead to diverse expectations across different markets</w:t>
      </w:r>
      <w:r w:rsidR="00825080" w:rsidRPr="00497728">
        <w:t xml:space="preserve"> resulting in business</w:t>
      </w:r>
      <w:r w:rsidR="0008698F" w:rsidRPr="00497728">
        <w:t>es</w:t>
      </w:r>
      <w:r w:rsidR="00825080" w:rsidRPr="00497728">
        <w:t xml:space="preserve"> facing varied compliance landscapes. </w:t>
      </w:r>
      <w:r w:rsidR="00DE6393" w:rsidRPr="00497728">
        <w:t>Such</w:t>
      </w:r>
      <w:r w:rsidRPr="00497728">
        <w:t xml:space="preserve"> uncertainty was evident earlier in 2024 when the US </w:t>
      </w:r>
      <w:r w:rsidR="002E4D1B" w:rsidRPr="00497728">
        <w:t xml:space="preserve">Securities Exchange Commission (SEC) </w:t>
      </w:r>
      <w:r w:rsidRPr="00497728">
        <w:t>ruled that companies only need to report Scope 3 emissions if they are material to investors or part of specific reduction targets. This ruling highlights the differing regulatory priorities</w:t>
      </w:r>
      <w:r w:rsidR="002E4D1B" w:rsidRPr="00497728">
        <w:t xml:space="preserve"> where</w:t>
      </w:r>
      <w:r w:rsidRPr="00497728">
        <w:t xml:space="preserve"> the US seeks a balance between transparency and compliance burden, while the EU emphasi</w:t>
      </w:r>
      <w:r w:rsidR="002E4D1B" w:rsidRPr="00497728">
        <w:t>s</w:t>
      </w:r>
      <w:r w:rsidRPr="00497728">
        <w:t xml:space="preserve">es comprehensive corporate responsibility and aligning business practices with climate goals. </w:t>
      </w:r>
      <w:r w:rsidR="003E3856" w:rsidRPr="00497728">
        <w:t>I</w:t>
      </w:r>
      <w:r w:rsidR="00F86D0B" w:rsidRPr="00497728">
        <w:t>n</w:t>
      </w:r>
      <w:r w:rsidR="003E3856" w:rsidRPr="00497728">
        <w:t xml:space="preserve"> a similar fashion, </w:t>
      </w:r>
      <w:r w:rsidR="004F539B" w:rsidRPr="00497728">
        <w:t>an increasing number of</w:t>
      </w:r>
      <w:r w:rsidR="003E3856" w:rsidRPr="00497728">
        <w:t xml:space="preserve"> global corporate entities </w:t>
      </w:r>
      <w:r w:rsidR="004F539B" w:rsidRPr="00497728">
        <w:t>are</w:t>
      </w:r>
      <w:r w:rsidR="00F86D0B" w:rsidRPr="00497728">
        <w:t xml:space="preserve"> ch</w:t>
      </w:r>
      <w:r w:rsidR="00944E2F" w:rsidRPr="00497728">
        <w:t>o</w:t>
      </w:r>
      <w:r w:rsidR="00F86D0B" w:rsidRPr="00497728">
        <w:t>os</w:t>
      </w:r>
      <w:r w:rsidR="004F539B" w:rsidRPr="00497728">
        <w:t>ing</w:t>
      </w:r>
      <w:r w:rsidR="00F86D0B" w:rsidRPr="00497728">
        <w:t xml:space="preserve"> </w:t>
      </w:r>
      <w:r w:rsidR="00D46B54" w:rsidRPr="00497728">
        <w:t>to implement sustainable sourcing policies or similar</w:t>
      </w:r>
      <w:r w:rsidR="007568E9" w:rsidRPr="00497728">
        <w:t xml:space="preserve">. This may be in response to regulations in </w:t>
      </w:r>
      <w:r w:rsidR="006A1A3D" w:rsidRPr="00497728">
        <w:t xml:space="preserve">their </w:t>
      </w:r>
      <w:r w:rsidR="00E84880" w:rsidRPr="00497728">
        <w:t>local</w:t>
      </w:r>
      <w:r w:rsidR="006A1A3D" w:rsidRPr="00497728">
        <w:t xml:space="preserve"> reporting jurisdiction or </w:t>
      </w:r>
      <w:r w:rsidR="00B474C8" w:rsidRPr="00497728">
        <w:t>for purely business reasons (e</w:t>
      </w:r>
      <w:r w:rsidR="00961B70" w:rsidRPr="00497728">
        <w:t>.</w:t>
      </w:r>
      <w:r w:rsidR="00B474C8" w:rsidRPr="00497728">
        <w:t xml:space="preserve">g. corporate social responsibility, social licence, </w:t>
      </w:r>
      <w:r w:rsidR="00492021" w:rsidRPr="00497728">
        <w:t xml:space="preserve">or </w:t>
      </w:r>
      <w:r w:rsidR="009B5236" w:rsidRPr="00497728">
        <w:t xml:space="preserve">in </w:t>
      </w:r>
      <w:r w:rsidR="00492021" w:rsidRPr="00497728">
        <w:t>response to activist pressure).</w:t>
      </w:r>
    </w:p>
    <w:p w14:paraId="0D2EEC9C" w14:textId="750DA783" w:rsidR="00CC249B" w:rsidRPr="00497728" w:rsidRDefault="00492021" w:rsidP="00CC249B">
      <w:r w:rsidRPr="00497728">
        <w:t xml:space="preserve">Whatever the </w:t>
      </w:r>
      <w:r w:rsidR="00F306F0" w:rsidRPr="00497728">
        <w:t xml:space="preserve">reason for the increasing focus and emphasis on sustainability and the source </w:t>
      </w:r>
      <w:r w:rsidR="00D275CE" w:rsidRPr="00497728">
        <w:t xml:space="preserve">of the changing expectations, </w:t>
      </w:r>
      <w:r w:rsidR="009B5236" w:rsidRPr="00497728">
        <w:t xml:space="preserve">agricultural </w:t>
      </w:r>
      <w:r w:rsidR="00CC249B" w:rsidRPr="00497728">
        <w:t>sectors in Australia must</w:t>
      </w:r>
      <w:r w:rsidR="009B5236" w:rsidRPr="00497728">
        <w:t xml:space="preserve"> </w:t>
      </w:r>
      <w:r w:rsidR="00CC249B" w:rsidRPr="00497728">
        <w:t xml:space="preserve">understand these </w:t>
      </w:r>
      <w:r w:rsidR="00D275CE" w:rsidRPr="00497728">
        <w:t xml:space="preserve">changing </w:t>
      </w:r>
      <w:r w:rsidR="00CC249B" w:rsidRPr="00497728">
        <w:t>requirements</w:t>
      </w:r>
      <w:r w:rsidR="009B5236" w:rsidRPr="00497728">
        <w:t xml:space="preserve"> and </w:t>
      </w:r>
      <w:r w:rsidR="00CC249B" w:rsidRPr="00497728">
        <w:t>ensure that they can provide the necessary evidence to meet them.</w:t>
      </w:r>
    </w:p>
    <w:p w14:paraId="43AD9652" w14:textId="3088096C" w:rsidR="00F77187" w:rsidRPr="00497728" w:rsidRDefault="001E65F8" w:rsidP="00666732">
      <w:r w:rsidRPr="00497728">
        <w:t>In terms of the nature of the evidence being sought, m</w:t>
      </w:r>
      <w:r w:rsidR="00666732" w:rsidRPr="00497728">
        <w:t xml:space="preserve">any </w:t>
      </w:r>
      <w:r w:rsidR="001C6DCD" w:rsidRPr="00497728">
        <w:t>sectors</w:t>
      </w:r>
      <w:r w:rsidR="00666732" w:rsidRPr="00497728">
        <w:t xml:space="preserve">, including horticulture and dairy, </w:t>
      </w:r>
      <w:r w:rsidR="009C527D" w:rsidRPr="00497728">
        <w:t xml:space="preserve">described </w:t>
      </w:r>
      <w:r w:rsidR="00637CE7" w:rsidRPr="00497728">
        <w:t xml:space="preserve">a </w:t>
      </w:r>
      <w:r w:rsidR="00373632" w:rsidRPr="00497728">
        <w:t>growing requirement</w:t>
      </w:r>
      <w:r w:rsidR="00666732" w:rsidRPr="00497728">
        <w:t xml:space="preserve"> from retailers and </w:t>
      </w:r>
      <w:r w:rsidR="00DA07DB" w:rsidRPr="00497728">
        <w:t xml:space="preserve">fast-moving consumer goods </w:t>
      </w:r>
      <w:r w:rsidR="00666732" w:rsidRPr="00497728">
        <w:t xml:space="preserve">(FMCG) companies for </w:t>
      </w:r>
      <w:r w:rsidR="00DB7A9F" w:rsidRPr="00497728">
        <w:t xml:space="preserve">suppliers to be </w:t>
      </w:r>
      <w:r w:rsidR="00666732" w:rsidRPr="00497728">
        <w:t>complian</w:t>
      </w:r>
      <w:r w:rsidR="00DB7A9F" w:rsidRPr="00497728">
        <w:t>t</w:t>
      </w:r>
      <w:r w:rsidR="00666732" w:rsidRPr="00497728">
        <w:t xml:space="preserve"> with </w:t>
      </w:r>
      <w:r w:rsidR="00DB7A9F" w:rsidRPr="00497728">
        <w:t xml:space="preserve">an </w:t>
      </w:r>
      <w:r w:rsidR="00666732" w:rsidRPr="00497728">
        <w:t xml:space="preserve">international </w:t>
      </w:r>
      <w:r w:rsidR="00637CE7" w:rsidRPr="00497728">
        <w:t xml:space="preserve">sustainability </w:t>
      </w:r>
      <w:r w:rsidR="00666732" w:rsidRPr="00497728">
        <w:t xml:space="preserve">standard </w:t>
      </w:r>
      <w:r w:rsidR="007C7747" w:rsidRPr="00497728">
        <w:t xml:space="preserve">such </w:t>
      </w:r>
      <w:r w:rsidR="00597CF2" w:rsidRPr="00497728">
        <w:t xml:space="preserve">as </w:t>
      </w:r>
      <w:r w:rsidR="00666732" w:rsidRPr="00497728">
        <w:t>the Sustainable Agriculture Initiative (SAI) platform.</w:t>
      </w:r>
    </w:p>
    <w:p w14:paraId="00D7D859" w14:textId="77777777" w:rsidR="0088600D" w:rsidRDefault="00666732" w:rsidP="00666732">
      <w:r w:rsidRPr="00497728">
        <w:t>The grain</w:t>
      </w:r>
      <w:r w:rsidR="007C7747" w:rsidRPr="00497728">
        <w:t>s</w:t>
      </w:r>
      <w:r w:rsidRPr="00497728">
        <w:t xml:space="preserve"> industry also highlighted the importance of negotiating sustainability specifications with international buyers to ensure market confidence and access.</w:t>
      </w:r>
    </w:p>
    <w:p w14:paraId="5A725F0C" w14:textId="4CCD7394" w:rsidR="00666732" w:rsidRPr="00497728" w:rsidRDefault="000F5DCB" w:rsidP="00666732">
      <w:r w:rsidRPr="00497728">
        <w:lastRenderedPageBreak/>
        <w:t xml:space="preserve">The seafood industry highlighted the importance of certifications like the Marine Stewardship Council (MSC) for access to </w:t>
      </w:r>
      <w:r w:rsidR="007E0AB1" w:rsidRPr="00497728">
        <w:t>U</w:t>
      </w:r>
      <w:r w:rsidRPr="00497728">
        <w:t>K and EU markets, while noting that such certifications are less critical in Asian markets, where the origin of Australian seafood itself is a strong quality marker.</w:t>
      </w:r>
    </w:p>
    <w:p w14:paraId="1DC94660" w14:textId="57413562" w:rsidR="00EF56F3" w:rsidRPr="00497728" w:rsidRDefault="00EF56F3" w:rsidP="00EF56F3">
      <w:r w:rsidRPr="00497728">
        <w:t xml:space="preserve">Sustainability claims must align with these requirements to ensure market access, particularly in regions like the EU, the </w:t>
      </w:r>
      <w:r w:rsidR="007E0AB1" w:rsidRPr="00497728">
        <w:t>US</w:t>
      </w:r>
      <w:r w:rsidRPr="00497728">
        <w:t xml:space="preserve"> and key Asian markets. </w:t>
      </w:r>
      <w:r w:rsidR="008849CE" w:rsidRPr="00497728">
        <w:t>V</w:t>
      </w:r>
      <w:r w:rsidRPr="00497728">
        <w:t xml:space="preserve">erification of sustainability practices are becoming non-negotiable, especially </w:t>
      </w:r>
      <w:r w:rsidR="004D716B" w:rsidRPr="00497728">
        <w:t xml:space="preserve">as </w:t>
      </w:r>
      <w:r w:rsidRPr="00497728">
        <w:t>ESG regulations</w:t>
      </w:r>
      <w:r w:rsidR="0075040B" w:rsidRPr="00497728">
        <w:t xml:space="preserve"> and reporting requirements evolve</w:t>
      </w:r>
      <w:r w:rsidRPr="00497728">
        <w:t>.</w:t>
      </w:r>
    </w:p>
    <w:p w14:paraId="30809022" w14:textId="16B9A221" w:rsidR="00EF56F3" w:rsidRPr="00497728" w:rsidRDefault="00AB40CD" w:rsidP="003B53FC">
      <w:pPr>
        <w:pStyle w:val="Heading3"/>
        <w:rPr>
          <w:rFonts w:eastAsiaTheme="minorHAnsi"/>
        </w:rPr>
      </w:pPr>
      <w:bookmarkStart w:id="23" w:name="_Ref179462962"/>
      <w:bookmarkStart w:id="24" w:name="_Toc183182223"/>
      <w:r w:rsidRPr="00497728">
        <w:rPr>
          <w:rFonts w:eastAsiaTheme="minorHAnsi"/>
        </w:rPr>
        <w:t>Current and e</w:t>
      </w:r>
      <w:r w:rsidR="00EF56F3" w:rsidRPr="00497728">
        <w:rPr>
          <w:rFonts w:eastAsiaTheme="minorHAnsi"/>
        </w:rPr>
        <w:t xml:space="preserve">merging </w:t>
      </w:r>
      <w:r w:rsidR="00EF56F3" w:rsidRPr="00497728">
        <w:t>c</w:t>
      </w:r>
      <w:r w:rsidR="00EF56F3" w:rsidRPr="00497728">
        <w:rPr>
          <w:rFonts w:eastAsiaTheme="minorHAnsi"/>
        </w:rPr>
        <w:t xml:space="preserve">ompliance </w:t>
      </w:r>
      <w:r w:rsidR="00EF56F3" w:rsidRPr="00497728">
        <w:t>r</w:t>
      </w:r>
      <w:r w:rsidR="00EF56F3" w:rsidRPr="00497728">
        <w:rPr>
          <w:rFonts w:eastAsiaTheme="minorHAnsi"/>
        </w:rPr>
        <w:t>equirements</w:t>
      </w:r>
      <w:bookmarkEnd w:id="23"/>
      <w:bookmarkEnd w:id="24"/>
    </w:p>
    <w:p w14:paraId="433E9563" w14:textId="5B7FCF5F" w:rsidR="00CF5BFD" w:rsidRPr="00497728" w:rsidRDefault="00CF5BFD" w:rsidP="003B53FC">
      <w:pPr>
        <w:pStyle w:val="Heading4"/>
      </w:pPr>
      <w:bookmarkStart w:id="25" w:name="_Toc183182224"/>
      <w:r w:rsidRPr="00497728">
        <w:t xml:space="preserve">Free </w:t>
      </w:r>
      <w:r w:rsidR="00F10D8A" w:rsidRPr="00497728">
        <w:t>t</w:t>
      </w:r>
      <w:r w:rsidRPr="00497728">
        <w:t xml:space="preserve">rade </w:t>
      </w:r>
      <w:r w:rsidR="00F10D8A" w:rsidRPr="00497728">
        <w:t>a</w:t>
      </w:r>
      <w:r w:rsidRPr="00497728">
        <w:t>greements</w:t>
      </w:r>
      <w:bookmarkEnd w:id="25"/>
    </w:p>
    <w:p w14:paraId="3066193A" w14:textId="632CCDC1" w:rsidR="009D1D89" w:rsidRPr="00497728" w:rsidRDefault="009D1D89" w:rsidP="009D1D89">
      <w:r w:rsidRPr="00497728">
        <w:t>An analysis of several free trade agreements (FTAs) to which Australia is a signatory</w:t>
      </w:r>
      <w:r w:rsidR="009D089F" w:rsidRPr="00497728">
        <w:t xml:space="preserve"> and that are</w:t>
      </w:r>
      <w:r w:rsidRPr="00497728">
        <w:t xml:space="preserve"> relevant to the markets outlined in </w:t>
      </w:r>
      <w:hyperlink w:anchor="_Scope_and_purpose" w:history="1">
        <w:r w:rsidR="00A861B7">
          <w:rPr>
            <w:rStyle w:val="Hyperlink"/>
          </w:rPr>
          <w:t>Scope and purpose</w:t>
        </w:r>
      </w:hyperlink>
      <w:r w:rsidRPr="00497728">
        <w:t>, reveals that agricultural sustainability is not a primary focus in most agreements</w:t>
      </w:r>
      <w:r w:rsidR="00C74B42" w:rsidRPr="00497728">
        <w:t xml:space="preserve"> nor </w:t>
      </w:r>
      <w:r w:rsidR="009D089F" w:rsidRPr="00497728">
        <w:t xml:space="preserve">do they directly impose </w:t>
      </w:r>
      <w:r w:rsidR="00C74B42" w:rsidRPr="00497728">
        <w:t>any kind of expectation of assurance</w:t>
      </w:r>
      <w:r w:rsidRPr="00497728">
        <w:t xml:space="preserve">. However, many of these agreements include provisions related to environmental sustainability that indirectly </w:t>
      </w:r>
      <w:r w:rsidR="004A6348" w:rsidRPr="00497728">
        <w:t>include</w:t>
      </w:r>
      <w:r w:rsidRPr="00497728">
        <w:t xml:space="preserve"> the agricultural sector. These provisions, while often broad and aspirational, reflect a general commitment to fostering sustainability across various industries, including agriculture.</w:t>
      </w:r>
    </w:p>
    <w:p w14:paraId="2A3D74EA" w14:textId="208EAC9F" w:rsidR="009D1D89" w:rsidRPr="00497728" w:rsidRDefault="009D1D89" w:rsidP="009D1D89">
      <w:r w:rsidRPr="00497728">
        <w:t xml:space="preserve">In many cases, the agreements contain general environmental commitments that signal a desire to collaborate on sustainability initiatives, without setting specific targets. For example, while the Singapore-Australia Free Trade Agreement (SAFTA) does not directly address agricultural sustainability, this is covered under the Singapore-Australia Green Economy Agreement (GEA). The GEA promotes </w:t>
      </w:r>
      <w:r w:rsidR="009D089F" w:rsidRPr="00497728">
        <w:t xml:space="preserve">the use of </w:t>
      </w:r>
      <w:r w:rsidRPr="00497728">
        <w:t>sustainable agricultural practices aimed at enhancing food security, limiting climate change impacts and reducing the environmental footprint of agriculture. Key principles from the GEA include supporting investment in sustainable agri-food systems and implementing practices that adapt to climate change while reducing greenhouse gas emissions.</w:t>
      </w:r>
    </w:p>
    <w:p w14:paraId="05631C4D" w14:textId="5AFF26B6" w:rsidR="009D1D89" w:rsidRPr="00497728" w:rsidRDefault="009D1D89" w:rsidP="009D1D89">
      <w:r w:rsidRPr="00497728">
        <w:t>Other FTAs</w:t>
      </w:r>
      <w:r w:rsidR="00811ECE" w:rsidRPr="00497728">
        <w:t xml:space="preserve"> and related </w:t>
      </w:r>
      <w:r w:rsidR="008417AF" w:rsidRPr="00497728">
        <w:t xml:space="preserve">bilateral </w:t>
      </w:r>
      <w:r w:rsidR="00811ECE" w:rsidRPr="00497728">
        <w:t xml:space="preserve">commitments emphasise cooperation on sustainability related topics such as management of natural resources, land use and biodiversity conservation, which could affect agricultural practices in Australia. </w:t>
      </w:r>
      <w:r w:rsidRPr="00497728">
        <w:t>While these commitments are often aspirational, they lay the groundwork for future cooperation on sustainable agricultural development</w:t>
      </w:r>
      <w:r w:rsidR="00A42BE4" w:rsidRPr="00497728">
        <w:t xml:space="preserve"> which may result in more specific direction to industry in the future</w:t>
      </w:r>
      <w:r w:rsidRPr="00497728">
        <w:t>.</w:t>
      </w:r>
    </w:p>
    <w:p w14:paraId="4D26645C" w14:textId="4904D90A" w:rsidR="009D1D89" w:rsidRPr="00497728" w:rsidRDefault="00D40E14" w:rsidP="009D1D89">
      <w:r w:rsidRPr="00497728">
        <w:t>W</w:t>
      </w:r>
      <w:r w:rsidR="009D1D89" w:rsidRPr="00497728">
        <w:t xml:space="preserve">hile Australia does not yet have an FTA with the </w:t>
      </w:r>
      <w:r w:rsidR="00EF50B0" w:rsidRPr="00497728">
        <w:t>EU</w:t>
      </w:r>
      <w:r w:rsidR="009D1D89" w:rsidRPr="00497728">
        <w:t xml:space="preserve">, it is anticipated that any future agreement will likely include stronger commitments around agricultural sustainability, reflecting the EU’s emphasis on </w:t>
      </w:r>
      <w:r w:rsidR="009D089F" w:rsidRPr="00497728">
        <w:t>strong</w:t>
      </w:r>
      <w:r w:rsidR="009D1D89" w:rsidRPr="00497728">
        <w:t xml:space="preserve"> environmental standards. However, the specific nature of these commitments remains</w:t>
      </w:r>
      <w:r w:rsidR="009C5051" w:rsidRPr="00497728">
        <w:t>, at present, unclear</w:t>
      </w:r>
      <w:r w:rsidR="009D1D89" w:rsidRPr="00497728">
        <w:t>.</w:t>
      </w:r>
    </w:p>
    <w:p w14:paraId="5D432616" w14:textId="6001E1C1" w:rsidR="00431F4D" w:rsidRPr="00497728" w:rsidRDefault="00431F4D" w:rsidP="003B53FC">
      <w:pPr>
        <w:pStyle w:val="Heading4"/>
      </w:pPr>
      <w:bookmarkStart w:id="26" w:name="_Toc183182225"/>
      <w:r w:rsidRPr="00497728">
        <w:t>European Unio</w:t>
      </w:r>
      <w:r w:rsidR="0047004C" w:rsidRPr="00497728">
        <w:t>n</w:t>
      </w:r>
      <w:bookmarkEnd w:id="26"/>
    </w:p>
    <w:p w14:paraId="603FE785" w14:textId="1036952F" w:rsidR="003D4E0D" w:rsidRPr="00497728" w:rsidRDefault="00431F4D" w:rsidP="001D0E1E">
      <w:r w:rsidRPr="00497728">
        <w:t xml:space="preserve">The EU's sustainability regulations, particularly the Farm to Fork Strategy, aim to transition toward a more sustainable and fair food system. The EU’s Green Deal </w:t>
      </w:r>
      <w:r w:rsidR="00A720D5" w:rsidRPr="00497728">
        <w:t xml:space="preserve">is focused on </w:t>
      </w:r>
      <w:r w:rsidR="00732A05" w:rsidRPr="00497728">
        <w:t xml:space="preserve">making the EU climate neutral by 2050. </w:t>
      </w:r>
      <w:r w:rsidR="009D089F" w:rsidRPr="00497728">
        <w:t>It</w:t>
      </w:r>
      <w:r w:rsidR="00732A05" w:rsidRPr="00497728">
        <w:t xml:space="preserve"> </w:t>
      </w:r>
      <w:r w:rsidRPr="00497728">
        <w:t>emphasi</w:t>
      </w:r>
      <w:r w:rsidR="004763DE" w:rsidRPr="00497728">
        <w:t>s</w:t>
      </w:r>
      <w:r w:rsidRPr="00497728">
        <w:t>es the reduction of pesticide use, improvement of animal welfare, and the promotion of organic farming.</w:t>
      </w:r>
    </w:p>
    <w:p w14:paraId="68730B4C" w14:textId="48DE4279" w:rsidR="00B53E89" w:rsidRPr="00497728" w:rsidRDefault="00B53E89" w:rsidP="007533C9">
      <w:r w:rsidRPr="00497728">
        <w:t>Simi</w:t>
      </w:r>
      <w:r w:rsidR="003060D4" w:rsidRPr="00497728">
        <w:t>la</w:t>
      </w:r>
      <w:r w:rsidRPr="00497728">
        <w:t>rly, the Regulation on Deforestation</w:t>
      </w:r>
      <w:r w:rsidR="002735E8" w:rsidRPr="00497728">
        <w:t>-f</w:t>
      </w:r>
      <w:r w:rsidRPr="00497728">
        <w:t>ree Products (EUDR)</w:t>
      </w:r>
      <w:r w:rsidR="003060D4" w:rsidRPr="00497728">
        <w:t xml:space="preserve">, </w:t>
      </w:r>
      <w:r w:rsidR="00A23188" w:rsidRPr="00497728">
        <w:t xml:space="preserve">seeks to </w:t>
      </w:r>
      <w:r w:rsidR="003A7A66" w:rsidRPr="00497728">
        <w:t xml:space="preserve">tackle global deforestation by </w:t>
      </w:r>
      <w:r w:rsidR="006247BC" w:rsidRPr="00497728">
        <w:t xml:space="preserve">banning the import and export of </w:t>
      </w:r>
      <w:r w:rsidR="009D089F" w:rsidRPr="00497728">
        <w:t xml:space="preserve">specific </w:t>
      </w:r>
      <w:r w:rsidR="006247BC" w:rsidRPr="00497728">
        <w:t xml:space="preserve">products </w:t>
      </w:r>
      <w:r w:rsidR="008F1D34" w:rsidRPr="00497728">
        <w:t>that have been produced on l</w:t>
      </w:r>
      <w:r w:rsidR="00D32941" w:rsidRPr="00497728">
        <w:t>a</w:t>
      </w:r>
      <w:r w:rsidR="008F1D34" w:rsidRPr="00497728">
        <w:t xml:space="preserve">nd deemed to have suffered deforestation </w:t>
      </w:r>
      <w:r w:rsidR="00BE77B5" w:rsidRPr="00497728">
        <w:t xml:space="preserve">since </w:t>
      </w:r>
      <w:r w:rsidR="00D32941" w:rsidRPr="00497728">
        <w:t>Dec</w:t>
      </w:r>
      <w:r w:rsidR="007533C9" w:rsidRPr="00497728">
        <w:t>ember</w:t>
      </w:r>
      <w:r w:rsidR="00D32941" w:rsidRPr="00497728">
        <w:t xml:space="preserve"> 2020.</w:t>
      </w:r>
      <w:r w:rsidR="00363006" w:rsidRPr="00497728">
        <w:t xml:space="preserve"> </w:t>
      </w:r>
      <w:r w:rsidR="007533C9" w:rsidRPr="00497728">
        <w:t xml:space="preserve">Further, a benchmarking system will classify </w:t>
      </w:r>
      <w:r w:rsidR="007533C9" w:rsidRPr="00497728">
        <w:lastRenderedPageBreak/>
        <w:t xml:space="preserve">countries into </w:t>
      </w:r>
      <w:r w:rsidR="007D7A46">
        <w:t>3</w:t>
      </w:r>
      <w:r w:rsidR="007533C9" w:rsidRPr="00497728">
        <w:t xml:space="preserve"> risk categories according to the risk of producing commodities that are not deforestation-free.</w:t>
      </w:r>
      <w:r w:rsidR="00F6532D" w:rsidRPr="00497728">
        <w:t xml:space="preserve"> </w:t>
      </w:r>
      <w:r w:rsidR="00533C6D" w:rsidRPr="00497728">
        <w:t>EUDR was due to come into effect December 2024 but during this paper’s development, a delay was announced.</w:t>
      </w:r>
    </w:p>
    <w:p w14:paraId="71E6C827" w14:textId="1BC78F51" w:rsidR="0076128E" w:rsidRPr="00497728" w:rsidRDefault="00431F4D" w:rsidP="0076128E">
      <w:r w:rsidRPr="00497728">
        <w:t xml:space="preserve">The Carbon Border Adjustment Mechanism (CBAM), </w:t>
      </w:r>
      <w:r w:rsidR="000D40A4" w:rsidRPr="00497728">
        <w:t xml:space="preserve">due to start </w:t>
      </w:r>
      <w:r w:rsidRPr="00497728">
        <w:t>in 2026, will impose taxes on carbon-intensive imports</w:t>
      </w:r>
      <w:r w:rsidR="005A3EA9" w:rsidRPr="00497728">
        <w:t xml:space="preserve">. While agriculture is currently excluded from </w:t>
      </w:r>
      <w:r w:rsidR="00EB0E57" w:rsidRPr="00497728">
        <w:t>the CBAM, it is possible that agriculture could be included post</w:t>
      </w:r>
      <w:r w:rsidR="007D7A46">
        <w:t>–</w:t>
      </w:r>
      <w:r w:rsidR="00EB0E57" w:rsidRPr="00497728">
        <w:t>2030</w:t>
      </w:r>
      <w:r w:rsidR="0049760B" w:rsidRPr="00497728">
        <w:t>, after the initial 2026</w:t>
      </w:r>
      <w:r w:rsidR="007D7A46">
        <w:t xml:space="preserve"> to </w:t>
      </w:r>
      <w:r w:rsidR="0049760B" w:rsidRPr="00497728">
        <w:t xml:space="preserve">2034 transition period. This would </w:t>
      </w:r>
      <w:r w:rsidRPr="00497728">
        <w:t>likely affect agricultural products with high greenhouse gas (GHG) footprints.</w:t>
      </w:r>
      <w:r w:rsidR="00AF2C3D" w:rsidRPr="00497728">
        <w:t xml:space="preserve"> </w:t>
      </w:r>
      <w:r w:rsidR="0076128E" w:rsidRPr="00497728">
        <w:t xml:space="preserve">The Corporate Sustainability Reporting Directive (CSRD) broadens the scope of corporate sustainability reporting to cover more companies, introduces more detailed disclosure standards aligned with EU sustainability goals, and requires external audits to ensure accuracy. </w:t>
      </w:r>
      <w:r w:rsidR="0071154B" w:rsidRPr="00497728">
        <w:t xml:space="preserve">Australian companies may be impacted </w:t>
      </w:r>
      <w:r w:rsidR="009D089F" w:rsidRPr="00497728">
        <w:t xml:space="preserve">as a result of </w:t>
      </w:r>
      <w:r w:rsidR="0071154B" w:rsidRPr="00497728">
        <w:t>their presence in the EU or supply to EU companies.</w:t>
      </w:r>
    </w:p>
    <w:p w14:paraId="20E3F004" w14:textId="74315F86" w:rsidR="00431F4D" w:rsidRPr="00497728" w:rsidRDefault="00431F4D" w:rsidP="001D0E1E">
      <w:r w:rsidRPr="00497728">
        <w:t>Certifications such as GlobalGAP</w:t>
      </w:r>
      <w:r w:rsidR="00663184" w:rsidRPr="00497728">
        <w:t xml:space="preserve">, </w:t>
      </w:r>
      <w:r w:rsidR="00D955FE" w:rsidRPr="00497728">
        <w:t>S</w:t>
      </w:r>
      <w:r w:rsidR="00663184" w:rsidRPr="00497728">
        <w:t>AI Platform</w:t>
      </w:r>
      <w:r w:rsidRPr="00497728">
        <w:t xml:space="preserve">, </w:t>
      </w:r>
      <w:r w:rsidR="00AA66CC" w:rsidRPr="00497728">
        <w:t xml:space="preserve">the </w:t>
      </w:r>
      <w:r w:rsidR="00481360" w:rsidRPr="00497728">
        <w:t xml:space="preserve">International Sustainability and Carbon Certification (ISCC) program </w:t>
      </w:r>
      <w:r w:rsidRPr="00497728">
        <w:t xml:space="preserve">and compliance with the EU's </w:t>
      </w:r>
      <w:r w:rsidR="00D32941" w:rsidRPr="00497728">
        <w:t xml:space="preserve">strong </w:t>
      </w:r>
      <w:r w:rsidRPr="00497728">
        <w:t xml:space="preserve">animal welfare and environmental protection standards, are becoming </w:t>
      </w:r>
      <w:r w:rsidR="0045593B" w:rsidRPr="00497728">
        <w:t>expected</w:t>
      </w:r>
      <w:r w:rsidRPr="00497728">
        <w:t xml:space="preserve"> for market access.</w:t>
      </w:r>
    </w:p>
    <w:p w14:paraId="09DEDF99" w14:textId="51D1CFE5" w:rsidR="00D808A0" w:rsidRPr="00497728" w:rsidRDefault="002073BE" w:rsidP="001D0E1E">
      <w:r w:rsidRPr="00497728">
        <w:t xml:space="preserve">Most importantly, while </w:t>
      </w:r>
      <w:r w:rsidR="001D0E1E" w:rsidRPr="00497728">
        <w:t xml:space="preserve">the EU is not the largest market for Australian agricultural exports, </w:t>
      </w:r>
      <w:r w:rsidRPr="00497728">
        <w:t xml:space="preserve">the EU’s </w:t>
      </w:r>
      <w:r w:rsidR="001D0E1E" w:rsidRPr="00497728">
        <w:t xml:space="preserve">regulatory influence is profound and increasingly shaping global trade practices. </w:t>
      </w:r>
      <w:r w:rsidR="00D808A0" w:rsidRPr="00497728">
        <w:t xml:space="preserve">This is occurring for </w:t>
      </w:r>
      <w:r w:rsidR="00A861B7">
        <w:t>2</w:t>
      </w:r>
      <w:r w:rsidR="00D808A0" w:rsidRPr="00497728">
        <w:t xml:space="preserve"> reasons:</w:t>
      </w:r>
    </w:p>
    <w:p w14:paraId="380C6DB9" w14:textId="4D204562" w:rsidR="00D808A0" w:rsidRPr="00497728" w:rsidRDefault="00D808A0" w:rsidP="006A7683">
      <w:pPr>
        <w:pStyle w:val="Heading5"/>
      </w:pPr>
      <w:r w:rsidRPr="00497728">
        <w:t>Domestic farmer</w:t>
      </w:r>
      <w:r w:rsidR="00C8720B" w:rsidRPr="00497728">
        <w:t xml:space="preserve"> sentiment</w:t>
      </w:r>
    </w:p>
    <w:p w14:paraId="78028002" w14:textId="7D2670D7" w:rsidR="00750282" w:rsidRPr="00497728" w:rsidRDefault="00C8720B" w:rsidP="00974561">
      <w:r w:rsidRPr="00497728">
        <w:t xml:space="preserve">Farmers in the EU are increasingly pushing back against </w:t>
      </w:r>
      <w:r w:rsidR="00D60747" w:rsidRPr="00497728">
        <w:t xml:space="preserve">strong </w:t>
      </w:r>
      <w:r w:rsidRPr="00497728">
        <w:t>domestic sustainability requirements, arguing that these regulations place them at a competitive disadvantage unless similar standards are applied to imported agricultural products. They contend that</w:t>
      </w:r>
      <w:r w:rsidR="00935CFF" w:rsidRPr="00497728">
        <w:t>,</w:t>
      </w:r>
      <w:r w:rsidRPr="00497728">
        <w:t xml:space="preserve"> unless imports are held to the same standards, cheaper goods from regions with less rigorous environmental and social requirements could flood the </w:t>
      </w:r>
      <w:r w:rsidR="00935CFF" w:rsidRPr="00497728">
        <w:t xml:space="preserve">EU </w:t>
      </w:r>
      <w:r w:rsidRPr="00497728">
        <w:t>market, undermining their efforts and profitability</w:t>
      </w:r>
      <w:r w:rsidR="00750282" w:rsidRPr="00497728">
        <w:t>.</w:t>
      </w:r>
    </w:p>
    <w:p w14:paraId="1D643989" w14:textId="1E52CB2E" w:rsidR="0059268E" w:rsidRPr="00497728" w:rsidRDefault="0059268E" w:rsidP="00974561">
      <w:r w:rsidRPr="00497728">
        <w:t>Equally, there is also a strong farmer narrative that the cost of providing such information falls to farmers and they argue there is insufficient subsidy to cover this burden.</w:t>
      </w:r>
    </w:p>
    <w:p w14:paraId="64A7EAA5" w14:textId="3C1B412E" w:rsidR="00C8720B" w:rsidRPr="00497728" w:rsidRDefault="00C8720B" w:rsidP="00974561">
      <w:r w:rsidRPr="00497728">
        <w:t>As a result, there is growing pressure from EU agricultural groups for the European Commission to enforce stricter sustainability requirements on imports, ensuring that foreign producers meet the same high standards as domestic farmers. This push aims to level the playing field and protect EU farmers from unfair competition while also promoting global environmental and ethical farming practices.</w:t>
      </w:r>
      <w:r w:rsidR="00BE5FBE" w:rsidRPr="00497728">
        <w:t xml:space="preserve"> By setting these standards for imports, the EU effectively extends its regulatory influence beyond its borders, shaping global trade practices and compelling foreign producers to meet its criteria to access EU market.</w:t>
      </w:r>
    </w:p>
    <w:p w14:paraId="4BDDE8B6" w14:textId="6A128C94" w:rsidR="00D808A0" w:rsidRPr="00497728" w:rsidRDefault="00D808A0" w:rsidP="006A7683">
      <w:pPr>
        <w:pStyle w:val="Heading5"/>
      </w:pPr>
      <w:r w:rsidRPr="00497728">
        <w:t>Trade relations</w:t>
      </w:r>
    </w:p>
    <w:p w14:paraId="2630B802" w14:textId="3046C1D5" w:rsidR="00E22B4B" w:rsidRPr="00497728" w:rsidRDefault="00E37574" w:rsidP="00974561">
      <w:r w:rsidRPr="00497728">
        <w:t>Many of Australia’s key export markets, such as Japan, South Korea, and China, are either aligning with or taking inspiration from EU sustainability standards. This alignment is driven by a combination of factors, including the desire to strengthen trade relations with the EU</w:t>
      </w:r>
      <w:r w:rsidR="0017203E" w:rsidRPr="00497728">
        <w:t xml:space="preserve"> and bilateral agreements</w:t>
      </w:r>
      <w:r w:rsidRPr="00497728">
        <w:t>.</w:t>
      </w:r>
      <w:r w:rsidR="00787CC7" w:rsidRPr="00497728">
        <w:t xml:space="preserve"> </w:t>
      </w:r>
      <w:r w:rsidR="000C6A2F" w:rsidRPr="00497728">
        <w:t xml:space="preserve">Another driver may be simply efficiency in that </w:t>
      </w:r>
      <w:r w:rsidR="001B53F0" w:rsidRPr="00497728">
        <w:t>it may be</w:t>
      </w:r>
      <w:r w:rsidR="00433CC4" w:rsidRPr="00497728">
        <w:t xml:space="preserve"> </w:t>
      </w:r>
      <w:r w:rsidR="001B53F0" w:rsidRPr="00497728">
        <w:t>more efficient to set expectations at the highest level if it addresses the broadest range of expectations</w:t>
      </w:r>
      <w:r w:rsidR="00DE7F5A" w:rsidRPr="00497728">
        <w:t>.</w:t>
      </w:r>
    </w:p>
    <w:p w14:paraId="64B8BED5" w14:textId="53B0DB75" w:rsidR="001562E2" w:rsidRPr="00497728" w:rsidRDefault="001562E2" w:rsidP="00974561">
      <w:r w:rsidRPr="00497728">
        <w:t xml:space="preserve">For Australian agriculture, this alignment has significant implications. Even if Australian products are not directly entering the EU, they must still comply with EU-inspired regulations in key markets like </w:t>
      </w:r>
      <w:r w:rsidRPr="00497728">
        <w:lastRenderedPageBreak/>
        <w:t>Japan and South Korea. This includes providing evidence of sustainab</w:t>
      </w:r>
      <w:r w:rsidR="000B1A00" w:rsidRPr="00497728">
        <w:t>le practices</w:t>
      </w:r>
      <w:r w:rsidRPr="00497728">
        <w:t xml:space="preserve"> across various areas, such as carbon emissions, water usage, and biodiversity conservation.</w:t>
      </w:r>
    </w:p>
    <w:p w14:paraId="637B992D" w14:textId="7CE24159" w:rsidR="00431F4D" w:rsidRPr="00497728" w:rsidRDefault="0011581A" w:rsidP="003B53FC">
      <w:pPr>
        <w:pStyle w:val="Heading4"/>
      </w:pPr>
      <w:bookmarkStart w:id="27" w:name="_Toc183182226"/>
      <w:r w:rsidRPr="00497728">
        <w:t xml:space="preserve">North America </w:t>
      </w:r>
      <w:r w:rsidR="007D7A46">
        <w:t>–</w:t>
      </w:r>
      <w:r w:rsidRPr="00497728">
        <w:t xml:space="preserve"> </w:t>
      </w:r>
      <w:r w:rsidR="00431F4D" w:rsidRPr="00497728">
        <w:t>United States</w:t>
      </w:r>
      <w:bookmarkEnd w:id="27"/>
    </w:p>
    <w:p w14:paraId="47D5C9C8" w14:textId="78A77957" w:rsidR="00020FCA" w:rsidRPr="00497728" w:rsidRDefault="002F7F92" w:rsidP="002F7F92">
      <w:r w:rsidRPr="00497728">
        <w:t xml:space="preserve">For Australian food and fibre exports to the </w:t>
      </w:r>
      <w:r w:rsidR="009033CD" w:rsidRPr="00497728">
        <w:t>US</w:t>
      </w:r>
      <w:r w:rsidRPr="00497728">
        <w:t xml:space="preserve">, sustainability expectations are increasingly shaped by a combination of corporate initiatives and emerging regulatory frameworks. </w:t>
      </w:r>
      <w:r w:rsidR="00B4290E" w:rsidRPr="00497728">
        <w:t xml:space="preserve">While </w:t>
      </w:r>
      <w:r w:rsidRPr="00497728">
        <w:t xml:space="preserve">the US does not have federal sustainability </w:t>
      </w:r>
      <w:r w:rsidR="00477DF1" w:rsidRPr="00497728">
        <w:t xml:space="preserve">policies </w:t>
      </w:r>
      <w:r w:rsidRPr="00497728">
        <w:t xml:space="preserve">as </w:t>
      </w:r>
      <w:r w:rsidR="002E4303" w:rsidRPr="00497728">
        <w:t>str</w:t>
      </w:r>
      <w:r w:rsidR="007A339B" w:rsidRPr="00497728">
        <w:t>o</w:t>
      </w:r>
      <w:r w:rsidR="002E4303" w:rsidRPr="00497728">
        <w:t xml:space="preserve">ng </w:t>
      </w:r>
      <w:r w:rsidRPr="00497728">
        <w:t xml:space="preserve">as the </w:t>
      </w:r>
      <w:r w:rsidR="00145F48" w:rsidRPr="00497728">
        <w:t>EU</w:t>
      </w:r>
      <w:r w:rsidRPr="00497728">
        <w:t xml:space="preserve">, sustainability </w:t>
      </w:r>
      <w:r w:rsidR="002E4303" w:rsidRPr="00497728">
        <w:t xml:space="preserve">is becoming </w:t>
      </w:r>
      <w:r w:rsidRPr="00497728">
        <w:t>a critical market differentiator.</w:t>
      </w:r>
    </w:p>
    <w:p w14:paraId="27A00582" w14:textId="70C08257" w:rsidR="000A65C2" w:rsidRPr="00497728" w:rsidRDefault="000A65C2" w:rsidP="000A65C2">
      <w:r w:rsidRPr="00497728">
        <w:t>Many major US retailers and food companies are setting ambitious sustainability targets for their supply chains. These include commitments to reducing emissions, promoting regenerative agriculture, and ensuring that suppliers meet sustainability benchmarks, such as reduced pesticide use and enhanced biodiversity protection.</w:t>
      </w:r>
      <w:r w:rsidR="00642E35" w:rsidRPr="00497728">
        <w:t xml:space="preserve"> As a result, </w:t>
      </w:r>
      <w:r w:rsidR="00F420E0" w:rsidRPr="00497728">
        <w:t>FMCG</w:t>
      </w:r>
      <w:r w:rsidR="00CE5955" w:rsidRPr="00497728">
        <w:t>’</w:t>
      </w:r>
      <w:r w:rsidR="00F420E0" w:rsidRPr="00497728">
        <w:t xml:space="preserve">s supplying these retailers and food companies </w:t>
      </w:r>
      <w:r w:rsidR="001D5527" w:rsidRPr="00497728">
        <w:t xml:space="preserve">are </w:t>
      </w:r>
      <w:r w:rsidR="00174903" w:rsidRPr="00497728">
        <w:t>align</w:t>
      </w:r>
      <w:r w:rsidR="001D5527" w:rsidRPr="00497728">
        <w:t>ing</w:t>
      </w:r>
      <w:r w:rsidR="005F3B41" w:rsidRPr="00497728">
        <w:t xml:space="preserve"> their</w:t>
      </w:r>
      <w:r w:rsidR="00174903" w:rsidRPr="00497728">
        <w:t xml:space="preserve"> commitments </w:t>
      </w:r>
      <w:r w:rsidR="00650A69" w:rsidRPr="00497728">
        <w:t xml:space="preserve">thereby requiring </w:t>
      </w:r>
      <w:r w:rsidR="001D5527" w:rsidRPr="00497728">
        <w:t xml:space="preserve">their </w:t>
      </w:r>
      <w:r w:rsidR="00650A69" w:rsidRPr="00497728">
        <w:t>suppliers to demonstrate progress against targets.</w:t>
      </w:r>
    </w:p>
    <w:p w14:paraId="23A2562A" w14:textId="2675E21F" w:rsidR="005B3152" w:rsidRPr="00497728" w:rsidRDefault="00913384" w:rsidP="00913384">
      <w:r w:rsidRPr="00497728">
        <w:t xml:space="preserve">The US is also introducing supply chain transparency regulations, focusing on </w:t>
      </w:r>
      <w:r w:rsidR="00546221" w:rsidRPr="00497728">
        <w:t>components of</w:t>
      </w:r>
      <w:r w:rsidRPr="00497728">
        <w:t xml:space="preserve"> sustainability </w:t>
      </w:r>
      <w:r w:rsidR="00485971" w:rsidRPr="00497728">
        <w:t>through the US Green Trade Strategy</w:t>
      </w:r>
      <w:r w:rsidRPr="00497728">
        <w:t xml:space="preserve"> and ethical labour practices</w:t>
      </w:r>
      <w:r w:rsidR="00085641" w:rsidRPr="00497728">
        <w:t xml:space="preserve"> through the Uyghur Forced Labor Prevention Act (UFLPA)</w:t>
      </w:r>
      <w:r w:rsidR="0071130E" w:rsidRPr="00497728">
        <w:t>.</w:t>
      </w:r>
    </w:p>
    <w:p w14:paraId="46F5DF3D" w14:textId="4BE6F118" w:rsidR="007E231F" w:rsidRPr="00497728" w:rsidRDefault="005B3152" w:rsidP="00913384">
      <w:r w:rsidRPr="00497728">
        <w:t xml:space="preserve">Internal pressures may have </w:t>
      </w:r>
      <w:r w:rsidR="00F3115B" w:rsidRPr="00497728">
        <w:t>significant implications for ESG policies, particularly in light of t</w:t>
      </w:r>
      <w:r w:rsidR="00351ED8" w:rsidRPr="00497728">
        <w:t xml:space="preserve">he upcoming elections. </w:t>
      </w:r>
      <w:r w:rsidR="00F3115B" w:rsidRPr="00497728">
        <w:t xml:space="preserve">The ruling by the US SEC earlier in 2024 regarding </w:t>
      </w:r>
      <w:r w:rsidR="00735685" w:rsidRPr="00FC6FC5">
        <w:t xml:space="preserve">Scope </w:t>
      </w:r>
      <w:r w:rsidR="00F3115B" w:rsidRPr="00FC6FC5">
        <w:t>3</w:t>
      </w:r>
      <w:r w:rsidR="00F3115B" w:rsidRPr="00497728">
        <w:t xml:space="preserve"> emissions was in response to feedback and concerns from businesses and other stakeholders in relation to the complexity and uncertainty surrounding measuring </w:t>
      </w:r>
      <w:r w:rsidR="00735685" w:rsidRPr="00497728">
        <w:t xml:space="preserve">Scope </w:t>
      </w:r>
      <w:r w:rsidR="00F3115B" w:rsidRPr="00497728">
        <w:t xml:space="preserve">3 emissions, difficulty </w:t>
      </w:r>
      <w:r w:rsidR="00735685" w:rsidRPr="00497728">
        <w:t xml:space="preserve">in </w:t>
      </w:r>
      <w:r w:rsidR="00F3115B" w:rsidRPr="00497728">
        <w:t xml:space="preserve">calculating </w:t>
      </w:r>
      <w:r w:rsidR="00310DF3" w:rsidRPr="00497728">
        <w:t>Scope </w:t>
      </w:r>
      <w:r w:rsidR="00F3115B" w:rsidRPr="00497728">
        <w:t>3 emissions accurately</w:t>
      </w:r>
      <w:r w:rsidR="00735685" w:rsidRPr="00497728">
        <w:t>,</w:t>
      </w:r>
      <w:r w:rsidR="00F3115B" w:rsidRPr="00497728">
        <w:t xml:space="preserve"> and the potential for liability along with the significant cost and effort required to gather reliable data</w:t>
      </w:r>
      <w:r w:rsidR="00735685" w:rsidRPr="00497728">
        <w:t>.</w:t>
      </w:r>
      <w:r w:rsidR="00F3115B" w:rsidRPr="00497728">
        <w:t xml:space="preserve"> </w:t>
      </w:r>
      <w:r w:rsidR="00735685" w:rsidRPr="00497728">
        <w:t>I</w:t>
      </w:r>
      <w:r w:rsidR="00F3115B" w:rsidRPr="00497728">
        <w:t xml:space="preserve">nvestor feedback in relation to the sentiment there was no standardised approach to reporting </w:t>
      </w:r>
      <w:r w:rsidR="00735685" w:rsidRPr="00497728">
        <w:t xml:space="preserve">Scope </w:t>
      </w:r>
      <w:r w:rsidR="00F3115B" w:rsidRPr="00497728">
        <w:t>3 emissions at this stage</w:t>
      </w:r>
      <w:r w:rsidR="00735685" w:rsidRPr="00497728">
        <w:t>, was also a factor in the ruling</w:t>
      </w:r>
    </w:p>
    <w:p w14:paraId="2F06391D" w14:textId="3F28E13D" w:rsidR="00431F4D" w:rsidRPr="00497728" w:rsidRDefault="00E2260A" w:rsidP="00575C40">
      <w:pPr>
        <w:pStyle w:val="Heading4"/>
      </w:pPr>
      <w:bookmarkStart w:id="28" w:name="_Toc183182227"/>
      <w:r w:rsidRPr="00497728">
        <w:t xml:space="preserve">East </w:t>
      </w:r>
      <w:r w:rsidR="00431F4D" w:rsidRPr="00497728">
        <w:t>Asia</w:t>
      </w:r>
      <w:r w:rsidR="009C3FB9" w:rsidRPr="00497728">
        <w:t xml:space="preserve"> and Southeast Asia</w:t>
      </w:r>
      <w:bookmarkEnd w:id="28"/>
    </w:p>
    <w:p w14:paraId="5B2E5044" w14:textId="318DEC59" w:rsidR="00E37574" w:rsidRPr="00497728" w:rsidRDefault="00431F4D" w:rsidP="00431F4D">
      <w:r w:rsidRPr="00497728">
        <w:t xml:space="preserve">While sustainability </w:t>
      </w:r>
      <w:r w:rsidR="001209D6" w:rsidRPr="00497728">
        <w:t xml:space="preserve">expectations are </w:t>
      </w:r>
      <w:r w:rsidRPr="00497728">
        <w:t>less formali</w:t>
      </w:r>
      <w:r w:rsidR="00CC60F9" w:rsidRPr="00497728">
        <w:t>s</w:t>
      </w:r>
      <w:r w:rsidRPr="00497728">
        <w:t xml:space="preserve">ed in many Asian countries, the demand is rising, especially in premium markets like Japan and South Korea. </w:t>
      </w:r>
      <w:r w:rsidR="00B447D3" w:rsidRPr="00497728">
        <w:t>These demands are often driven from or directly linked to EU regulations. For example, Japan’s focus on organic certification, through the Japanese Agricultural Standards (JAS), mirrors the EU’s emphasis on organic production.</w:t>
      </w:r>
    </w:p>
    <w:p w14:paraId="01A3B427" w14:textId="5FD18772" w:rsidR="003E7E76" w:rsidRPr="00497728" w:rsidRDefault="003E7E76" w:rsidP="00431F4D">
      <w:r w:rsidRPr="00497728">
        <w:t>China, one of Australia’s key agricultural markets, is slowly increasing its environmental regulations, particularly concerning greenhouse gas emissions and food safety standards.</w:t>
      </w:r>
      <w:r w:rsidR="00262ECB" w:rsidRPr="00497728">
        <w:t xml:space="preserve"> </w:t>
      </w:r>
      <w:r w:rsidR="007E66A2" w:rsidRPr="00497728">
        <w:t>A</w:t>
      </w:r>
      <w:r w:rsidR="00D2669C" w:rsidRPr="00497728">
        <w:t>n</w:t>
      </w:r>
      <w:r w:rsidR="007E66A2" w:rsidRPr="00497728">
        <w:t>e</w:t>
      </w:r>
      <w:r w:rsidR="00D2669C" w:rsidRPr="00497728">
        <w:t>c</w:t>
      </w:r>
      <w:r w:rsidR="007E66A2" w:rsidRPr="00497728">
        <w:t xml:space="preserve">dotally it was noted that China’s drive </w:t>
      </w:r>
      <w:r w:rsidR="00D2669C" w:rsidRPr="00497728">
        <w:t xml:space="preserve">in relation to emissions </w:t>
      </w:r>
      <w:r w:rsidR="007A5328" w:rsidRPr="00497728">
        <w:t xml:space="preserve">regulation </w:t>
      </w:r>
      <w:r w:rsidR="00D2669C" w:rsidRPr="00497728">
        <w:t xml:space="preserve">stemmed from air quality concerns </w:t>
      </w:r>
      <w:r w:rsidR="007A5328" w:rsidRPr="00497728">
        <w:t>more so</w:t>
      </w:r>
      <w:r w:rsidR="00D2669C" w:rsidRPr="00497728">
        <w:t xml:space="preserve"> than environmental goals. </w:t>
      </w:r>
      <w:r w:rsidR="00262ECB" w:rsidRPr="00497728">
        <w:t xml:space="preserve">For cereals </w:t>
      </w:r>
      <w:r w:rsidR="00401FD8" w:rsidRPr="00497728">
        <w:t xml:space="preserve">and </w:t>
      </w:r>
      <w:r w:rsidR="000D45FE" w:rsidRPr="00497728">
        <w:t>vegetables</w:t>
      </w:r>
      <w:r w:rsidR="00401FD8" w:rsidRPr="00497728">
        <w:t xml:space="preserve">, </w:t>
      </w:r>
      <w:r w:rsidR="000D45FE" w:rsidRPr="00497728">
        <w:t>the Green Food Standard in China is a certification system that focuses on promoting agricultural products that are produced sustainably, with minimal environmental impact. It emphasises the use of safe agricultural practices, particularly concerning the responsible use of fertilisers, pesticides, and water, to ensure that products are environmentally friendly and safe for consumers.</w:t>
      </w:r>
    </w:p>
    <w:p w14:paraId="1E396E24" w14:textId="07246072" w:rsidR="006E1A77" w:rsidRPr="00497728" w:rsidRDefault="006E1A77" w:rsidP="006E1A77">
      <w:r w:rsidRPr="00497728">
        <w:t xml:space="preserve">Certifications like the MSC are important for seafood exports although for some </w:t>
      </w:r>
      <w:r w:rsidR="00C8480C" w:rsidRPr="00497728">
        <w:t xml:space="preserve">East Asian and Southeast Asian </w:t>
      </w:r>
      <w:r w:rsidRPr="00497728">
        <w:t>markets</w:t>
      </w:r>
      <w:r w:rsidR="00C8480C" w:rsidRPr="00497728">
        <w:t xml:space="preserve"> in particular</w:t>
      </w:r>
      <w:r w:rsidRPr="00497728">
        <w:t xml:space="preserve">, a demand for Australian product outstrips expectations around </w:t>
      </w:r>
      <w:r w:rsidR="00226541" w:rsidRPr="00497728">
        <w:t xml:space="preserve">evidence-based </w:t>
      </w:r>
      <w:r w:rsidRPr="00497728">
        <w:t>sustainability claims.</w:t>
      </w:r>
    </w:p>
    <w:p w14:paraId="1FA7DBA7" w14:textId="5AA6D746" w:rsidR="0066166D" w:rsidRDefault="00BE4DA2" w:rsidP="00CE0D3A">
      <w:pPr>
        <w:pStyle w:val="BoxText"/>
      </w:pPr>
      <w:r w:rsidRPr="00497728">
        <w:rPr>
          <w:b/>
          <w:bCs/>
        </w:rPr>
        <w:lastRenderedPageBreak/>
        <w:t>Consultation question</w:t>
      </w:r>
      <w:r w:rsidR="00145E99" w:rsidRPr="00497728">
        <w:rPr>
          <w:b/>
          <w:bCs/>
        </w:rPr>
        <w:t xml:space="preserve"> 1</w:t>
      </w:r>
      <w:r w:rsidRPr="00497728">
        <w:rPr>
          <w:b/>
          <w:bCs/>
        </w:rPr>
        <w:t>:</w:t>
      </w:r>
      <w:r w:rsidRPr="00497728">
        <w:t xml:space="preserve"> </w:t>
      </w:r>
      <w:r w:rsidR="005C5F29" w:rsidRPr="00497728">
        <w:t>What</w:t>
      </w:r>
      <w:r w:rsidRPr="00497728">
        <w:t xml:space="preserve"> </w:t>
      </w:r>
      <w:r w:rsidR="00145E99" w:rsidRPr="00497728">
        <w:t xml:space="preserve">other current and emerging </w:t>
      </w:r>
      <w:r w:rsidR="00020DB9" w:rsidRPr="00497728">
        <w:t xml:space="preserve">regulatory </w:t>
      </w:r>
      <w:r w:rsidRPr="00497728">
        <w:t xml:space="preserve">requirements </w:t>
      </w:r>
      <w:r w:rsidR="0068785F" w:rsidRPr="00497728">
        <w:t>are</w:t>
      </w:r>
      <w:r w:rsidRPr="00497728">
        <w:t xml:space="preserve"> missing</w:t>
      </w:r>
      <w:r w:rsidR="00120FBF" w:rsidRPr="00497728">
        <w:t xml:space="preserve"> from </w:t>
      </w:r>
      <w:r w:rsidR="009D20C4" w:rsidRPr="00497728">
        <w:t>Section </w:t>
      </w:r>
      <w:r w:rsidR="005C5F29" w:rsidRPr="00497728">
        <w:fldChar w:fldCharType="begin"/>
      </w:r>
      <w:r w:rsidR="005C5F29" w:rsidRPr="00497728">
        <w:instrText xml:space="preserve"> REF _Ref179462962 \r \h </w:instrText>
      </w:r>
      <w:r w:rsidR="00497728">
        <w:instrText xml:space="preserve"> \* MERGEFORMAT </w:instrText>
      </w:r>
      <w:r w:rsidR="005C5F29" w:rsidRPr="00497728">
        <w:fldChar w:fldCharType="separate"/>
      </w:r>
      <w:r w:rsidR="002C084D">
        <w:t>2.1</w:t>
      </w:r>
      <w:r w:rsidR="005C5F29" w:rsidRPr="00497728">
        <w:fldChar w:fldCharType="end"/>
      </w:r>
      <w:r w:rsidRPr="00497728">
        <w:t>?</w:t>
      </w:r>
    </w:p>
    <w:p w14:paraId="26803F24" w14:textId="28DC1F41" w:rsidR="00BE4DA2" w:rsidRPr="00497728" w:rsidRDefault="00D344FE" w:rsidP="00CE0D3A">
      <w:pPr>
        <w:pStyle w:val="BoxText"/>
      </w:pPr>
      <w:r>
        <w:t>Please include in your response which markets and/or sectors the requirements apply to.</w:t>
      </w:r>
    </w:p>
    <w:p w14:paraId="00EDEAD1" w14:textId="5BD329C2" w:rsidR="00EF56F3" w:rsidRPr="00497728" w:rsidRDefault="00EF56F3" w:rsidP="003B53FC">
      <w:pPr>
        <w:pStyle w:val="Heading3"/>
        <w:rPr>
          <w:rFonts w:eastAsiaTheme="minorHAnsi"/>
        </w:rPr>
      </w:pPr>
      <w:bookmarkStart w:id="29" w:name="_Ref179463023"/>
      <w:bookmarkStart w:id="30" w:name="_Toc183182228"/>
      <w:r w:rsidRPr="00497728">
        <w:rPr>
          <w:rFonts w:eastAsiaTheme="minorHAnsi"/>
        </w:rPr>
        <w:t>Key evidence expectations</w:t>
      </w:r>
      <w:bookmarkEnd w:id="29"/>
      <w:bookmarkEnd w:id="30"/>
    </w:p>
    <w:p w14:paraId="4DF56651" w14:textId="7176D53A" w:rsidR="00A7370C" w:rsidRPr="00497728" w:rsidRDefault="00F068C3" w:rsidP="00946F8D">
      <w:r w:rsidRPr="00497728">
        <w:t xml:space="preserve">Different expectations exist for both the form of </w:t>
      </w:r>
      <w:r w:rsidR="0017606A" w:rsidRPr="00497728">
        <w:t xml:space="preserve">the </w:t>
      </w:r>
      <w:r w:rsidRPr="00497728">
        <w:t xml:space="preserve">evidence required </w:t>
      </w:r>
      <w:r w:rsidR="0017606A" w:rsidRPr="00497728">
        <w:t xml:space="preserve">to support a sustainability claim </w:t>
      </w:r>
      <w:r w:rsidRPr="00497728">
        <w:t xml:space="preserve">as well as the subject of that evidence. </w:t>
      </w:r>
      <w:r w:rsidR="0017606A" w:rsidRPr="00497728">
        <w:t>These d</w:t>
      </w:r>
      <w:r w:rsidR="00012DF5" w:rsidRPr="00497728">
        <w:t>ifferences exist commodity to commodity, market to market</w:t>
      </w:r>
      <w:r w:rsidR="001C578E" w:rsidRPr="00497728">
        <w:t xml:space="preserve"> and supply chain to supply chain.</w:t>
      </w:r>
    </w:p>
    <w:p w14:paraId="03C69167" w14:textId="24B85EAD" w:rsidR="00A7370C" w:rsidRPr="00497728" w:rsidRDefault="009A2B54" w:rsidP="003B53FC">
      <w:pPr>
        <w:pStyle w:val="Heading4"/>
      </w:pPr>
      <w:bookmarkStart w:id="31" w:name="_Toc183182229"/>
      <w:r w:rsidRPr="00497728">
        <w:t>Current and emerging e</w:t>
      </w:r>
      <w:r w:rsidR="00F068C3" w:rsidRPr="00497728">
        <w:t>xpectation</w:t>
      </w:r>
      <w:r w:rsidR="004A4AAD" w:rsidRPr="00497728">
        <w:t>s</w:t>
      </w:r>
      <w:r w:rsidR="00F068C3" w:rsidRPr="00497728">
        <w:t xml:space="preserve"> </w:t>
      </w:r>
      <w:r w:rsidR="009D20C4" w:rsidRPr="00497728">
        <w:t>–</w:t>
      </w:r>
      <w:r w:rsidR="00F068C3" w:rsidRPr="00497728">
        <w:t xml:space="preserve"> form </w:t>
      </w:r>
      <w:r w:rsidR="002728C0" w:rsidRPr="00497728">
        <w:t xml:space="preserve">of </w:t>
      </w:r>
      <w:r w:rsidR="00F068C3" w:rsidRPr="00497728">
        <w:t>evidence</w:t>
      </w:r>
      <w:bookmarkEnd w:id="31"/>
    </w:p>
    <w:p w14:paraId="6F0E64D5" w14:textId="0E22022C" w:rsidR="00946F8D" w:rsidRPr="00497728" w:rsidRDefault="00A7370C" w:rsidP="00946F8D">
      <w:r w:rsidRPr="00497728">
        <w:t>E</w:t>
      </w:r>
      <w:r w:rsidR="004933CA" w:rsidRPr="00497728">
        <w:t xml:space="preserve">xpectations </w:t>
      </w:r>
      <w:r w:rsidR="00BE3ED7" w:rsidRPr="00497728">
        <w:t xml:space="preserve">with respect to the form of </w:t>
      </w:r>
      <w:r w:rsidR="004933CA" w:rsidRPr="00497728">
        <w:t xml:space="preserve">evidence </w:t>
      </w:r>
      <w:r w:rsidR="00BE3ED7" w:rsidRPr="00497728">
        <w:t xml:space="preserve">that </w:t>
      </w:r>
      <w:r w:rsidR="004933CA" w:rsidRPr="00497728">
        <w:t>underpin</w:t>
      </w:r>
      <w:r w:rsidR="00BE3ED7" w:rsidRPr="00497728">
        <w:t>s</w:t>
      </w:r>
      <w:r w:rsidR="004933CA" w:rsidRPr="00497728">
        <w:t xml:space="preserve"> sustainability claims</w:t>
      </w:r>
      <w:r w:rsidRPr="00497728">
        <w:t xml:space="preserve"> </w:t>
      </w:r>
      <w:r w:rsidR="00093A21" w:rsidRPr="00497728">
        <w:t xml:space="preserve">varies </w:t>
      </w:r>
      <w:r w:rsidR="0017606A" w:rsidRPr="00497728">
        <w:t>between</w:t>
      </w:r>
      <w:r w:rsidRPr="00497728">
        <w:t xml:space="preserve"> stakeholders but generally </w:t>
      </w:r>
      <w:r w:rsidR="004A4AAD" w:rsidRPr="00497728">
        <w:t xml:space="preserve">can be classified </w:t>
      </w:r>
      <w:r w:rsidR="00DC2B9D" w:rsidRPr="00497728">
        <w:t>into groups</w:t>
      </w:r>
      <w:r w:rsidR="004933CA" w:rsidRPr="00497728">
        <w:t>:</w:t>
      </w:r>
    </w:p>
    <w:p w14:paraId="3DFCE5BF" w14:textId="047BC4FF" w:rsidR="00A777A1" w:rsidRPr="00497728" w:rsidRDefault="00A777A1" w:rsidP="006A7683">
      <w:pPr>
        <w:pStyle w:val="Heading5"/>
      </w:pPr>
      <w:r w:rsidRPr="00497728">
        <w:t xml:space="preserve">Third-party </w:t>
      </w:r>
      <w:r w:rsidR="00E37150" w:rsidRPr="00497728">
        <w:t xml:space="preserve">assurance or </w:t>
      </w:r>
      <w:r w:rsidRPr="00497728">
        <w:t>certifications</w:t>
      </w:r>
    </w:p>
    <w:p w14:paraId="2A06B0F9" w14:textId="592B57C0" w:rsidR="00A777A1" w:rsidRPr="00497728" w:rsidRDefault="00A777A1" w:rsidP="00CD22AE">
      <w:pPr>
        <w:keepLines/>
      </w:pPr>
      <w:r w:rsidRPr="00497728">
        <w:t xml:space="preserve">Supply chain participants indicated that third-party certifications were </w:t>
      </w:r>
      <w:r w:rsidR="00AD2A33" w:rsidRPr="00497728">
        <w:t xml:space="preserve">often </w:t>
      </w:r>
      <w:r w:rsidR="005456D4" w:rsidRPr="00497728">
        <w:t>required to</w:t>
      </w:r>
      <w:r w:rsidRPr="00497728">
        <w:t xml:space="preserve"> underpin sustainability claims for market access, in particular:</w:t>
      </w:r>
    </w:p>
    <w:p w14:paraId="5DBFF91A" w14:textId="77777777" w:rsidR="00A777A1" w:rsidRPr="00497728" w:rsidRDefault="00A777A1" w:rsidP="00497728">
      <w:pPr>
        <w:pStyle w:val="ListBullet"/>
        <w:keepLines/>
      </w:pPr>
      <w:r w:rsidRPr="00497728">
        <w:t>MSC Certified Sustainable Seafood program (seafood)</w:t>
      </w:r>
    </w:p>
    <w:p w14:paraId="28C44093" w14:textId="77777777" w:rsidR="00A777A1" w:rsidRPr="00497728" w:rsidRDefault="00A777A1" w:rsidP="00497728">
      <w:pPr>
        <w:pStyle w:val="ListBullet"/>
        <w:keepLines/>
      </w:pPr>
      <w:r w:rsidRPr="00497728">
        <w:t>GLOBALGAP (plant based)</w:t>
      </w:r>
    </w:p>
    <w:p w14:paraId="0BEE10FC" w14:textId="5B489C37" w:rsidR="00A777A1" w:rsidRPr="00497728" w:rsidRDefault="00A777A1" w:rsidP="00497728">
      <w:pPr>
        <w:pStyle w:val="ListBullet"/>
        <w:keepLines/>
      </w:pPr>
      <w:r w:rsidRPr="00497728">
        <w:t>SAI Platform (dairy</w:t>
      </w:r>
      <w:r w:rsidR="005E183F" w:rsidRPr="00497728">
        <w:t xml:space="preserve">, plant </w:t>
      </w:r>
      <w:r w:rsidR="009931F7" w:rsidRPr="00497728">
        <w:t>based</w:t>
      </w:r>
      <w:r w:rsidRPr="00497728">
        <w:t>)</w:t>
      </w:r>
    </w:p>
    <w:p w14:paraId="470E5542" w14:textId="4B760C0E" w:rsidR="00A777A1" w:rsidRPr="00497728" w:rsidRDefault="00A777A1" w:rsidP="00497728">
      <w:pPr>
        <w:pStyle w:val="ListBullet"/>
        <w:keepLines/>
      </w:pPr>
      <w:r w:rsidRPr="00497728">
        <w:t>Australian Wool Sustainability Scheme (AWSS) (wool)</w:t>
      </w:r>
    </w:p>
    <w:p w14:paraId="0BE9AA48" w14:textId="64DB7023" w:rsidR="00A777A1" w:rsidRPr="00497728" w:rsidRDefault="00A777A1" w:rsidP="00497728">
      <w:pPr>
        <w:pStyle w:val="ListBullet"/>
        <w:keepLines/>
      </w:pPr>
      <w:r w:rsidRPr="00497728">
        <w:t>ISCC program (principally for canola)</w:t>
      </w:r>
    </w:p>
    <w:p w14:paraId="7CCF04F9" w14:textId="2BBFCC48" w:rsidR="00A63176" w:rsidRPr="00497728" w:rsidRDefault="00A63176" w:rsidP="00497728">
      <w:pPr>
        <w:pStyle w:val="ListBullet"/>
        <w:keepLines/>
      </w:pPr>
      <w:r w:rsidRPr="00497728">
        <w:t>SEDEX</w:t>
      </w:r>
      <w:r w:rsidR="00BD3863" w:rsidRPr="00497728">
        <w:t xml:space="preserve"> (horticulture)</w:t>
      </w:r>
    </w:p>
    <w:p w14:paraId="13938D7E" w14:textId="249E423E" w:rsidR="00CA1D02" w:rsidRPr="00497728" w:rsidRDefault="00CA1D02" w:rsidP="00497728">
      <w:pPr>
        <w:pStyle w:val="ListBullet"/>
        <w:keepLines/>
      </w:pPr>
      <w:r w:rsidRPr="00497728">
        <w:t>MyBMP/Better Cotton</w:t>
      </w:r>
    </w:p>
    <w:p w14:paraId="6341F6DC" w14:textId="77777777" w:rsidR="000346DC" w:rsidRPr="00497728" w:rsidRDefault="000346DC" w:rsidP="00497728">
      <w:pPr>
        <w:pStyle w:val="ListBullet"/>
        <w:keepLines/>
      </w:pPr>
      <w:r w:rsidRPr="00497728">
        <w:t>Leading Harvest</w:t>
      </w:r>
    </w:p>
    <w:p w14:paraId="15F23C39" w14:textId="239D6DAA" w:rsidR="005C5D63" w:rsidRPr="00497728" w:rsidRDefault="005C5D63" w:rsidP="00497728">
      <w:pPr>
        <w:pStyle w:val="ListBullet"/>
        <w:keepLines/>
      </w:pPr>
      <w:r w:rsidRPr="00497728">
        <w:t>Green Food</w:t>
      </w:r>
      <w:r w:rsidR="009C377B" w:rsidRPr="00497728">
        <w:t xml:space="preserve"> (plant based)</w:t>
      </w:r>
    </w:p>
    <w:p w14:paraId="00ED9C87" w14:textId="0C98F6D5" w:rsidR="00CA1D02" w:rsidRPr="00497728" w:rsidRDefault="00AC075D" w:rsidP="00497728">
      <w:pPr>
        <w:pStyle w:val="ListBullet"/>
        <w:keepLines/>
      </w:pPr>
      <w:r w:rsidRPr="00497728">
        <w:t>Fair Trade</w:t>
      </w:r>
    </w:p>
    <w:p w14:paraId="7F6E90DA" w14:textId="386E2FB2" w:rsidR="00AC075D" w:rsidRPr="00497728" w:rsidRDefault="002728C0" w:rsidP="00497728">
      <w:pPr>
        <w:pStyle w:val="ListBullet"/>
        <w:keepLines/>
      </w:pPr>
      <w:r w:rsidRPr="00497728">
        <w:t>R</w:t>
      </w:r>
      <w:r w:rsidR="00FB2EAC" w:rsidRPr="00497728">
        <w:t>egenagri</w:t>
      </w:r>
    </w:p>
    <w:p w14:paraId="6090AEB7" w14:textId="15A9AF11" w:rsidR="00FB2EAC" w:rsidRPr="00497728" w:rsidRDefault="0089169C" w:rsidP="00497728">
      <w:pPr>
        <w:pStyle w:val="ListBullet"/>
        <w:keepLines/>
      </w:pPr>
      <w:r w:rsidRPr="00497728">
        <w:t>Organic certification</w:t>
      </w:r>
      <w:r w:rsidR="00166C7C" w:rsidRPr="00497728">
        <w:t>.</w:t>
      </w:r>
    </w:p>
    <w:p w14:paraId="2586D53F" w14:textId="2F63D2AA" w:rsidR="00A777A1" w:rsidRPr="00497728" w:rsidRDefault="00A777A1" w:rsidP="00166C7C">
      <w:r w:rsidRPr="00497728">
        <w:t xml:space="preserve">Some Asian markets were less reliant on certifications. </w:t>
      </w:r>
      <w:r w:rsidR="009A6D95" w:rsidRPr="00497728">
        <w:t xml:space="preserve">In </w:t>
      </w:r>
      <w:r w:rsidR="00613139" w:rsidRPr="00497728">
        <w:t xml:space="preserve">many </w:t>
      </w:r>
      <w:r w:rsidR="009A6D95" w:rsidRPr="00497728">
        <w:t>cases</w:t>
      </w:r>
      <w:r w:rsidR="0017606A" w:rsidRPr="00497728">
        <w:t>,</w:t>
      </w:r>
      <w:r w:rsidR="009A6D95" w:rsidRPr="00497728">
        <w:t xml:space="preserve"> where certification </w:t>
      </w:r>
      <w:r w:rsidR="0017606A" w:rsidRPr="00497728">
        <w:t xml:space="preserve">is </w:t>
      </w:r>
      <w:r w:rsidR="009A6D95" w:rsidRPr="00497728">
        <w:t xml:space="preserve">relied upon, there </w:t>
      </w:r>
      <w:r w:rsidR="0017606A" w:rsidRPr="00497728">
        <w:t xml:space="preserve">is </w:t>
      </w:r>
      <w:r w:rsidR="009A6D95" w:rsidRPr="00497728">
        <w:t xml:space="preserve">no expectation of evidence other than the certificate. The underlaying </w:t>
      </w:r>
      <w:r w:rsidR="003D6718" w:rsidRPr="00497728">
        <w:t>assumption</w:t>
      </w:r>
      <w:r w:rsidR="009A6D95" w:rsidRPr="00497728">
        <w:t xml:space="preserve"> being that the certification process </w:t>
      </w:r>
      <w:r w:rsidR="003D6718" w:rsidRPr="00497728">
        <w:t xml:space="preserve">verifies the evidence avoiding the need for </w:t>
      </w:r>
      <w:r w:rsidR="00081554" w:rsidRPr="00497728">
        <w:t xml:space="preserve">further </w:t>
      </w:r>
      <w:r w:rsidR="003D6718" w:rsidRPr="00497728">
        <w:t>evidence to be transferred to supply chain participants.</w:t>
      </w:r>
      <w:r w:rsidR="00613139" w:rsidRPr="00497728">
        <w:t xml:space="preserve"> In other cases, an additional customer-based layer </w:t>
      </w:r>
      <w:r w:rsidR="0017606A" w:rsidRPr="00497728">
        <w:t>i</w:t>
      </w:r>
      <w:r w:rsidR="00613139" w:rsidRPr="00497728">
        <w:t>s imposed whereby the customer verif</w:t>
      </w:r>
      <w:r w:rsidR="0017606A" w:rsidRPr="00497728">
        <w:t>ies</w:t>
      </w:r>
      <w:r w:rsidR="00613139" w:rsidRPr="00497728">
        <w:t xml:space="preserve"> the evidence underpinning the certificate through its own audit process or through the use of declarations.</w:t>
      </w:r>
    </w:p>
    <w:p w14:paraId="163F3ED6" w14:textId="4E93D67D" w:rsidR="00946F8D" w:rsidRPr="00497728" w:rsidRDefault="004933CA" w:rsidP="006A7683">
      <w:pPr>
        <w:pStyle w:val="Heading5"/>
      </w:pPr>
      <w:r w:rsidRPr="00497728">
        <w:t>Traceability and data systems</w:t>
      </w:r>
    </w:p>
    <w:p w14:paraId="135A4A2C" w14:textId="4C13E4AB" w:rsidR="00946F8D" w:rsidRPr="00497728" w:rsidRDefault="00D45F87" w:rsidP="00166C7C">
      <w:r w:rsidRPr="00497728">
        <w:t xml:space="preserve">Robust </w:t>
      </w:r>
      <w:r w:rsidR="00946F8D" w:rsidRPr="00497728">
        <w:t xml:space="preserve">traceability systems </w:t>
      </w:r>
      <w:r w:rsidR="0017606A" w:rsidRPr="00497728">
        <w:t xml:space="preserve">are </w:t>
      </w:r>
      <w:r w:rsidR="00A7370C" w:rsidRPr="00497728">
        <w:t>considered</w:t>
      </w:r>
      <w:r w:rsidR="00D404E7" w:rsidRPr="00497728">
        <w:t xml:space="preserve"> key </w:t>
      </w:r>
      <w:r w:rsidR="00946F8D" w:rsidRPr="00497728">
        <w:t>to support</w:t>
      </w:r>
      <w:r w:rsidR="00D404E7" w:rsidRPr="00497728">
        <w:t>ing</w:t>
      </w:r>
      <w:r w:rsidR="00946F8D" w:rsidRPr="00497728">
        <w:t xml:space="preserve"> sustainability claims.</w:t>
      </w:r>
      <w:r w:rsidR="007D0CE8" w:rsidRPr="00497728">
        <w:t xml:space="preserve"> </w:t>
      </w:r>
      <w:r w:rsidR="003F775D" w:rsidRPr="00497728">
        <w:t>In some cases</w:t>
      </w:r>
      <w:r w:rsidR="004242B0" w:rsidRPr="00497728">
        <w:t>,</w:t>
      </w:r>
      <w:r w:rsidR="003F775D" w:rsidRPr="00497728">
        <w:t xml:space="preserve"> different customers may require the use of different systems </w:t>
      </w:r>
      <w:r w:rsidR="00A00FB0" w:rsidRPr="00497728">
        <w:t xml:space="preserve">which poses challenges for </w:t>
      </w:r>
      <w:r w:rsidR="00A00FB0" w:rsidRPr="00497728">
        <w:lastRenderedPageBreak/>
        <w:t xml:space="preserve">organisations with multiple customers. </w:t>
      </w:r>
      <w:r w:rsidR="0017606A" w:rsidRPr="00497728">
        <w:t>Analysis of</w:t>
      </w:r>
      <w:r w:rsidR="00946F8D" w:rsidRPr="00497728">
        <w:t xml:space="preserve"> satellite imagery was</w:t>
      </w:r>
      <w:r w:rsidR="007D0CE8" w:rsidRPr="00497728">
        <w:t xml:space="preserve"> also</w:t>
      </w:r>
      <w:r w:rsidR="00946F8D" w:rsidRPr="00497728">
        <w:t xml:space="preserve"> </w:t>
      </w:r>
      <w:r w:rsidRPr="00497728">
        <w:t>identified</w:t>
      </w:r>
      <w:r w:rsidR="00946F8D" w:rsidRPr="00497728">
        <w:t xml:space="preserve"> as a tool to </w:t>
      </w:r>
      <w:r w:rsidR="0017606A" w:rsidRPr="00497728">
        <w:t xml:space="preserve">ensure </w:t>
      </w:r>
      <w:r w:rsidR="00946F8D" w:rsidRPr="00497728">
        <w:t>compl</w:t>
      </w:r>
      <w:r w:rsidR="0017606A" w:rsidRPr="00497728">
        <w:t>iance</w:t>
      </w:r>
      <w:r w:rsidR="00946F8D" w:rsidRPr="00497728">
        <w:t xml:space="preserve"> with the </w:t>
      </w:r>
      <w:r w:rsidR="009C76E7" w:rsidRPr="00497728">
        <w:t>EU’s</w:t>
      </w:r>
      <w:r w:rsidR="00946F8D" w:rsidRPr="00497728">
        <w:t xml:space="preserve"> deforestation regulations by verifying that products </w:t>
      </w:r>
      <w:r w:rsidR="0017606A" w:rsidRPr="00497728">
        <w:t xml:space="preserve">are </w:t>
      </w:r>
      <w:r w:rsidR="00946F8D" w:rsidRPr="00497728">
        <w:t>not sourced from deforested land</w:t>
      </w:r>
      <w:r w:rsidR="00D404E7" w:rsidRPr="00497728">
        <w:t>.</w:t>
      </w:r>
    </w:p>
    <w:p w14:paraId="4867BF79" w14:textId="77777777" w:rsidR="006E2630" w:rsidRPr="00497728" w:rsidRDefault="00D71AA7" w:rsidP="006A7683">
      <w:pPr>
        <w:pStyle w:val="Heading5"/>
      </w:pPr>
      <w:r w:rsidRPr="00497728">
        <w:t>Declarations</w:t>
      </w:r>
      <w:r w:rsidR="006E2630" w:rsidRPr="00497728">
        <w:t>,</w:t>
      </w:r>
      <w:r w:rsidRPr="00497728">
        <w:t xml:space="preserve"> templates</w:t>
      </w:r>
      <w:r w:rsidR="006E2630" w:rsidRPr="00497728">
        <w:t xml:space="preserve"> and tools</w:t>
      </w:r>
    </w:p>
    <w:p w14:paraId="31C323C2" w14:textId="3A157938" w:rsidR="00D71AA7" w:rsidRPr="00497728" w:rsidRDefault="00BF52F2" w:rsidP="00166C7C">
      <w:r w:rsidRPr="00497728">
        <w:t xml:space="preserve">Some stakeholders indicated the requirement for </w:t>
      </w:r>
      <w:r w:rsidR="003352A0" w:rsidRPr="00497728">
        <w:t>self-declarations</w:t>
      </w:r>
      <w:r w:rsidR="00C217BC" w:rsidRPr="00497728">
        <w:t xml:space="preserve"> or the use of templates </w:t>
      </w:r>
      <w:r w:rsidR="005D47B6" w:rsidRPr="00497728">
        <w:t xml:space="preserve">for aspects </w:t>
      </w:r>
      <w:r w:rsidR="00C217BC" w:rsidRPr="00497728">
        <w:t>such as lifecycle assessments or carbon calculators.</w:t>
      </w:r>
      <w:r w:rsidR="00C23F5D" w:rsidRPr="00497728">
        <w:t xml:space="preserve"> Supplier codes of conduct, policies and questionnaires were also required </w:t>
      </w:r>
      <w:r w:rsidR="00300533" w:rsidRPr="00497728">
        <w:t>in some sectors.</w:t>
      </w:r>
    </w:p>
    <w:p w14:paraId="6C52E1CE" w14:textId="10D859D3" w:rsidR="00AC4C24" w:rsidRPr="00497728" w:rsidRDefault="00AC4C24" w:rsidP="006A7683">
      <w:pPr>
        <w:pStyle w:val="Heading5"/>
      </w:pPr>
      <w:r w:rsidRPr="00497728">
        <w:t>Industry based sustainability frameworks</w:t>
      </w:r>
      <w:r w:rsidR="006771B2" w:rsidRPr="00497728">
        <w:t xml:space="preserve"> and reports</w:t>
      </w:r>
    </w:p>
    <w:p w14:paraId="27837841" w14:textId="77F58AC9" w:rsidR="00946F8D" w:rsidRPr="00497728" w:rsidRDefault="00017085" w:rsidP="00166C7C">
      <w:r w:rsidRPr="00497728">
        <w:t>Some i</w:t>
      </w:r>
      <w:r w:rsidR="00AC4C24" w:rsidRPr="00497728">
        <w:t xml:space="preserve">ndustry stakeholders considered </w:t>
      </w:r>
      <w:r w:rsidR="001D0374" w:rsidRPr="00497728">
        <w:t xml:space="preserve">sustainability frameworks </w:t>
      </w:r>
      <w:r w:rsidR="006771B2" w:rsidRPr="00497728">
        <w:t xml:space="preserve">and associated reports </w:t>
      </w:r>
      <w:r w:rsidR="001D0374" w:rsidRPr="00497728">
        <w:t>as meeting market expectations for evidence that supports sustainability claims</w:t>
      </w:r>
      <w:r w:rsidR="0017606A" w:rsidRPr="00497728">
        <w:t>.</w:t>
      </w:r>
      <w:r w:rsidRPr="00497728">
        <w:t xml:space="preserve"> </w:t>
      </w:r>
      <w:r w:rsidR="0017606A" w:rsidRPr="00497728">
        <w:t>O</w:t>
      </w:r>
      <w:r w:rsidRPr="00497728">
        <w:t xml:space="preserve">thers indicated their </w:t>
      </w:r>
      <w:r w:rsidR="002552A2" w:rsidRPr="00497728">
        <w:t>frameworks</w:t>
      </w:r>
      <w:r w:rsidRPr="00497728">
        <w:t xml:space="preserve"> were </w:t>
      </w:r>
      <w:r w:rsidR="0015046F" w:rsidRPr="00497728">
        <w:t xml:space="preserve">a tool to engage markets and </w:t>
      </w:r>
      <w:r w:rsidR="00B174CE" w:rsidRPr="00497728">
        <w:t>negotiat</w:t>
      </w:r>
      <w:r w:rsidR="0017606A" w:rsidRPr="00497728">
        <w:t>e</w:t>
      </w:r>
      <w:r w:rsidR="0015046F" w:rsidRPr="00497728">
        <w:t xml:space="preserve"> market access conditions or </w:t>
      </w:r>
      <w:r w:rsidR="0017606A" w:rsidRPr="00497728">
        <w:t xml:space="preserve">communicate </w:t>
      </w:r>
      <w:r w:rsidR="0002653A" w:rsidRPr="00497728">
        <w:t xml:space="preserve">initiatives about the overall industry and </w:t>
      </w:r>
      <w:r w:rsidR="009D214F" w:rsidRPr="00497728">
        <w:t>that</w:t>
      </w:r>
      <w:r w:rsidR="0002653A" w:rsidRPr="00497728">
        <w:t xml:space="preserve"> there </w:t>
      </w:r>
      <w:r w:rsidR="009D214F" w:rsidRPr="00497728">
        <w:t>was</w:t>
      </w:r>
      <w:r w:rsidR="0002653A" w:rsidRPr="00497728">
        <w:t xml:space="preserve"> still </w:t>
      </w:r>
      <w:r w:rsidR="009D214F" w:rsidRPr="00497728">
        <w:t>the need</w:t>
      </w:r>
      <w:r w:rsidR="00506825" w:rsidRPr="00497728">
        <w:t xml:space="preserve"> for </w:t>
      </w:r>
      <w:r w:rsidR="00EF6BC2" w:rsidRPr="00497728">
        <w:t xml:space="preserve">evidence through the </w:t>
      </w:r>
      <w:r w:rsidR="007B3FB3" w:rsidRPr="00497728">
        <w:t>supply</w:t>
      </w:r>
      <w:r w:rsidR="00A95BED" w:rsidRPr="00497728">
        <w:t xml:space="preserve"> </w:t>
      </w:r>
      <w:r w:rsidR="007B3FB3" w:rsidRPr="00497728">
        <w:t xml:space="preserve">chain </w:t>
      </w:r>
      <w:r w:rsidR="00A95BED" w:rsidRPr="00497728">
        <w:t>and, in many, cases on-farm.</w:t>
      </w:r>
      <w:r w:rsidR="000A60CF" w:rsidRPr="00497728">
        <w:t xml:space="preserve"> </w:t>
      </w:r>
      <w:r w:rsidR="00B32738" w:rsidRPr="00497728">
        <w:t xml:space="preserve">Supply chain participants indicated that sustainability frameworks provided a positive narrative for the industry </w:t>
      </w:r>
      <w:r w:rsidR="00DA6F96" w:rsidRPr="00497728">
        <w:t xml:space="preserve">that is helpful to </w:t>
      </w:r>
      <w:r w:rsidR="00BC1C3D" w:rsidRPr="00497728">
        <w:t>them,</w:t>
      </w:r>
      <w:r w:rsidR="00DA6F96" w:rsidRPr="00497728">
        <w:t xml:space="preserve"> </w:t>
      </w:r>
      <w:r w:rsidR="00B32738" w:rsidRPr="00497728">
        <w:t xml:space="preserve">but they </w:t>
      </w:r>
      <w:r w:rsidR="00C61277" w:rsidRPr="00497728">
        <w:t xml:space="preserve">required more specific evidence at a supplier level than frameworks </w:t>
      </w:r>
      <w:r w:rsidR="0017606A" w:rsidRPr="00497728">
        <w:t>provide</w:t>
      </w:r>
      <w:r w:rsidR="00DA6F96" w:rsidRPr="00497728">
        <w:t>.</w:t>
      </w:r>
    </w:p>
    <w:p w14:paraId="4524B56C" w14:textId="7A805E29" w:rsidR="004932B4" w:rsidRPr="00497728" w:rsidRDefault="004932B4" w:rsidP="006A7683">
      <w:pPr>
        <w:pStyle w:val="Heading5"/>
      </w:pPr>
      <w:r w:rsidRPr="00497728">
        <w:t>Demonstration of regulatory alignment</w:t>
      </w:r>
    </w:p>
    <w:p w14:paraId="6C448DA2" w14:textId="5574E894" w:rsidR="0082087C" w:rsidRPr="00497728" w:rsidRDefault="0082087C" w:rsidP="00166C7C">
      <w:r w:rsidRPr="00497728">
        <w:t>C</w:t>
      </w:r>
      <w:r w:rsidR="009C261C" w:rsidRPr="00497728">
        <w:t xml:space="preserve">ompliance with </w:t>
      </w:r>
      <w:r w:rsidRPr="00497728">
        <w:t xml:space="preserve">Australian </w:t>
      </w:r>
      <w:r w:rsidR="0038432E" w:rsidRPr="00497728">
        <w:t>regulation</w:t>
      </w:r>
      <w:r w:rsidRPr="00497728">
        <w:t xml:space="preserve">, particularly in relation to </w:t>
      </w:r>
      <w:r w:rsidR="009C261C" w:rsidRPr="00497728">
        <w:t>modern slavery</w:t>
      </w:r>
      <w:r w:rsidRPr="00497728">
        <w:t xml:space="preserve"> and other social related topics such as </w:t>
      </w:r>
      <w:r w:rsidR="0017606A" w:rsidRPr="00497728">
        <w:t xml:space="preserve">health and safety </w:t>
      </w:r>
      <w:r w:rsidR="0038432E" w:rsidRPr="00497728">
        <w:t>was</w:t>
      </w:r>
      <w:r w:rsidRPr="00497728">
        <w:t xml:space="preserve"> considered </w:t>
      </w:r>
      <w:r w:rsidR="00BE181E" w:rsidRPr="00497728">
        <w:t xml:space="preserve">by industry as sufficient to demonstrate </w:t>
      </w:r>
      <w:r w:rsidR="00D31D14" w:rsidRPr="00497728">
        <w:t>sustainability credentials</w:t>
      </w:r>
      <w:r w:rsidR="0017606A" w:rsidRPr="00497728">
        <w:t xml:space="preserve"> with regard to these subjects</w:t>
      </w:r>
      <w:r w:rsidR="00D31D14" w:rsidRPr="00497728">
        <w:t>.</w:t>
      </w:r>
    </w:p>
    <w:p w14:paraId="54683A12" w14:textId="6948298E" w:rsidR="00300533" w:rsidRPr="00497728" w:rsidRDefault="00300533" w:rsidP="006A7683">
      <w:pPr>
        <w:pStyle w:val="Heading5"/>
      </w:pPr>
      <w:r w:rsidRPr="00497728">
        <w:t>Customer audits</w:t>
      </w:r>
    </w:p>
    <w:p w14:paraId="0951A12A" w14:textId="3389C095" w:rsidR="00300533" w:rsidRPr="00497728" w:rsidRDefault="00300533" w:rsidP="00166C7C">
      <w:r w:rsidRPr="00497728">
        <w:t xml:space="preserve">There was reference in some cases </w:t>
      </w:r>
      <w:r w:rsidR="003D3244" w:rsidRPr="00497728">
        <w:t xml:space="preserve">of </w:t>
      </w:r>
      <w:r w:rsidR="00754ABB" w:rsidRPr="00497728">
        <w:t xml:space="preserve">supply chain </w:t>
      </w:r>
      <w:r w:rsidR="003D3244" w:rsidRPr="00497728">
        <w:t>customers conducting their own audits, in addition to the use of third-party certifications.</w:t>
      </w:r>
    </w:p>
    <w:p w14:paraId="41E9E334" w14:textId="60917A89" w:rsidR="004D76C7" w:rsidRPr="00497728" w:rsidRDefault="009A2B54" w:rsidP="003B53FC">
      <w:pPr>
        <w:pStyle w:val="Heading4"/>
      </w:pPr>
      <w:bookmarkStart w:id="32" w:name="_Toc183182230"/>
      <w:r w:rsidRPr="00497728">
        <w:t xml:space="preserve">Current and emerging expectations </w:t>
      </w:r>
      <w:r w:rsidR="008A5266" w:rsidRPr="00497728">
        <w:t>–</w:t>
      </w:r>
      <w:r w:rsidR="00AB26D9" w:rsidRPr="00497728">
        <w:t xml:space="preserve"> </w:t>
      </w:r>
      <w:r w:rsidR="00AE07DB" w:rsidRPr="00497728">
        <w:t>subject</w:t>
      </w:r>
      <w:r w:rsidR="008A5266" w:rsidRPr="00497728">
        <w:t xml:space="preserve"> of </w:t>
      </w:r>
      <w:r w:rsidR="00AB26D9" w:rsidRPr="00497728">
        <w:t>evidence</w:t>
      </w:r>
      <w:bookmarkEnd w:id="32"/>
    </w:p>
    <w:p w14:paraId="06AD8818" w14:textId="79899958" w:rsidR="00221B70" w:rsidRPr="00497728" w:rsidRDefault="00BE3ED7" w:rsidP="00286846">
      <w:pPr>
        <w:keepLines/>
      </w:pPr>
      <w:r w:rsidRPr="00497728">
        <w:t xml:space="preserve">Expectations with respect to the </w:t>
      </w:r>
      <w:r w:rsidR="00AE07DB" w:rsidRPr="00497728">
        <w:t>subject</w:t>
      </w:r>
      <w:r w:rsidRPr="00497728">
        <w:t xml:space="preserve"> of evidence that underpins sustainability claims </w:t>
      </w:r>
      <w:r w:rsidR="00A165FC" w:rsidRPr="00497728">
        <w:t>is typically more topic dependent</w:t>
      </w:r>
      <w:r w:rsidR="00E7301A" w:rsidRPr="00497728">
        <w:t xml:space="preserve">. The following topics </w:t>
      </w:r>
      <w:r w:rsidR="00AA23F3" w:rsidRPr="00497728">
        <w:t>were</w:t>
      </w:r>
      <w:r w:rsidR="00185E0F" w:rsidRPr="00497728">
        <w:t xml:space="preserve"> found to be the most </w:t>
      </w:r>
      <w:r w:rsidR="00221B70" w:rsidRPr="00497728">
        <w:t>common</w:t>
      </w:r>
      <w:r w:rsidR="003566B6" w:rsidRPr="00497728">
        <w:t>ly requested</w:t>
      </w:r>
      <w:r w:rsidR="00221B70" w:rsidRPr="00497728">
        <w:t>:</w:t>
      </w:r>
    </w:p>
    <w:p w14:paraId="777929A7" w14:textId="44C49700" w:rsidR="00221B70" w:rsidRPr="00497728" w:rsidRDefault="00375EC2" w:rsidP="00286846">
      <w:pPr>
        <w:pStyle w:val="ListBullet"/>
        <w:keepLines/>
      </w:pPr>
      <w:r w:rsidRPr="00497728">
        <w:t>c</w:t>
      </w:r>
      <w:r w:rsidR="00221B70" w:rsidRPr="00497728">
        <w:t>arbon emissions and climate impact</w:t>
      </w:r>
    </w:p>
    <w:p w14:paraId="23D31373" w14:textId="62522C86" w:rsidR="00221B70" w:rsidRPr="00497728" w:rsidRDefault="00375EC2" w:rsidP="00286846">
      <w:pPr>
        <w:pStyle w:val="ListBullet"/>
        <w:keepLines/>
      </w:pPr>
      <w:r w:rsidRPr="00497728">
        <w:t>w</w:t>
      </w:r>
      <w:r w:rsidR="00221B70" w:rsidRPr="00497728">
        <w:t xml:space="preserve">ater </w:t>
      </w:r>
      <w:r w:rsidR="009811B4" w:rsidRPr="00497728">
        <w:t>impacts</w:t>
      </w:r>
    </w:p>
    <w:p w14:paraId="267D9FC3" w14:textId="6FE5961C" w:rsidR="006F5D6A" w:rsidRPr="00497728" w:rsidRDefault="00375EC2" w:rsidP="00286846">
      <w:pPr>
        <w:pStyle w:val="ListBullet"/>
        <w:keepLines/>
      </w:pPr>
      <w:r w:rsidRPr="00497728">
        <w:t>b</w:t>
      </w:r>
      <w:r w:rsidR="006F5D6A" w:rsidRPr="00497728">
        <w:t>iodiversity and ecosystem health</w:t>
      </w:r>
    </w:p>
    <w:p w14:paraId="76C84221" w14:textId="79BA51A7" w:rsidR="00D5316C" w:rsidRPr="00497728" w:rsidRDefault="00375EC2" w:rsidP="00286846">
      <w:pPr>
        <w:pStyle w:val="ListBullet"/>
        <w:keepLines/>
      </w:pPr>
      <w:r w:rsidRPr="00497728">
        <w:t>s</w:t>
      </w:r>
      <w:r w:rsidR="00D5316C" w:rsidRPr="00497728">
        <w:t>ocial responsibility and labour conditions</w:t>
      </w:r>
    </w:p>
    <w:p w14:paraId="7B9DF3D4" w14:textId="11F5B580" w:rsidR="00D5316C" w:rsidRPr="00497728" w:rsidRDefault="00375EC2" w:rsidP="00286846">
      <w:pPr>
        <w:pStyle w:val="ListBullet"/>
        <w:keepLines/>
      </w:pPr>
      <w:r w:rsidRPr="00497728">
        <w:t>s</w:t>
      </w:r>
      <w:r w:rsidR="00D5316C" w:rsidRPr="00497728">
        <w:t>upply chain transparency</w:t>
      </w:r>
    </w:p>
    <w:p w14:paraId="533E2F61" w14:textId="2B018D5C" w:rsidR="006F5D6A" w:rsidRPr="00497728" w:rsidRDefault="00375EC2" w:rsidP="00286846">
      <w:pPr>
        <w:pStyle w:val="ListBullet"/>
        <w:keepLines/>
      </w:pPr>
      <w:r w:rsidRPr="00497728">
        <w:t>s</w:t>
      </w:r>
      <w:r w:rsidR="006F5D6A" w:rsidRPr="00497728">
        <w:t>oil health and land management</w:t>
      </w:r>
    </w:p>
    <w:p w14:paraId="03602BBC" w14:textId="6F06CC0C" w:rsidR="00D06C57" w:rsidRPr="00497728" w:rsidRDefault="00375EC2" w:rsidP="00286846">
      <w:pPr>
        <w:pStyle w:val="ListBullet"/>
        <w:keepLines/>
      </w:pPr>
      <w:r w:rsidRPr="00497728">
        <w:t>r</w:t>
      </w:r>
      <w:r w:rsidR="00D06C57" w:rsidRPr="00497728">
        <w:t>esource efficiency and circular economy practices</w:t>
      </w:r>
    </w:p>
    <w:p w14:paraId="40A82315" w14:textId="4C617461" w:rsidR="003B1606" w:rsidRPr="00497728" w:rsidRDefault="00375EC2" w:rsidP="00286846">
      <w:pPr>
        <w:pStyle w:val="ListBullet"/>
        <w:keepLines/>
      </w:pPr>
      <w:r w:rsidRPr="00497728">
        <w:t>p</w:t>
      </w:r>
      <w:r w:rsidR="003B1606" w:rsidRPr="00497728">
        <w:t>olicies and practices</w:t>
      </w:r>
      <w:r w:rsidRPr="00497728">
        <w:t>.</w:t>
      </w:r>
    </w:p>
    <w:p w14:paraId="6624B2E6" w14:textId="1026CC5E" w:rsidR="007D501B" w:rsidRPr="00126916" w:rsidRDefault="006605B9" w:rsidP="006A7683">
      <w:r w:rsidRPr="00126916">
        <w:t>E</w:t>
      </w:r>
      <w:r w:rsidR="001E5C57" w:rsidRPr="00126916">
        <w:t xml:space="preserve">ven for animal-based sectors, </w:t>
      </w:r>
      <w:r w:rsidR="007D501B" w:rsidRPr="00126916">
        <w:t xml:space="preserve">subjects such as </w:t>
      </w:r>
      <w:r w:rsidR="001E5C57" w:rsidRPr="00126916">
        <w:t xml:space="preserve">carbon, water, biodiversity and social factors were </w:t>
      </w:r>
      <w:r w:rsidR="00073422" w:rsidRPr="00126916">
        <w:t>raised as</w:t>
      </w:r>
      <w:r w:rsidR="007D501B" w:rsidRPr="00126916">
        <w:t xml:space="preserve"> higher priorities </w:t>
      </w:r>
      <w:r w:rsidR="003566B6" w:rsidRPr="00126916">
        <w:t xml:space="preserve">requiring </w:t>
      </w:r>
      <w:r w:rsidR="007D501B" w:rsidRPr="00126916">
        <w:t>evidence</w:t>
      </w:r>
      <w:r w:rsidR="003566B6" w:rsidRPr="00126916">
        <w:t xml:space="preserve"> to support a sustainability claim</w:t>
      </w:r>
      <w:r w:rsidR="00581AA8" w:rsidRPr="00126916">
        <w:t>.</w:t>
      </w:r>
      <w:r w:rsidR="009B06CC" w:rsidRPr="00126916">
        <w:t xml:space="preserve"> Animal welfare </w:t>
      </w:r>
      <w:r w:rsidR="003566B6" w:rsidRPr="00126916">
        <w:t>is</w:t>
      </w:r>
      <w:r w:rsidR="00C432B4" w:rsidRPr="00126916">
        <w:t xml:space="preserve"> very specific to each animal</w:t>
      </w:r>
      <w:r w:rsidR="003566B6" w:rsidRPr="00126916">
        <w:t>-</w:t>
      </w:r>
      <w:r w:rsidR="00C432B4" w:rsidRPr="00126916">
        <w:t>based commodity and</w:t>
      </w:r>
      <w:r w:rsidR="003566B6" w:rsidRPr="00126916">
        <w:t>,</w:t>
      </w:r>
      <w:r w:rsidR="00C432B4" w:rsidRPr="00126916">
        <w:t xml:space="preserve"> in many cases</w:t>
      </w:r>
      <w:r w:rsidR="003566B6" w:rsidRPr="00126916">
        <w:t>,</w:t>
      </w:r>
      <w:r w:rsidR="00C432B4" w:rsidRPr="00126916">
        <w:t xml:space="preserve"> </w:t>
      </w:r>
      <w:r w:rsidR="003566B6" w:rsidRPr="00126916">
        <w:t xml:space="preserve">appears </w:t>
      </w:r>
      <w:r w:rsidR="0048164B" w:rsidRPr="00126916">
        <w:t xml:space="preserve">to be factored into supply </w:t>
      </w:r>
      <w:r w:rsidR="0048164B" w:rsidRPr="00126916">
        <w:lastRenderedPageBreak/>
        <w:t>chain transparency where information on</w:t>
      </w:r>
      <w:r w:rsidR="00171676" w:rsidRPr="00126916">
        <w:t xml:space="preserve"> either</w:t>
      </w:r>
      <w:r w:rsidR="0048164B" w:rsidRPr="00126916">
        <w:t xml:space="preserve"> farming practices </w:t>
      </w:r>
      <w:r w:rsidR="00171676" w:rsidRPr="00126916">
        <w:t xml:space="preserve">(e.g. organic, </w:t>
      </w:r>
      <w:r w:rsidR="00126916">
        <w:t>‘</w:t>
      </w:r>
      <w:r w:rsidR="00171676" w:rsidRPr="00126916">
        <w:t>non-mulesed</w:t>
      </w:r>
      <w:r w:rsidR="00126916">
        <w:t>’</w:t>
      </w:r>
      <w:r w:rsidR="00171676" w:rsidRPr="00126916">
        <w:t xml:space="preserve">) </w:t>
      </w:r>
      <w:r w:rsidR="0048164B" w:rsidRPr="00126916">
        <w:t xml:space="preserve">or the fact animals could be traced </w:t>
      </w:r>
      <w:r w:rsidR="003566B6" w:rsidRPr="00126916">
        <w:t xml:space="preserve">is used as </w:t>
      </w:r>
      <w:r w:rsidR="0048164B" w:rsidRPr="00126916">
        <w:t>a proxy for welfare outcomes.</w:t>
      </w:r>
    </w:p>
    <w:p w14:paraId="7EF9E27A" w14:textId="637665DE" w:rsidR="00D06C57" w:rsidRPr="00497728" w:rsidRDefault="00BA39B3" w:rsidP="00D06C57">
      <w:r w:rsidRPr="00497728">
        <w:t xml:space="preserve">The </w:t>
      </w:r>
      <w:r w:rsidR="000D1887" w:rsidRPr="00497728">
        <w:t>subject</w:t>
      </w:r>
      <w:r w:rsidRPr="00497728">
        <w:t xml:space="preserve"> of </w:t>
      </w:r>
      <w:r w:rsidR="003566B6" w:rsidRPr="00497728">
        <w:t xml:space="preserve">the </w:t>
      </w:r>
      <w:r w:rsidRPr="00497728">
        <w:t xml:space="preserve">evidence being requested </w:t>
      </w:r>
      <w:r w:rsidR="003566B6" w:rsidRPr="00497728">
        <w:t xml:space="preserve">to support </w:t>
      </w:r>
      <w:r w:rsidRPr="00497728">
        <w:t xml:space="preserve">these </w:t>
      </w:r>
      <w:r w:rsidR="00D06C57" w:rsidRPr="00497728">
        <w:t>topics is d</w:t>
      </w:r>
      <w:r w:rsidRPr="00497728">
        <w:t>escribed in the following sections</w:t>
      </w:r>
      <w:r w:rsidR="000D1887" w:rsidRPr="00497728">
        <w:t xml:space="preserve"> noting that </w:t>
      </w:r>
      <w:r w:rsidR="00506E9C" w:rsidRPr="00497728">
        <w:t xml:space="preserve">this may be what is expected </w:t>
      </w:r>
      <w:r w:rsidR="00927DEB" w:rsidRPr="00497728">
        <w:t xml:space="preserve">to underpin claims (or may be emerging as expected) </w:t>
      </w:r>
      <w:r w:rsidR="00506E9C" w:rsidRPr="00497728">
        <w:t>rather than what is requested</w:t>
      </w:r>
      <w:r w:rsidR="00961F1D" w:rsidRPr="00497728">
        <w:t xml:space="preserve"> be provided</w:t>
      </w:r>
      <w:r w:rsidR="00506E9C" w:rsidRPr="00497728">
        <w:t>.</w:t>
      </w:r>
      <w:r w:rsidR="00BF52F2" w:rsidRPr="00497728">
        <w:t xml:space="preserve"> For example, in certification programs</w:t>
      </w:r>
      <w:r w:rsidR="003566B6" w:rsidRPr="00497728">
        <w:t>,</w:t>
      </w:r>
      <w:r w:rsidR="00BF52F2" w:rsidRPr="00497728">
        <w:t xml:space="preserve"> supply chain participants are unlikely to request evidence</w:t>
      </w:r>
      <w:r w:rsidR="00961F1D" w:rsidRPr="00497728">
        <w:t xml:space="preserve"> specifically</w:t>
      </w:r>
      <w:r w:rsidR="00BF52F2" w:rsidRPr="00497728">
        <w:t xml:space="preserve"> </w:t>
      </w:r>
      <w:r w:rsidR="00961F1D" w:rsidRPr="00497728">
        <w:t xml:space="preserve">but rather </w:t>
      </w:r>
      <w:r w:rsidR="00BF52F2" w:rsidRPr="00497728">
        <w:t>rely on</w:t>
      </w:r>
      <w:r w:rsidR="00961F1D" w:rsidRPr="00497728">
        <w:t xml:space="preserve"> the</w:t>
      </w:r>
      <w:r w:rsidR="00BF52F2" w:rsidRPr="00497728">
        <w:t xml:space="preserve"> certification </w:t>
      </w:r>
      <w:r w:rsidR="00961F1D" w:rsidRPr="00497728">
        <w:t xml:space="preserve">process </w:t>
      </w:r>
      <w:r w:rsidR="00BF52F2" w:rsidRPr="00497728">
        <w:t>to verify that such evidence exists.</w:t>
      </w:r>
      <w:r w:rsidR="00DB7930" w:rsidRPr="00497728">
        <w:t xml:space="preserve"> Further, certification schemes </w:t>
      </w:r>
      <w:r w:rsidR="003566B6" w:rsidRPr="00497728">
        <w:t xml:space="preserve">do </w:t>
      </w:r>
      <w:r w:rsidR="00DB7930" w:rsidRPr="00497728">
        <w:t>not necessarily mandat</w:t>
      </w:r>
      <w:r w:rsidR="003566B6" w:rsidRPr="00497728">
        <w:t>e</w:t>
      </w:r>
      <w:r w:rsidR="00DB7930" w:rsidRPr="00497728">
        <w:t xml:space="preserve"> measures and </w:t>
      </w:r>
      <w:r w:rsidR="003566B6" w:rsidRPr="00497728">
        <w:t xml:space="preserve">the </w:t>
      </w:r>
      <w:r w:rsidR="00DB7930" w:rsidRPr="00497728">
        <w:t>collection of associated metrics but</w:t>
      </w:r>
      <w:r w:rsidR="003566B6" w:rsidRPr="00497728">
        <w:t>,</w:t>
      </w:r>
      <w:r w:rsidR="00DB7930" w:rsidRPr="00497728">
        <w:t xml:space="preserve"> rather</w:t>
      </w:r>
      <w:r w:rsidR="003566B6" w:rsidRPr="00497728">
        <w:t>,</w:t>
      </w:r>
      <w:r w:rsidR="00DB7930" w:rsidRPr="00497728">
        <w:t xml:space="preserve"> are often focused on practice change or </w:t>
      </w:r>
      <w:r w:rsidR="003566B6" w:rsidRPr="00497728">
        <w:t xml:space="preserve">sustainability </w:t>
      </w:r>
      <w:r w:rsidR="00DB7930" w:rsidRPr="00497728">
        <w:t>outcomes be</w:t>
      </w:r>
      <w:r w:rsidR="003566B6" w:rsidRPr="00497728">
        <w:t>ing</w:t>
      </w:r>
      <w:r w:rsidR="00DB7930" w:rsidRPr="00497728">
        <w:t xml:space="preserve"> achieved.</w:t>
      </w:r>
    </w:p>
    <w:p w14:paraId="10405E19" w14:textId="02A3DB7C" w:rsidR="001E1E8C" w:rsidRPr="00497728" w:rsidRDefault="001E1E8C" w:rsidP="003B53FC">
      <w:pPr>
        <w:pStyle w:val="Heading5"/>
      </w:pPr>
      <w:r w:rsidRPr="00497728">
        <w:t>Carbon emissions and climate impact</w:t>
      </w:r>
    </w:p>
    <w:p w14:paraId="4AC699D2" w14:textId="75A10E40" w:rsidR="001E1E8C" w:rsidRPr="00497728" w:rsidRDefault="001E1E8C" w:rsidP="003B53FC">
      <w:r w:rsidRPr="00497728">
        <w:t xml:space="preserve">One of the most significant areas of focus for all international markets is the carbon footprint associated with agricultural production. Markets, particularly in </w:t>
      </w:r>
      <w:r w:rsidR="00907B44" w:rsidRPr="00497728">
        <w:t>the EU</w:t>
      </w:r>
      <w:r w:rsidRPr="00497728">
        <w:t xml:space="preserve"> and increasingly Asia and North America, </w:t>
      </w:r>
      <w:r w:rsidR="0088262F" w:rsidRPr="00497728">
        <w:t xml:space="preserve">are </w:t>
      </w:r>
      <w:r w:rsidRPr="00497728">
        <w:t>requir</w:t>
      </w:r>
      <w:r w:rsidR="0088262F" w:rsidRPr="00497728">
        <w:t>ing</w:t>
      </w:r>
      <w:r w:rsidRPr="00497728">
        <w:t xml:space="preserve"> detailed data</w:t>
      </w:r>
      <w:r w:rsidR="00DA6F96" w:rsidRPr="00497728">
        <w:t xml:space="preserve"> be maintained</w:t>
      </w:r>
      <w:r w:rsidRPr="00497728">
        <w:t xml:space="preserve"> on the GHG emissions produced throughout the supply chain</w:t>
      </w:r>
      <w:r w:rsidR="001C682E" w:rsidRPr="00497728">
        <w:t>, aligned with the standards of the Paris Agreement</w:t>
      </w:r>
      <w:r w:rsidRPr="00497728">
        <w:t>. This includes:</w:t>
      </w:r>
    </w:p>
    <w:p w14:paraId="09299AF3" w14:textId="6A60B8A7" w:rsidR="001E1E8C" w:rsidRPr="00497728" w:rsidRDefault="001E1E8C" w:rsidP="006A7683">
      <w:pPr>
        <w:pStyle w:val="ListBullet"/>
      </w:pPr>
      <w:r w:rsidRPr="006A7683">
        <w:rPr>
          <w:rStyle w:val="Strong"/>
        </w:rPr>
        <w:t xml:space="preserve">Measurement of </w:t>
      </w:r>
      <w:r w:rsidR="00E61638" w:rsidRPr="006A7683">
        <w:rPr>
          <w:rStyle w:val="Strong"/>
        </w:rPr>
        <w:t>o</w:t>
      </w:r>
      <w:r w:rsidRPr="006A7683">
        <w:rPr>
          <w:rStyle w:val="Strong"/>
        </w:rPr>
        <w:t>n-</w:t>
      </w:r>
      <w:r w:rsidR="00E61638" w:rsidRPr="006A7683">
        <w:rPr>
          <w:rStyle w:val="Strong"/>
        </w:rPr>
        <w:t>f</w:t>
      </w:r>
      <w:r w:rsidRPr="006A7683">
        <w:rPr>
          <w:rStyle w:val="Strong"/>
        </w:rPr>
        <w:t xml:space="preserve">arm </w:t>
      </w:r>
      <w:r w:rsidR="00E61638" w:rsidRPr="006A7683">
        <w:rPr>
          <w:rStyle w:val="Strong"/>
        </w:rPr>
        <w:t>e</w:t>
      </w:r>
      <w:r w:rsidRPr="006A7683">
        <w:rPr>
          <w:rStyle w:val="Strong"/>
        </w:rPr>
        <w:t>missions</w:t>
      </w:r>
      <w:r w:rsidR="00126916">
        <w:t xml:space="preserve"> – </w:t>
      </w:r>
      <w:r w:rsidRPr="00497728">
        <w:t>Evidence to show the emissions generated by agricultural activities, including livestock management, crop cultivation, and energy use</w:t>
      </w:r>
      <w:r w:rsidR="00CE6C00" w:rsidRPr="00497728">
        <w:t xml:space="preserve"> are known</w:t>
      </w:r>
      <w:r w:rsidRPr="00497728">
        <w:t xml:space="preserve">. This could </w:t>
      </w:r>
      <w:r w:rsidR="00BE0967" w:rsidRPr="00497728">
        <w:t xml:space="preserve">also include </w:t>
      </w:r>
      <w:r w:rsidRPr="00497728">
        <w:t>quantifying emissions from fuel usage, fertili</w:t>
      </w:r>
      <w:r w:rsidR="00221252" w:rsidRPr="00497728">
        <w:t>s</w:t>
      </w:r>
      <w:r w:rsidRPr="00497728">
        <w:t>er application, and machinery operation.</w:t>
      </w:r>
    </w:p>
    <w:p w14:paraId="15C7C3FC" w14:textId="2A2D3F97" w:rsidR="001E1E8C" w:rsidRPr="00497728" w:rsidRDefault="001E1E8C" w:rsidP="006A7683">
      <w:pPr>
        <w:pStyle w:val="ListBullet"/>
      </w:pPr>
      <w:r w:rsidRPr="006A7683">
        <w:rPr>
          <w:rStyle w:val="Strong"/>
        </w:rPr>
        <w:t xml:space="preserve">Lifecycle </w:t>
      </w:r>
      <w:r w:rsidR="00E61638" w:rsidRPr="006A7683">
        <w:rPr>
          <w:rStyle w:val="Strong"/>
        </w:rPr>
        <w:t>c</w:t>
      </w:r>
      <w:r w:rsidRPr="006A7683">
        <w:rPr>
          <w:rStyle w:val="Strong"/>
        </w:rPr>
        <w:t xml:space="preserve">arbon </w:t>
      </w:r>
      <w:r w:rsidR="00E61638" w:rsidRPr="006A7683">
        <w:rPr>
          <w:rStyle w:val="Strong"/>
        </w:rPr>
        <w:t>f</w:t>
      </w:r>
      <w:r w:rsidRPr="006A7683">
        <w:rPr>
          <w:rStyle w:val="Strong"/>
        </w:rPr>
        <w:t>ootprint</w:t>
      </w:r>
      <w:r w:rsidR="00126916">
        <w:t xml:space="preserve"> – </w:t>
      </w:r>
      <w:r w:rsidR="004E5BD4" w:rsidRPr="00497728">
        <w:t>F</w:t>
      </w:r>
      <w:r w:rsidRPr="00497728">
        <w:t>ull lifecycle assessment of the carbon footprint</w:t>
      </w:r>
      <w:r w:rsidR="00CD7F4D" w:rsidRPr="00497728">
        <w:t xml:space="preserve"> of </w:t>
      </w:r>
      <w:r w:rsidR="0088262F" w:rsidRPr="00497728">
        <w:t xml:space="preserve">a </w:t>
      </w:r>
      <w:r w:rsidR="00CD7F4D" w:rsidRPr="00497728">
        <w:t>product</w:t>
      </w:r>
      <w:r w:rsidRPr="00497728">
        <w:t>. This includes emissions from processing, packaging, transportation, and storage until the product reaches the end consumer. This type of evidence must be quantified and often involves calculating Scope 1 (direct emissions), Scope 2 (indirect emissions from energy), and Scope 3 (other indirect emissions from the supply chain).</w:t>
      </w:r>
    </w:p>
    <w:p w14:paraId="0DE45672" w14:textId="7E89C7B2" w:rsidR="001E1E8C" w:rsidRPr="006A7683" w:rsidRDefault="001E1E8C" w:rsidP="006A7683">
      <w:pPr>
        <w:pStyle w:val="ListBullet"/>
        <w:rPr>
          <w:rStyle w:val="Strong"/>
          <w:b w:val="0"/>
          <w:bCs w:val="0"/>
        </w:rPr>
      </w:pPr>
      <w:r w:rsidRPr="006A7683">
        <w:rPr>
          <w:rStyle w:val="Strong"/>
        </w:rPr>
        <w:t xml:space="preserve">Emissions </w:t>
      </w:r>
      <w:r w:rsidR="00E61638" w:rsidRPr="006A7683">
        <w:rPr>
          <w:rStyle w:val="Strong"/>
        </w:rPr>
        <w:t>r</w:t>
      </w:r>
      <w:r w:rsidRPr="006A7683">
        <w:rPr>
          <w:rStyle w:val="Strong"/>
        </w:rPr>
        <w:t xml:space="preserve">eduction </w:t>
      </w:r>
      <w:r w:rsidR="00E61638" w:rsidRPr="006A7683">
        <w:rPr>
          <w:rStyle w:val="Strong"/>
        </w:rPr>
        <w:t>m</w:t>
      </w:r>
      <w:r w:rsidRPr="006A7683">
        <w:rPr>
          <w:rStyle w:val="Strong"/>
        </w:rPr>
        <w:t>easures</w:t>
      </w:r>
      <w:r w:rsidR="00126916" w:rsidRPr="006A7683">
        <w:rPr>
          <w:rStyle w:val="Strong"/>
        </w:rPr>
        <w:t xml:space="preserve"> </w:t>
      </w:r>
      <w:r w:rsidR="00126916" w:rsidRPr="006A7683">
        <w:rPr>
          <w:rStyle w:val="Strong"/>
          <w:b w:val="0"/>
          <w:bCs w:val="0"/>
        </w:rPr>
        <w:t xml:space="preserve">– </w:t>
      </w:r>
      <w:r w:rsidR="006E3DEF" w:rsidRPr="006A7683">
        <w:rPr>
          <w:rStyle w:val="Strong"/>
          <w:b w:val="0"/>
          <w:bCs w:val="0"/>
        </w:rPr>
        <w:t>E</w:t>
      </w:r>
      <w:r w:rsidRPr="006A7683">
        <w:rPr>
          <w:rStyle w:val="Strong"/>
          <w:b w:val="0"/>
          <w:bCs w:val="0"/>
        </w:rPr>
        <w:t xml:space="preserve">vidence of practices that actively reduce or offset emissions. This can include </w:t>
      </w:r>
      <w:r w:rsidR="00BC16CD" w:rsidRPr="006A7683">
        <w:rPr>
          <w:rStyle w:val="Strong"/>
          <w:b w:val="0"/>
          <w:bCs w:val="0"/>
        </w:rPr>
        <w:t>maintaining records</w:t>
      </w:r>
      <w:r w:rsidRPr="006A7683">
        <w:rPr>
          <w:rStyle w:val="Strong"/>
          <w:b w:val="0"/>
          <w:bCs w:val="0"/>
        </w:rPr>
        <w:t xml:space="preserve"> on renewable energy use</w:t>
      </w:r>
      <w:r w:rsidR="004F7966" w:rsidRPr="006A7683">
        <w:rPr>
          <w:rStyle w:val="Strong"/>
          <w:b w:val="0"/>
          <w:bCs w:val="0"/>
        </w:rPr>
        <w:t>, reduction</w:t>
      </w:r>
      <w:r w:rsidR="0088262F" w:rsidRPr="006A7683">
        <w:rPr>
          <w:rStyle w:val="Strong"/>
          <w:b w:val="0"/>
          <w:bCs w:val="0"/>
        </w:rPr>
        <w:t>s</w:t>
      </w:r>
      <w:r w:rsidR="004F7966" w:rsidRPr="006A7683">
        <w:rPr>
          <w:rStyle w:val="Strong"/>
          <w:b w:val="0"/>
          <w:bCs w:val="0"/>
        </w:rPr>
        <w:t xml:space="preserve"> </w:t>
      </w:r>
      <w:r w:rsidR="0088262F" w:rsidRPr="006A7683">
        <w:rPr>
          <w:rStyle w:val="Strong"/>
          <w:b w:val="0"/>
          <w:bCs w:val="0"/>
        </w:rPr>
        <w:t xml:space="preserve">in </w:t>
      </w:r>
      <w:r w:rsidR="004F7966" w:rsidRPr="006A7683">
        <w:rPr>
          <w:rStyle w:val="Strong"/>
          <w:b w:val="0"/>
          <w:bCs w:val="0"/>
        </w:rPr>
        <w:t>the use of fossil fuels</w:t>
      </w:r>
      <w:r w:rsidRPr="006A7683">
        <w:rPr>
          <w:rStyle w:val="Strong"/>
          <w:b w:val="0"/>
          <w:bCs w:val="0"/>
        </w:rPr>
        <w:t xml:space="preserve">, improved agricultural practices such as reduced tillage, precision farming, </w:t>
      </w:r>
      <w:r w:rsidR="0088262F" w:rsidRPr="006A7683">
        <w:rPr>
          <w:rStyle w:val="Strong"/>
          <w:b w:val="0"/>
          <w:bCs w:val="0"/>
        </w:rPr>
        <w:t xml:space="preserve">and </w:t>
      </w:r>
      <w:r w:rsidRPr="006A7683">
        <w:rPr>
          <w:rStyle w:val="Strong"/>
          <w:b w:val="0"/>
          <w:bCs w:val="0"/>
        </w:rPr>
        <w:t>reforestation projects that sequester carbon.</w:t>
      </w:r>
    </w:p>
    <w:p w14:paraId="2D06B163" w14:textId="1C95C6C2" w:rsidR="001E1E8C" w:rsidRPr="00497728" w:rsidRDefault="001E1E8C" w:rsidP="003B53FC">
      <w:pPr>
        <w:pStyle w:val="Heading5"/>
      </w:pPr>
      <w:r w:rsidRPr="00497728">
        <w:t xml:space="preserve">Water </w:t>
      </w:r>
      <w:r w:rsidR="005774A3" w:rsidRPr="00497728">
        <w:t>impacts</w:t>
      </w:r>
    </w:p>
    <w:p w14:paraId="74CFE69F" w14:textId="22CB8E6C" w:rsidR="001E1E8C" w:rsidRPr="00497728" w:rsidRDefault="001E1E8C" w:rsidP="003B53FC">
      <w:r w:rsidRPr="00497728">
        <w:t xml:space="preserve">Evidence demonstrating efficient </w:t>
      </w:r>
      <w:r w:rsidR="00710421" w:rsidRPr="00497728">
        <w:t xml:space="preserve">use of </w:t>
      </w:r>
      <w:r w:rsidRPr="00497728">
        <w:t xml:space="preserve">water and sustainable water management practices is often required to gain market access. </w:t>
      </w:r>
      <w:r w:rsidR="0088262F" w:rsidRPr="00497728">
        <w:t>E</w:t>
      </w:r>
      <w:r w:rsidRPr="00497728">
        <w:t>vidence typically includes:</w:t>
      </w:r>
    </w:p>
    <w:p w14:paraId="3D0DB121" w14:textId="790F6B64" w:rsidR="001E1E8C" w:rsidRPr="00497728" w:rsidRDefault="001E1E8C" w:rsidP="006A7683">
      <w:pPr>
        <w:pStyle w:val="ListBullet"/>
      </w:pPr>
      <w:r w:rsidRPr="00126916">
        <w:t xml:space="preserve">Water </w:t>
      </w:r>
      <w:r w:rsidR="001D7691" w:rsidRPr="00126916">
        <w:t>u</w:t>
      </w:r>
      <w:r w:rsidRPr="00126916">
        <w:t xml:space="preserve">se </w:t>
      </w:r>
      <w:r w:rsidR="001D7691" w:rsidRPr="00126916">
        <w:t>d</w:t>
      </w:r>
      <w:r w:rsidRPr="00126916">
        <w:t>ata</w:t>
      </w:r>
      <w:r w:rsidR="00126916" w:rsidRPr="00126916">
        <w:t xml:space="preserve"> – </w:t>
      </w:r>
      <w:r w:rsidRPr="00497728">
        <w:t>Quantifying the total water used in agricultural production, from irrigation to processing, showing that usage is within sustainable limits</w:t>
      </w:r>
      <w:r w:rsidR="0088262F" w:rsidRPr="00497728">
        <w:t>,</w:t>
      </w:r>
      <w:r w:rsidR="00013A46" w:rsidRPr="00497728">
        <w:t xml:space="preserve"> and</w:t>
      </w:r>
      <w:r w:rsidRPr="00497728">
        <w:t xml:space="preserve"> that water is being used efficiently and responsibly.</w:t>
      </w:r>
    </w:p>
    <w:p w14:paraId="1A6E16CC" w14:textId="6A1BBE34" w:rsidR="0088262F" w:rsidRPr="00497728" w:rsidRDefault="001E1E8C" w:rsidP="006A7683">
      <w:pPr>
        <w:pStyle w:val="ListBullet"/>
      </w:pPr>
      <w:r w:rsidRPr="00126916">
        <w:t>Water-</w:t>
      </w:r>
      <w:r w:rsidR="001D7691" w:rsidRPr="00126916">
        <w:t>s</w:t>
      </w:r>
      <w:r w:rsidRPr="00126916">
        <w:t xml:space="preserve">aving </w:t>
      </w:r>
      <w:r w:rsidR="001D7691" w:rsidRPr="00126916">
        <w:t>t</w:t>
      </w:r>
      <w:r w:rsidRPr="00126916">
        <w:t>echnologies</w:t>
      </w:r>
      <w:r w:rsidR="00126916" w:rsidRPr="00126916">
        <w:t xml:space="preserve"> – </w:t>
      </w:r>
      <w:r w:rsidR="00D448B4" w:rsidRPr="00497728">
        <w:t>E</w:t>
      </w:r>
      <w:r w:rsidRPr="00497728">
        <w:t xml:space="preserve">vidence </w:t>
      </w:r>
      <w:r w:rsidR="00A82DD6" w:rsidRPr="00497728">
        <w:t>of the</w:t>
      </w:r>
      <w:r w:rsidRPr="00497728">
        <w:t xml:space="preserve"> </w:t>
      </w:r>
      <w:r w:rsidR="00A82DD6" w:rsidRPr="00497728">
        <w:t xml:space="preserve">implementation of </w:t>
      </w:r>
      <w:r w:rsidRPr="00497728">
        <w:t xml:space="preserve">water-saving technologies, such as drip irrigation, rainwater harvesting, or wastewater recycling. </w:t>
      </w:r>
      <w:r w:rsidR="00711B0E" w:rsidRPr="00497728">
        <w:t xml:space="preserve">Records </w:t>
      </w:r>
      <w:r w:rsidRPr="00497728">
        <w:t xml:space="preserve">showing reductions in water consumption as a </w:t>
      </w:r>
      <w:r w:rsidR="00A84C3A" w:rsidRPr="00497728">
        <w:t xml:space="preserve">direct </w:t>
      </w:r>
      <w:r w:rsidRPr="00497728">
        <w:t xml:space="preserve">result of </w:t>
      </w:r>
      <w:r w:rsidR="00A84C3A" w:rsidRPr="00497728">
        <w:t xml:space="preserve">the use of </w:t>
      </w:r>
      <w:r w:rsidRPr="00497728">
        <w:t>these technologies.</w:t>
      </w:r>
    </w:p>
    <w:p w14:paraId="4DD39962" w14:textId="3F53DE1F" w:rsidR="001E1E8C" w:rsidRPr="00497728" w:rsidRDefault="001E1E8C" w:rsidP="006A7683">
      <w:pPr>
        <w:pStyle w:val="ListBullet"/>
      </w:pPr>
      <w:r w:rsidRPr="00126916">
        <w:t xml:space="preserve">Water </w:t>
      </w:r>
      <w:r w:rsidR="005774A3" w:rsidRPr="00126916">
        <w:t>quality</w:t>
      </w:r>
      <w:r w:rsidR="00126916" w:rsidRPr="00126916">
        <w:t xml:space="preserve"> – </w:t>
      </w:r>
      <w:r w:rsidRPr="00497728">
        <w:t>Some markets may request impact assessments to demonstrate that agricultural activities do not harm local water ecosystems. This can involve measuring the quality of water discharge and showing that water pollution from runoff or chemicals is being effectively managed.</w:t>
      </w:r>
    </w:p>
    <w:p w14:paraId="02845E22" w14:textId="31C2BA7F" w:rsidR="001E1E8C" w:rsidRPr="00497728" w:rsidRDefault="001E1E8C" w:rsidP="003B53FC">
      <w:pPr>
        <w:pStyle w:val="Heading5"/>
      </w:pPr>
      <w:r w:rsidRPr="00497728">
        <w:lastRenderedPageBreak/>
        <w:t xml:space="preserve">Biodiversity and </w:t>
      </w:r>
      <w:r w:rsidR="008161DC" w:rsidRPr="00497728">
        <w:t>e</w:t>
      </w:r>
      <w:r w:rsidRPr="00497728">
        <w:t xml:space="preserve">cosystem </w:t>
      </w:r>
      <w:r w:rsidR="008161DC" w:rsidRPr="00497728">
        <w:t>h</w:t>
      </w:r>
      <w:r w:rsidRPr="00497728">
        <w:t>ealth</w:t>
      </w:r>
    </w:p>
    <w:p w14:paraId="6C94671B" w14:textId="71E01F05" w:rsidR="001E1E8C" w:rsidRPr="00497728" w:rsidRDefault="001E1E8C" w:rsidP="003B53FC">
      <w:r w:rsidRPr="00497728">
        <w:t>International markets are increasingly demanding evidence that agricultural production does not harm local ecosystems</w:t>
      </w:r>
      <w:r w:rsidR="00D62357" w:rsidRPr="00497728">
        <w:t>,</w:t>
      </w:r>
      <w:r w:rsidRPr="00497728">
        <w:t xml:space="preserve"> contribute to deforestation</w:t>
      </w:r>
      <w:r w:rsidR="00D62357" w:rsidRPr="00497728">
        <w:t>,</w:t>
      </w:r>
      <w:r w:rsidRPr="00497728">
        <w:t xml:space="preserve"> or </w:t>
      </w:r>
      <w:r w:rsidR="00D62357" w:rsidRPr="00497728">
        <w:t xml:space="preserve">result in </w:t>
      </w:r>
      <w:r w:rsidRPr="00497728">
        <w:t xml:space="preserve">habitat destruction. </w:t>
      </w:r>
      <w:r w:rsidR="00E30CF7" w:rsidRPr="00497728">
        <w:t>E</w:t>
      </w:r>
      <w:r w:rsidRPr="00497728">
        <w:t>vidence required includes:</w:t>
      </w:r>
    </w:p>
    <w:p w14:paraId="20B649ED" w14:textId="21CCAE46" w:rsidR="001E1E8C" w:rsidRPr="00497728" w:rsidRDefault="001E1E8C" w:rsidP="006A7683">
      <w:pPr>
        <w:pStyle w:val="ListBullet"/>
      </w:pPr>
      <w:r w:rsidRPr="006A7683">
        <w:rPr>
          <w:rStyle w:val="Strong"/>
        </w:rPr>
        <w:t xml:space="preserve">Land </w:t>
      </w:r>
      <w:r w:rsidR="00F26FDB" w:rsidRPr="006A7683">
        <w:rPr>
          <w:rStyle w:val="Strong"/>
        </w:rPr>
        <w:t>u</w:t>
      </w:r>
      <w:r w:rsidRPr="006A7683">
        <w:rPr>
          <w:rStyle w:val="Strong"/>
        </w:rPr>
        <w:t xml:space="preserve">se </w:t>
      </w:r>
      <w:r w:rsidR="001D23BD" w:rsidRPr="006A7683">
        <w:rPr>
          <w:rStyle w:val="Strong"/>
        </w:rPr>
        <w:t>information</w:t>
      </w:r>
      <w:r w:rsidR="00AD6EA4" w:rsidRPr="00AD6EA4">
        <w:t xml:space="preserve"> – </w:t>
      </w:r>
      <w:r w:rsidRPr="00497728">
        <w:t xml:space="preserve">Providing information on how land is used for agricultural production, including evidence that natural ecosystems such as forests or wetlands are being protected. This may also include </w:t>
      </w:r>
      <w:r w:rsidR="00822CC8" w:rsidRPr="00497728">
        <w:t xml:space="preserve">records </w:t>
      </w:r>
      <w:r w:rsidRPr="00497728">
        <w:t>showing that farming practices are not contributing to soil degradation or erosion.</w:t>
      </w:r>
    </w:p>
    <w:p w14:paraId="60FCE0BB" w14:textId="47F951E8" w:rsidR="001E1E8C" w:rsidRPr="00497728" w:rsidRDefault="001E1E8C" w:rsidP="006A7683">
      <w:pPr>
        <w:pStyle w:val="ListBullet"/>
      </w:pPr>
      <w:r w:rsidRPr="006A7683">
        <w:rPr>
          <w:rStyle w:val="Strong"/>
        </w:rPr>
        <w:t xml:space="preserve">Wildlife and </w:t>
      </w:r>
      <w:r w:rsidR="00F26FDB" w:rsidRPr="006A7683">
        <w:rPr>
          <w:rStyle w:val="Strong"/>
        </w:rPr>
        <w:t>h</w:t>
      </w:r>
      <w:r w:rsidRPr="006A7683">
        <w:rPr>
          <w:rStyle w:val="Strong"/>
        </w:rPr>
        <w:t xml:space="preserve">abitat </w:t>
      </w:r>
      <w:r w:rsidR="00F26FDB" w:rsidRPr="006A7683">
        <w:rPr>
          <w:rStyle w:val="Strong"/>
        </w:rPr>
        <w:t>c</w:t>
      </w:r>
      <w:r w:rsidRPr="006A7683">
        <w:rPr>
          <w:rStyle w:val="Strong"/>
        </w:rPr>
        <w:t>onservation</w:t>
      </w:r>
      <w:r w:rsidR="00AD6EA4" w:rsidRPr="00AD6EA4">
        <w:t xml:space="preserve"> – </w:t>
      </w:r>
      <w:r w:rsidRPr="00497728">
        <w:t xml:space="preserve">Evidence that agricultural practices are supporting local wildlife and biodiversity, rather than harming </w:t>
      </w:r>
      <w:r w:rsidR="00FA2C83" w:rsidRPr="00497728">
        <w:t>them</w:t>
      </w:r>
      <w:r w:rsidRPr="00497728">
        <w:t xml:space="preserve">. This can include </w:t>
      </w:r>
      <w:r w:rsidR="00822CC8" w:rsidRPr="00497728">
        <w:t xml:space="preserve">records </w:t>
      </w:r>
      <w:r w:rsidRPr="00497728">
        <w:t>on efforts to maintain wildlife corridors, protect endangered species, or implement practices that enhance biodiversity, such as regenerative agriculture.</w:t>
      </w:r>
    </w:p>
    <w:p w14:paraId="06A6CB74" w14:textId="5C998288" w:rsidR="001E1E8C" w:rsidRPr="00497728" w:rsidRDefault="001E1E8C" w:rsidP="006A7683">
      <w:pPr>
        <w:pStyle w:val="ListBullet"/>
      </w:pPr>
      <w:r w:rsidRPr="006A7683">
        <w:rPr>
          <w:rStyle w:val="Strong"/>
        </w:rPr>
        <w:t xml:space="preserve">No </w:t>
      </w:r>
      <w:r w:rsidR="009005CA" w:rsidRPr="006A7683">
        <w:rPr>
          <w:rStyle w:val="Strong"/>
        </w:rPr>
        <w:t>d</w:t>
      </w:r>
      <w:r w:rsidRPr="006A7683">
        <w:rPr>
          <w:rStyle w:val="Strong"/>
        </w:rPr>
        <w:t>eforestation</w:t>
      </w:r>
      <w:r w:rsidR="00AD6EA4" w:rsidRPr="00AD6EA4">
        <w:t xml:space="preserve"> – </w:t>
      </w:r>
      <w:r w:rsidRPr="00497728">
        <w:t xml:space="preserve">For </w:t>
      </w:r>
      <w:r w:rsidR="009005CA" w:rsidRPr="00497728">
        <w:t xml:space="preserve">the EU, and likely to apply to those markets seeking to align </w:t>
      </w:r>
      <w:r w:rsidR="00D62357" w:rsidRPr="00497728">
        <w:t xml:space="preserve">with </w:t>
      </w:r>
      <w:r w:rsidR="009005CA" w:rsidRPr="00497728">
        <w:t>the EU</w:t>
      </w:r>
      <w:r w:rsidRPr="00497728">
        <w:t>, evidence that agricultural products are not sourced from deforested areas is</w:t>
      </w:r>
      <w:r w:rsidR="00FA2C83" w:rsidRPr="00497728">
        <w:t xml:space="preserve"> becoming</w:t>
      </w:r>
      <w:r w:rsidRPr="00497728">
        <w:t xml:space="preserve"> critical. This may involve providing </w:t>
      </w:r>
      <w:r w:rsidR="005362D3" w:rsidRPr="00497728">
        <w:t>the specific, identifiable location of production so that independent assurance can occur</w:t>
      </w:r>
      <w:r w:rsidR="00EE6885" w:rsidRPr="00497728">
        <w:t xml:space="preserve"> through the assessment of</w:t>
      </w:r>
      <w:r w:rsidR="005362D3" w:rsidRPr="00497728">
        <w:t xml:space="preserve"> </w:t>
      </w:r>
      <w:r w:rsidRPr="00497728">
        <w:t xml:space="preserve">maps, satellite </w:t>
      </w:r>
      <w:r w:rsidR="00822CC8" w:rsidRPr="00497728">
        <w:t>imagery</w:t>
      </w:r>
      <w:r w:rsidRPr="00497728">
        <w:t>, or land use records.</w:t>
      </w:r>
    </w:p>
    <w:p w14:paraId="418E0ADC" w14:textId="77777777" w:rsidR="00045FD5" w:rsidRPr="00497728" w:rsidRDefault="00045FD5" w:rsidP="00045FD5">
      <w:pPr>
        <w:pStyle w:val="Heading5"/>
      </w:pPr>
      <w:r w:rsidRPr="00497728">
        <w:t>Social responsibility and labour conditions</w:t>
      </w:r>
    </w:p>
    <w:p w14:paraId="7D3EF0E4" w14:textId="77777777" w:rsidR="0088600D" w:rsidRDefault="00C65FC5" w:rsidP="00045FD5">
      <w:r w:rsidRPr="00497728">
        <w:t>The key</w:t>
      </w:r>
      <w:r w:rsidR="00B202D3" w:rsidRPr="00497728">
        <w:t xml:space="preserve"> social</w:t>
      </w:r>
      <w:r w:rsidRPr="00497728">
        <w:t xml:space="preserve"> </w:t>
      </w:r>
      <w:r w:rsidR="00B202D3" w:rsidRPr="00497728">
        <w:t xml:space="preserve">requirement related to modern slavery. </w:t>
      </w:r>
      <w:r w:rsidR="00045FD5" w:rsidRPr="00497728">
        <w:t>Evidence that shows agricultural operations adhere to ethical labour practices is crucial for gaining access to many markets, particularly in the EU (and in consideration of aligned markets) and the US.</w:t>
      </w:r>
    </w:p>
    <w:p w14:paraId="6B5DCAE6" w14:textId="03E181D8" w:rsidR="00045FD5" w:rsidRPr="00497728" w:rsidRDefault="00045FD5" w:rsidP="006F1413">
      <w:r w:rsidRPr="00497728">
        <w:t>This includes</w:t>
      </w:r>
      <w:r w:rsidR="006F1413" w:rsidRPr="00497728">
        <w:t xml:space="preserve"> p</w:t>
      </w:r>
      <w:r w:rsidRPr="00497728">
        <w:t>roviding evidence that workers are paid fair wages, work in safe conditions, and are treated ethically. This can involve supplying records on labour practices, worker safety records, and compliance with international labour standards.</w:t>
      </w:r>
    </w:p>
    <w:p w14:paraId="289E5FC4" w14:textId="77777777" w:rsidR="00045FD5" w:rsidRPr="00497728" w:rsidRDefault="00045FD5" w:rsidP="00045FD5">
      <w:pPr>
        <w:pStyle w:val="Heading5"/>
      </w:pPr>
      <w:r w:rsidRPr="00497728">
        <w:t>Supply chain transparency</w:t>
      </w:r>
    </w:p>
    <w:p w14:paraId="5ECCB54C" w14:textId="77777777" w:rsidR="00045FD5" w:rsidRPr="00497728" w:rsidRDefault="00045FD5" w:rsidP="00045FD5">
      <w:r w:rsidRPr="00497728">
        <w:t>Increasingly companies, particularly the US, are requiring greater transparency across supply chains. This includes clear information about the origins of products, farming methods, and the social and environmental impacts of production. Traceability technologies and data on sourcing practices are increasingly important.</w:t>
      </w:r>
    </w:p>
    <w:p w14:paraId="3D15EDCE" w14:textId="49458CE4" w:rsidR="001E1E8C" w:rsidRPr="00497728" w:rsidRDefault="001E1E8C" w:rsidP="003B53FC">
      <w:pPr>
        <w:pStyle w:val="Heading5"/>
      </w:pPr>
      <w:r w:rsidRPr="00497728">
        <w:t xml:space="preserve">Soil </w:t>
      </w:r>
      <w:r w:rsidR="00D46099" w:rsidRPr="00497728">
        <w:t>h</w:t>
      </w:r>
      <w:r w:rsidRPr="00497728">
        <w:t xml:space="preserve">ealth and </w:t>
      </w:r>
      <w:r w:rsidR="00D46099" w:rsidRPr="00497728">
        <w:t>l</w:t>
      </w:r>
      <w:r w:rsidRPr="00497728">
        <w:t xml:space="preserve">and </w:t>
      </w:r>
      <w:r w:rsidR="00D46099" w:rsidRPr="00497728">
        <w:t>m</w:t>
      </w:r>
      <w:r w:rsidRPr="00497728">
        <w:t>anagement</w:t>
      </w:r>
    </w:p>
    <w:p w14:paraId="6FFBD1DB" w14:textId="1FE69060" w:rsidR="001E1E8C" w:rsidRPr="00497728" w:rsidRDefault="00525426" w:rsidP="003B53FC">
      <w:r w:rsidRPr="00497728">
        <w:t>M</w:t>
      </w:r>
      <w:r w:rsidR="001E1E8C" w:rsidRPr="00497728">
        <w:t>any international markets require evidence that agricultural practices maintain or improve soil health. This includes:</w:t>
      </w:r>
    </w:p>
    <w:p w14:paraId="088C220C" w14:textId="60E60DF2" w:rsidR="001E1E8C" w:rsidRPr="00497728" w:rsidRDefault="00613DA7" w:rsidP="006A7683">
      <w:pPr>
        <w:pStyle w:val="ListBullet"/>
      </w:pPr>
      <w:r w:rsidRPr="006A7683">
        <w:rPr>
          <w:rStyle w:val="Strong"/>
        </w:rPr>
        <w:t>Soil organic matter and carbon sequestration</w:t>
      </w:r>
      <w:r w:rsidR="00AD6EA4" w:rsidRPr="00AD6EA4">
        <w:t xml:space="preserve"> – </w:t>
      </w:r>
      <w:r w:rsidR="001E1E8C" w:rsidRPr="00497728">
        <w:t>Evidence of efforts to increase soil organic matter and carbon content is increasingly important for markets focused on climate change mitigation. This can involve soil testing results showing improvements in soil fertility and carbon storage over time.</w:t>
      </w:r>
    </w:p>
    <w:p w14:paraId="202C4FC0" w14:textId="35864A63" w:rsidR="001E1E8C" w:rsidRPr="00497728" w:rsidRDefault="00CC6AA0" w:rsidP="006A7683">
      <w:pPr>
        <w:pStyle w:val="ListBullet"/>
      </w:pPr>
      <w:r w:rsidRPr="006A7683">
        <w:rPr>
          <w:rStyle w:val="Strong"/>
        </w:rPr>
        <w:t>Erosion control and sustainable farming practices</w:t>
      </w:r>
      <w:r w:rsidR="00AD6EA4" w:rsidRPr="00AD6EA4">
        <w:t xml:space="preserve"> – </w:t>
      </w:r>
      <w:r w:rsidR="001E1E8C" w:rsidRPr="00497728">
        <w:t xml:space="preserve">Demonstrating that soil is being managed sustainably to prevent erosion and degradation. Evidence can include </w:t>
      </w:r>
      <w:r w:rsidR="001F0808" w:rsidRPr="00497728">
        <w:t xml:space="preserve">records </w:t>
      </w:r>
      <w:r w:rsidR="001E1E8C" w:rsidRPr="00497728">
        <w:t>on cover cropping, reduced tillage, or other conservation practices that maintain soil structure and prevent erosion.</w:t>
      </w:r>
    </w:p>
    <w:p w14:paraId="0FC5C15F" w14:textId="264CFE5A" w:rsidR="001E1E8C" w:rsidRPr="00497728" w:rsidRDefault="00D56753" w:rsidP="006A7683">
      <w:pPr>
        <w:pStyle w:val="ListBullet"/>
      </w:pPr>
      <w:r w:rsidRPr="006A7683">
        <w:rPr>
          <w:rStyle w:val="Strong"/>
        </w:rPr>
        <w:lastRenderedPageBreak/>
        <w:t>Nutrient management</w:t>
      </w:r>
      <w:r w:rsidR="00AD6EA4" w:rsidRPr="00AD6EA4">
        <w:t xml:space="preserve"> – </w:t>
      </w:r>
      <w:r w:rsidR="001E1E8C" w:rsidRPr="00497728">
        <w:t>Many markets require evidence that fertili</w:t>
      </w:r>
      <w:r w:rsidRPr="00497728">
        <w:t>s</w:t>
      </w:r>
      <w:r w:rsidR="001E1E8C" w:rsidRPr="00497728">
        <w:t xml:space="preserve">ers are being used efficiently and sustainably, with minimal environmental impact. This can involve providing </w:t>
      </w:r>
      <w:r w:rsidR="001F0808" w:rsidRPr="00497728">
        <w:t xml:space="preserve">records </w:t>
      </w:r>
      <w:r w:rsidR="001E1E8C" w:rsidRPr="00497728">
        <w:t>on nutrient application rates, runoff prevention, and soil nutrient monitoring.</w:t>
      </w:r>
    </w:p>
    <w:p w14:paraId="6388E00B" w14:textId="11F8AEF6" w:rsidR="0060481D" w:rsidRPr="00497728" w:rsidRDefault="0060481D" w:rsidP="006A7683">
      <w:pPr>
        <w:pStyle w:val="ListBullet"/>
      </w:pPr>
      <w:r w:rsidRPr="006A7683">
        <w:rPr>
          <w:rStyle w:val="Strong"/>
        </w:rPr>
        <w:t>Regenerative practices</w:t>
      </w:r>
      <w:r w:rsidR="00AD6EA4" w:rsidRPr="00AD6EA4">
        <w:t xml:space="preserve"> – </w:t>
      </w:r>
      <w:r w:rsidRPr="00497728">
        <w:t xml:space="preserve">There is rising demand for products that adhere to </w:t>
      </w:r>
      <w:r w:rsidR="00AD6EA4">
        <w:t>‘</w:t>
      </w:r>
      <w:r w:rsidRPr="00497728">
        <w:t>regenerative</w:t>
      </w:r>
      <w:r w:rsidR="00AD6EA4">
        <w:t>’</w:t>
      </w:r>
      <w:r w:rsidRPr="00497728">
        <w:t xml:space="preserve"> agricultural principles</w:t>
      </w:r>
      <w:r w:rsidR="00D555B3" w:rsidRPr="00497728">
        <w:t>, noting that this term lacks a clear definition</w:t>
      </w:r>
      <w:r w:rsidRPr="00497728">
        <w:t>.</w:t>
      </w:r>
    </w:p>
    <w:p w14:paraId="2738A6BE" w14:textId="08418A3B" w:rsidR="001E1E8C" w:rsidRPr="00497728" w:rsidRDefault="00D56753" w:rsidP="003B53FC">
      <w:pPr>
        <w:pStyle w:val="Heading5"/>
      </w:pPr>
      <w:r w:rsidRPr="00497728">
        <w:t>Resource efficiency and circular economy practices</w:t>
      </w:r>
    </w:p>
    <w:p w14:paraId="43619E17" w14:textId="5C3FC629" w:rsidR="001E1E8C" w:rsidRPr="00497728" w:rsidRDefault="001E1E8C" w:rsidP="003B53FC">
      <w:r w:rsidRPr="00497728">
        <w:t>International markets are increasingly interested in evidence that producers are using resources efficiently and adopting circular economy principles. This involves minimi</w:t>
      </w:r>
      <w:r w:rsidR="00D56753" w:rsidRPr="00497728">
        <w:t>s</w:t>
      </w:r>
      <w:r w:rsidRPr="00497728">
        <w:t>ing waste, reusing materials, and ensuring that by-products are repurposed. Key evidence includes:</w:t>
      </w:r>
    </w:p>
    <w:p w14:paraId="36F4B571" w14:textId="034CFE1B" w:rsidR="001E1E8C" w:rsidRPr="00497728" w:rsidRDefault="00D56753" w:rsidP="006A7683">
      <w:pPr>
        <w:pStyle w:val="ListBullet"/>
      </w:pPr>
      <w:r w:rsidRPr="006A7683">
        <w:rPr>
          <w:rStyle w:val="Strong"/>
        </w:rPr>
        <w:t>Waste reduction data</w:t>
      </w:r>
      <w:r w:rsidR="00AD6EA4" w:rsidRPr="00AD6EA4">
        <w:t xml:space="preserve"> – </w:t>
      </w:r>
      <w:r w:rsidR="001E1E8C" w:rsidRPr="00497728">
        <w:t>Providing information on how much waste is generated during production and processing, and what percentage of that waste is recycled, composted, or reused. Evidence of reduced food waste, especially in the supply chain, is particularly important for markets focusing on sustainable consumption.</w:t>
      </w:r>
    </w:p>
    <w:p w14:paraId="37A26D79" w14:textId="7EF7625A" w:rsidR="001E1E8C" w:rsidRPr="00497728" w:rsidRDefault="00D56753" w:rsidP="006A7683">
      <w:pPr>
        <w:pStyle w:val="ListBullet"/>
      </w:pPr>
      <w:r w:rsidRPr="006A7683">
        <w:rPr>
          <w:rStyle w:val="Strong"/>
        </w:rPr>
        <w:t>Resource input efficiency</w:t>
      </w:r>
      <w:r w:rsidR="00AD6EA4" w:rsidRPr="00AD6EA4">
        <w:t xml:space="preserve"> – </w:t>
      </w:r>
      <w:r w:rsidR="001E1E8C" w:rsidRPr="00497728">
        <w:t xml:space="preserve">Markets require </w:t>
      </w:r>
      <w:r w:rsidR="00DC4ED9" w:rsidRPr="00497728">
        <w:t xml:space="preserve">records </w:t>
      </w:r>
      <w:r w:rsidR="001E1E8C" w:rsidRPr="00497728">
        <w:t>showing that inputs like energy, water, and raw materials are being used efficiently. This can include energy audits, evidence of renewable energy use, or data on input-output ratios in production processes.</w:t>
      </w:r>
    </w:p>
    <w:p w14:paraId="7BD29460" w14:textId="1DE4C360" w:rsidR="001E1E8C" w:rsidRPr="00497728" w:rsidRDefault="00D56753" w:rsidP="006A7683">
      <w:pPr>
        <w:pStyle w:val="ListBullet"/>
      </w:pPr>
      <w:r w:rsidRPr="006A7683">
        <w:rPr>
          <w:rStyle w:val="Strong"/>
        </w:rPr>
        <w:t>Recycling and by-product utilisation</w:t>
      </w:r>
      <w:r w:rsidR="00AD6EA4" w:rsidRPr="00AD6EA4">
        <w:t xml:space="preserve"> – </w:t>
      </w:r>
      <w:r w:rsidR="00D62357" w:rsidRPr="00497728">
        <w:t xml:space="preserve">Evidence </w:t>
      </w:r>
      <w:r w:rsidR="001E1E8C" w:rsidRPr="00497728">
        <w:t>that by-products from agricultural production (e.g. crop residues, animal manure) are being repurposed, either for energy generation, soil improvement, or other productive uses, is increasingly required.</w:t>
      </w:r>
    </w:p>
    <w:p w14:paraId="7D8B38C0" w14:textId="3B827526" w:rsidR="003B1606" w:rsidRPr="00497728" w:rsidRDefault="003B1606" w:rsidP="00BF7351">
      <w:pPr>
        <w:pStyle w:val="Heading5"/>
      </w:pPr>
      <w:r w:rsidRPr="00497728">
        <w:t>Policies and practices</w:t>
      </w:r>
    </w:p>
    <w:p w14:paraId="3487C965" w14:textId="5FEC1FF3" w:rsidR="00D352FE" w:rsidRPr="00497728" w:rsidRDefault="00921469" w:rsidP="003B53FC">
      <w:r w:rsidRPr="00497728">
        <w:t>In some cases, the expectation for evidence relates to the existence of policies</w:t>
      </w:r>
      <w:r w:rsidR="00E870AF" w:rsidRPr="00497728">
        <w:t xml:space="preserve"> relating to labour practices, environmental </w:t>
      </w:r>
      <w:r w:rsidR="001E0DBA" w:rsidRPr="00497728">
        <w:t>protection,</w:t>
      </w:r>
      <w:r w:rsidR="00855637" w:rsidRPr="00497728">
        <w:t xml:space="preserve"> as well as the </w:t>
      </w:r>
      <w:r w:rsidR="001753BA" w:rsidRPr="00497728">
        <w:t xml:space="preserve">conversion of these policies into </w:t>
      </w:r>
      <w:r w:rsidR="00F4066C" w:rsidRPr="00497728">
        <w:t>day-to-day</w:t>
      </w:r>
      <w:r w:rsidR="001753BA" w:rsidRPr="00497728">
        <w:t xml:space="preserve"> management practices. This is a </w:t>
      </w:r>
      <w:r w:rsidR="000D1461" w:rsidRPr="00497728">
        <w:t>risk-based</w:t>
      </w:r>
      <w:r w:rsidR="001753BA" w:rsidRPr="00497728">
        <w:t xml:space="preserve"> approach to evidence which considers if an organisation </w:t>
      </w:r>
      <w:r w:rsidR="00094F52" w:rsidRPr="00497728">
        <w:t>has appropriate management practices and the controls in place to ensure these practices occur.</w:t>
      </w:r>
    </w:p>
    <w:p w14:paraId="59B794EA" w14:textId="2E7D187D" w:rsidR="0066166D" w:rsidRDefault="00BE4DA2" w:rsidP="00B12E4A">
      <w:pPr>
        <w:pStyle w:val="BoxText"/>
      </w:pPr>
      <w:r w:rsidRPr="00497728">
        <w:rPr>
          <w:b/>
          <w:bCs/>
        </w:rPr>
        <w:t>Consultation question</w:t>
      </w:r>
      <w:r w:rsidR="002B7B0E" w:rsidRPr="00497728">
        <w:rPr>
          <w:b/>
          <w:bCs/>
        </w:rPr>
        <w:t xml:space="preserve"> </w:t>
      </w:r>
      <w:r w:rsidR="00770DBE" w:rsidRPr="00497728">
        <w:rPr>
          <w:b/>
          <w:bCs/>
        </w:rPr>
        <w:t>2</w:t>
      </w:r>
      <w:r w:rsidRPr="00497728">
        <w:rPr>
          <w:b/>
          <w:bCs/>
        </w:rPr>
        <w:t>:</w:t>
      </w:r>
      <w:r w:rsidRPr="00497728">
        <w:t xml:space="preserve"> </w:t>
      </w:r>
      <w:r w:rsidR="00387098" w:rsidRPr="00497728">
        <w:t xml:space="preserve">Are </w:t>
      </w:r>
      <w:r w:rsidR="001F52BE" w:rsidRPr="00497728">
        <w:t xml:space="preserve">you aware </w:t>
      </w:r>
      <w:r w:rsidR="00CE07AE" w:rsidRPr="00497728">
        <w:t>of</w:t>
      </w:r>
      <w:r w:rsidR="001F52BE" w:rsidRPr="00497728">
        <w:t xml:space="preserve"> other </w:t>
      </w:r>
      <w:r w:rsidR="00C63450" w:rsidRPr="00497728">
        <w:t xml:space="preserve">expectations for evidence </w:t>
      </w:r>
      <w:r w:rsidR="001F52BE" w:rsidRPr="00497728">
        <w:t xml:space="preserve">(form or subject) </w:t>
      </w:r>
      <w:r w:rsidR="006829DB" w:rsidRPr="00497728">
        <w:t xml:space="preserve">that are not included in </w:t>
      </w:r>
      <w:r w:rsidR="001E0DBA" w:rsidRPr="00497728">
        <w:t>S</w:t>
      </w:r>
      <w:r w:rsidR="006829DB" w:rsidRPr="00497728">
        <w:t xml:space="preserve">ection </w:t>
      </w:r>
      <w:r w:rsidR="00FE47A1" w:rsidRPr="00497728">
        <w:fldChar w:fldCharType="begin"/>
      </w:r>
      <w:r w:rsidR="00FE47A1" w:rsidRPr="00497728">
        <w:instrText xml:space="preserve"> REF _Ref179463023 \r \h </w:instrText>
      </w:r>
      <w:r w:rsidR="00497728">
        <w:instrText xml:space="preserve"> \* MERGEFORMAT </w:instrText>
      </w:r>
      <w:r w:rsidR="00FE47A1" w:rsidRPr="00497728">
        <w:fldChar w:fldCharType="separate"/>
      </w:r>
      <w:r w:rsidR="002C084D">
        <w:t>2.2</w:t>
      </w:r>
      <w:r w:rsidR="00FE47A1" w:rsidRPr="00497728">
        <w:fldChar w:fldCharType="end"/>
      </w:r>
      <w:r w:rsidR="00CF71AE" w:rsidRPr="00497728">
        <w:t>?</w:t>
      </w:r>
    </w:p>
    <w:p w14:paraId="49316585" w14:textId="34D7E6A2" w:rsidR="003D62BB" w:rsidRPr="00497728" w:rsidRDefault="000A5519" w:rsidP="00B12E4A">
      <w:pPr>
        <w:pStyle w:val="BoxText"/>
      </w:pPr>
      <w:r>
        <w:t>Please include in your response which markets and</w:t>
      </w:r>
      <w:r w:rsidR="0066166D">
        <w:t>/or</w:t>
      </w:r>
      <w:r>
        <w:t xml:space="preserve"> sectors</w:t>
      </w:r>
      <w:r w:rsidR="0066166D">
        <w:t xml:space="preserve"> the other expectations for evidence apply to.</w:t>
      </w:r>
    </w:p>
    <w:p w14:paraId="701F7284" w14:textId="77777777" w:rsidR="00F10496" w:rsidRDefault="000C6AE5" w:rsidP="00B12E4A">
      <w:pPr>
        <w:pStyle w:val="BoxText"/>
      </w:pPr>
      <w:r w:rsidRPr="00497728">
        <w:rPr>
          <w:b/>
          <w:bCs/>
        </w:rPr>
        <w:t>Consultation question</w:t>
      </w:r>
      <w:r w:rsidR="002B7B0E" w:rsidRPr="00497728">
        <w:rPr>
          <w:b/>
          <w:bCs/>
        </w:rPr>
        <w:t xml:space="preserve"> </w:t>
      </w:r>
      <w:r w:rsidR="00770DBE" w:rsidRPr="00497728">
        <w:rPr>
          <w:b/>
          <w:bCs/>
        </w:rPr>
        <w:t>3</w:t>
      </w:r>
      <w:r w:rsidRPr="00497728">
        <w:rPr>
          <w:b/>
          <w:bCs/>
        </w:rPr>
        <w:t>:</w:t>
      </w:r>
      <w:r w:rsidRPr="00497728">
        <w:t xml:space="preserve"> What are the </w:t>
      </w:r>
      <w:r w:rsidR="00B00E11" w:rsidRPr="00497728">
        <w:t>most common forms</w:t>
      </w:r>
      <w:r w:rsidR="00A709C6" w:rsidRPr="00497728">
        <w:t xml:space="preserve"> of</w:t>
      </w:r>
      <w:r w:rsidR="00B00E11" w:rsidRPr="00497728">
        <w:t xml:space="preserve"> evidence </w:t>
      </w:r>
      <w:r w:rsidR="001F66D1" w:rsidRPr="00497728">
        <w:t xml:space="preserve">being asked for with respect to providing </w:t>
      </w:r>
      <w:r w:rsidR="00A709C6" w:rsidRPr="00497728">
        <w:t>evidence to support</w:t>
      </w:r>
      <w:r w:rsidR="001F66D1" w:rsidRPr="00497728">
        <w:t xml:space="preserve"> sustainability claims</w:t>
      </w:r>
      <w:r w:rsidR="00F10496" w:rsidRPr="00497728">
        <w:t>?</w:t>
      </w:r>
    </w:p>
    <w:p w14:paraId="5322FDCF" w14:textId="1FA9E180" w:rsidR="0066166D" w:rsidRPr="00497728" w:rsidRDefault="0066166D" w:rsidP="00B12E4A">
      <w:pPr>
        <w:pStyle w:val="BoxText"/>
      </w:pPr>
      <w:r>
        <w:t>Please include in your response which markets and/or sectors</w:t>
      </w:r>
      <w:r w:rsidR="00510F72">
        <w:t xml:space="preserve"> the common forms </w:t>
      </w:r>
      <w:r w:rsidR="004D7A30">
        <w:t>of evidence apply to.</w:t>
      </w:r>
    </w:p>
    <w:p w14:paraId="5B893254" w14:textId="77777777" w:rsidR="005D645A" w:rsidRDefault="007E493C" w:rsidP="00B12E4A">
      <w:pPr>
        <w:pStyle w:val="BoxText"/>
      </w:pPr>
      <w:r w:rsidRPr="00497728">
        <w:rPr>
          <w:b/>
          <w:bCs/>
        </w:rPr>
        <w:t xml:space="preserve">Consultation question </w:t>
      </w:r>
      <w:r w:rsidR="00770DBE" w:rsidRPr="00497728">
        <w:rPr>
          <w:b/>
          <w:bCs/>
        </w:rPr>
        <w:t>4</w:t>
      </w:r>
      <w:r w:rsidRPr="00497728">
        <w:rPr>
          <w:b/>
          <w:bCs/>
        </w:rPr>
        <w:t>:</w:t>
      </w:r>
      <w:r w:rsidRPr="00497728">
        <w:t xml:space="preserve"> </w:t>
      </w:r>
      <w:r w:rsidR="00CF4DB2" w:rsidRPr="00497728">
        <w:t xml:space="preserve">What </w:t>
      </w:r>
      <w:r w:rsidR="00694725" w:rsidRPr="00497728">
        <w:t>are markets expecting in terms of evidence to support compliance with regulations (e.g. demonstrating compliance with work related regulations)</w:t>
      </w:r>
      <w:r w:rsidR="005D645A" w:rsidRPr="00497728">
        <w:t>?</w:t>
      </w:r>
    </w:p>
    <w:p w14:paraId="41ADEF4B" w14:textId="00D5588D" w:rsidR="004D7A30" w:rsidRPr="00497728" w:rsidRDefault="004D7A30" w:rsidP="004D7A30">
      <w:pPr>
        <w:pStyle w:val="BoxText"/>
      </w:pPr>
      <w:r>
        <w:t xml:space="preserve">Please include in your response which markets and/or sectors </w:t>
      </w:r>
      <w:r w:rsidR="000E570B">
        <w:t>the types of supporting evidence</w:t>
      </w:r>
      <w:r w:rsidR="00426EC3">
        <w:t xml:space="preserve"> apply to</w:t>
      </w:r>
      <w:r>
        <w:t>.</w:t>
      </w:r>
    </w:p>
    <w:p w14:paraId="065190D1" w14:textId="77777777" w:rsidR="00994E3F" w:rsidRDefault="002B7B0E" w:rsidP="00B12E4A">
      <w:pPr>
        <w:pStyle w:val="BoxText"/>
      </w:pPr>
      <w:r w:rsidRPr="00497728">
        <w:rPr>
          <w:b/>
          <w:bCs/>
        </w:rPr>
        <w:t xml:space="preserve">Consultation question </w:t>
      </w:r>
      <w:r w:rsidR="00770DBE" w:rsidRPr="00497728">
        <w:rPr>
          <w:b/>
          <w:bCs/>
        </w:rPr>
        <w:t>5</w:t>
      </w:r>
      <w:r w:rsidRPr="00497728">
        <w:rPr>
          <w:b/>
          <w:bCs/>
        </w:rPr>
        <w:t>:</w:t>
      </w:r>
      <w:r w:rsidRPr="00497728">
        <w:t xml:space="preserve"> </w:t>
      </w:r>
      <w:r w:rsidR="00B866EB" w:rsidRPr="00497728">
        <w:t>Who (e.g. which organisations</w:t>
      </w:r>
      <w:r w:rsidR="00D566D9" w:rsidRPr="00497728">
        <w:t>/agencies</w:t>
      </w:r>
      <w:r w:rsidR="00B866EB" w:rsidRPr="00497728">
        <w:t xml:space="preserve">) should play a role </w:t>
      </w:r>
      <w:r w:rsidR="00CD44FC" w:rsidRPr="00497728">
        <w:t xml:space="preserve">in </w:t>
      </w:r>
      <w:r w:rsidR="00BC0BB2" w:rsidRPr="00497728">
        <w:t>assuring sustainability claims</w:t>
      </w:r>
      <w:r w:rsidR="00CD44FC" w:rsidRPr="00497728">
        <w:t xml:space="preserve"> for Australian agriculture</w:t>
      </w:r>
      <w:r w:rsidR="00994E3F" w:rsidRPr="00497728">
        <w:t>?</w:t>
      </w:r>
    </w:p>
    <w:p w14:paraId="01AE3DA9" w14:textId="1F7A8D6A" w:rsidR="001E50C8" w:rsidRPr="00497728" w:rsidRDefault="001E50C8" w:rsidP="00B12E4A">
      <w:pPr>
        <w:pStyle w:val="BoxText"/>
      </w:pPr>
      <w:r>
        <w:t xml:space="preserve">Please include in your response what role </w:t>
      </w:r>
      <w:r w:rsidR="00015968">
        <w:t>each organisation</w:t>
      </w:r>
      <w:r w:rsidR="00981826">
        <w:t xml:space="preserve">/agency </w:t>
      </w:r>
      <w:r w:rsidR="00DC5456">
        <w:t>you identify should have</w:t>
      </w:r>
      <w:r>
        <w:t>.</w:t>
      </w:r>
    </w:p>
    <w:p w14:paraId="547053D1" w14:textId="5E325904" w:rsidR="0023082C" w:rsidRPr="00497728" w:rsidRDefault="0023082C" w:rsidP="00FE11CD">
      <w:pPr>
        <w:pStyle w:val="Heading2"/>
      </w:pPr>
      <w:bookmarkStart w:id="33" w:name="_Toc183182231"/>
      <w:r w:rsidRPr="00497728">
        <w:lastRenderedPageBreak/>
        <w:t>Priority sustainability principles and criteria</w:t>
      </w:r>
      <w:bookmarkEnd w:id="33"/>
    </w:p>
    <w:p w14:paraId="7D111096" w14:textId="21FF9D1A" w:rsidR="00A976C5" w:rsidRPr="00497728" w:rsidRDefault="00A976C5" w:rsidP="00A976C5">
      <w:r w:rsidRPr="00497728">
        <w:t xml:space="preserve">Sustainability in agriculture is a multifaceted issue that involves balancing environmental, economic, and social factors. To create credible and impactful sustainability claims, Australian agriculture </w:t>
      </w:r>
      <w:r w:rsidR="00234F03" w:rsidRPr="00497728">
        <w:t xml:space="preserve">has needed to </w:t>
      </w:r>
      <w:r w:rsidRPr="00497728">
        <w:t>define a set of priority principles and criteria that not only address international market demands but also reflect Australia’s unique environmental and farming conditions.</w:t>
      </w:r>
    </w:p>
    <w:p w14:paraId="61B3B76A" w14:textId="714B7AF5" w:rsidR="00932601" w:rsidRPr="00497728" w:rsidRDefault="00A976C5" w:rsidP="00A976C5">
      <w:r w:rsidRPr="00497728">
        <w:t xml:space="preserve">Much of this work has been done </w:t>
      </w:r>
      <w:r w:rsidR="006963D9" w:rsidRPr="00497728">
        <w:t xml:space="preserve">sector by sector with the introduction of </w:t>
      </w:r>
      <w:r w:rsidR="00DF52ED" w:rsidRPr="00497728">
        <w:t>Australian</w:t>
      </w:r>
      <w:r w:rsidR="006963D9" w:rsidRPr="00497728">
        <w:t xml:space="preserve">-based </w:t>
      </w:r>
      <w:r w:rsidR="00200BC8" w:rsidRPr="00497728">
        <w:t xml:space="preserve">sectoral </w:t>
      </w:r>
      <w:r w:rsidR="006963D9" w:rsidRPr="00497728">
        <w:t>sustainability frameworks</w:t>
      </w:r>
      <w:r w:rsidR="00932601" w:rsidRPr="00497728">
        <w:t xml:space="preserve">, including those </w:t>
      </w:r>
      <w:r w:rsidR="00C11FEF" w:rsidRPr="00497728">
        <w:t xml:space="preserve">listed </w:t>
      </w:r>
      <w:r w:rsidR="00932601" w:rsidRPr="00497728">
        <w:t>in</w:t>
      </w:r>
      <w:r w:rsidR="00CA754F" w:rsidRPr="00497728">
        <w:t xml:space="preserve"> </w:t>
      </w:r>
      <w:r w:rsidR="00B42B0D" w:rsidRPr="00497728">
        <w:fldChar w:fldCharType="begin"/>
      </w:r>
      <w:r w:rsidR="00B42B0D" w:rsidRPr="00497728">
        <w:instrText xml:space="preserve"> REF _Ref182250010 \h </w:instrText>
      </w:r>
      <w:r w:rsidR="00497728">
        <w:instrText xml:space="preserve"> \* MERGEFORMAT </w:instrText>
      </w:r>
      <w:r w:rsidR="00B42B0D" w:rsidRPr="00497728">
        <w:fldChar w:fldCharType="separate"/>
      </w:r>
      <w:r w:rsidR="002C084D" w:rsidRPr="00497728">
        <w:t xml:space="preserve">Table </w:t>
      </w:r>
      <w:r w:rsidR="002C084D">
        <w:rPr>
          <w:noProof/>
        </w:rPr>
        <w:t>1</w:t>
      </w:r>
      <w:r w:rsidR="00B42B0D" w:rsidRPr="00497728">
        <w:fldChar w:fldCharType="end"/>
      </w:r>
      <w:r w:rsidR="00CA754F" w:rsidRPr="00497728">
        <w:t>. More recently this is being approached from a whole</w:t>
      </w:r>
      <w:r w:rsidR="00FD4AD0" w:rsidRPr="00497728">
        <w:t xml:space="preserve"> </w:t>
      </w:r>
      <w:r w:rsidR="00CA754F" w:rsidRPr="00497728">
        <w:t>of</w:t>
      </w:r>
      <w:r w:rsidR="00FD4AD0" w:rsidRPr="00497728">
        <w:t xml:space="preserve"> </w:t>
      </w:r>
      <w:r w:rsidR="00CA754F" w:rsidRPr="00497728">
        <w:t xml:space="preserve">industry perspective through the </w:t>
      </w:r>
      <w:r w:rsidR="000566CA" w:rsidRPr="00497728">
        <w:t xml:space="preserve">development of the </w:t>
      </w:r>
      <w:r w:rsidR="00CA754F" w:rsidRPr="00497728">
        <w:t>Australian Agricultural Sustainability Framework (AASF)</w:t>
      </w:r>
      <w:r w:rsidR="000E47EF" w:rsidRPr="00497728">
        <w:t xml:space="preserve">. It is recognised that this prioritisation </w:t>
      </w:r>
      <w:r w:rsidR="000566CA" w:rsidRPr="00497728">
        <w:t xml:space="preserve">also </w:t>
      </w:r>
      <w:r w:rsidR="000E47EF" w:rsidRPr="00497728">
        <w:t xml:space="preserve">occurs privately with </w:t>
      </w:r>
      <w:r w:rsidR="00944723" w:rsidRPr="00497728">
        <w:t xml:space="preserve">some </w:t>
      </w:r>
      <w:r w:rsidR="00B509A0" w:rsidRPr="00497728">
        <w:t xml:space="preserve">post-farm gate </w:t>
      </w:r>
      <w:r w:rsidR="00944723" w:rsidRPr="00497728">
        <w:t xml:space="preserve">actors in the supply chain </w:t>
      </w:r>
      <w:r w:rsidR="000E47EF" w:rsidRPr="00497728">
        <w:t xml:space="preserve">defining </w:t>
      </w:r>
      <w:r w:rsidR="00A065DD" w:rsidRPr="00497728">
        <w:t xml:space="preserve">corporate </w:t>
      </w:r>
      <w:r w:rsidR="000E47EF" w:rsidRPr="00497728">
        <w:t xml:space="preserve">sustainability </w:t>
      </w:r>
      <w:r w:rsidR="00944723" w:rsidRPr="00497728">
        <w:t xml:space="preserve">targets or </w:t>
      </w:r>
      <w:r w:rsidR="00B509A0" w:rsidRPr="00497728">
        <w:t>commitments</w:t>
      </w:r>
      <w:r w:rsidR="000E47EF" w:rsidRPr="00497728">
        <w:t>.</w:t>
      </w:r>
    </w:p>
    <w:p w14:paraId="2811A9E0" w14:textId="710678E3" w:rsidR="00932601" w:rsidRPr="00497728" w:rsidRDefault="00634942" w:rsidP="00932601">
      <w:pPr>
        <w:pStyle w:val="Caption"/>
      </w:pPr>
      <w:bookmarkStart w:id="34" w:name="_Ref182250010"/>
      <w:bookmarkStart w:id="35" w:name="_Toc183182245"/>
      <w:r w:rsidRPr="00497728">
        <w:t xml:space="preserve">Table </w:t>
      </w:r>
      <w:r>
        <w:fldChar w:fldCharType="begin"/>
      </w:r>
      <w:r>
        <w:instrText xml:space="preserve"> SEQ Table \* ARABIC </w:instrText>
      </w:r>
      <w:r>
        <w:fldChar w:fldCharType="separate"/>
      </w:r>
      <w:r w:rsidR="002C084D">
        <w:rPr>
          <w:noProof/>
        </w:rPr>
        <w:t>1</w:t>
      </w:r>
      <w:r>
        <w:rPr>
          <w:noProof/>
        </w:rPr>
        <w:fldChar w:fldCharType="end"/>
      </w:r>
      <w:bookmarkEnd w:id="34"/>
      <w:r w:rsidR="00B20D74" w:rsidRPr="00497728">
        <w:t xml:space="preserve"> Sectors and Australian-based sustainability frameworks</w:t>
      </w:r>
      <w:bookmarkEnd w:id="35"/>
    </w:p>
    <w:tbl>
      <w:tblPr>
        <w:tblStyle w:val="TableGrid"/>
        <w:tblW w:w="5000" w:type="pct"/>
        <w:tblLook w:val="04A0" w:firstRow="1" w:lastRow="0" w:firstColumn="1" w:lastColumn="0" w:noHBand="0" w:noVBand="1"/>
      </w:tblPr>
      <w:tblGrid>
        <w:gridCol w:w="4232"/>
        <w:gridCol w:w="4838"/>
      </w:tblGrid>
      <w:tr w:rsidR="00932601" w:rsidRPr="00497728" w14:paraId="086FED8F" w14:textId="77777777" w:rsidTr="006A7683">
        <w:trPr>
          <w:cantSplit/>
          <w:tblHeader/>
        </w:trPr>
        <w:tc>
          <w:tcPr>
            <w:tcW w:w="2333" w:type="pct"/>
            <w:tcBorders>
              <w:left w:val="nil"/>
              <w:right w:val="nil"/>
            </w:tcBorders>
          </w:tcPr>
          <w:p w14:paraId="48AEC905" w14:textId="6C280434" w:rsidR="00932601" w:rsidRPr="00497728" w:rsidRDefault="00200BC8" w:rsidP="003A13AA">
            <w:pPr>
              <w:pStyle w:val="TableHeading"/>
            </w:pPr>
            <w:bookmarkStart w:id="36" w:name="Title_1_for_Table_2"/>
            <w:bookmarkStart w:id="37" w:name="Title_1"/>
            <w:bookmarkEnd w:id="36"/>
            <w:bookmarkEnd w:id="37"/>
            <w:r w:rsidRPr="00497728">
              <w:t xml:space="preserve">Sectors </w:t>
            </w:r>
            <w:r w:rsidR="00932601" w:rsidRPr="00497728">
              <w:t>in scope</w:t>
            </w:r>
            <w:r w:rsidR="00263DFA">
              <w:t xml:space="preserve"> </w:t>
            </w:r>
            <w:r w:rsidR="00AD6EA4">
              <w:rPr>
                <w:vertAlign w:val="superscript"/>
              </w:rPr>
              <w:t>a</w:t>
            </w:r>
          </w:p>
        </w:tc>
        <w:tc>
          <w:tcPr>
            <w:tcW w:w="2667" w:type="pct"/>
            <w:tcBorders>
              <w:left w:val="nil"/>
              <w:right w:val="nil"/>
            </w:tcBorders>
          </w:tcPr>
          <w:p w14:paraId="7462AC11" w14:textId="00715A6B" w:rsidR="00932601" w:rsidRPr="00497728" w:rsidRDefault="00237513" w:rsidP="003A13AA">
            <w:pPr>
              <w:pStyle w:val="TableHeading"/>
            </w:pPr>
            <w:r w:rsidRPr="00497728">
              <w:t>Australian-based s</w:t>
            </w:r>
            <w:r w:rsidR="00932601" w:rsidRPr="00497728">
              <w:t>ustainability framework</w:t>
            </w:r>
          </w:p>
        </w:tc>
      </w:tr>
      <w:tr w:rsidR="00932601" w:rsidRPr="00497728" w14:paraId="4C6A6ECB" w14:textId="77777777" w:rsidTr="006A7683">
        <w:tc>
          <w:tcPr>
            <w:tcW w:w="2333" w:type="pct"/>
            <w:tcBorders>
              <w:left w:val="nil"/>
              <w:right w:val="nil"/>
            </w:tcBorders>
          </w:tcPr>
          <w:p w14:paraId="48F93149" w14:textId="77777777" w:rsidR="00932601" w:rsidRPr="00497728" w:rsidRDefault="00932601" w:rsidP="002A3757">
            <w:pPr>
              <w:pStyle w:val="TableText"/>
            </w:pPr>
            <w:bookmarkStart w:id="38" w:name="Row_Title_1_for_Table_2"/>
            <w:bookmarkEnd w:id="38"/>
            <w:r w:rsidRPr="00497728">
              <w:t>Wheat</w:t>
            </w:r>
          </w:p>
        </w:tc>
        <w:tc>
          <w:tcPr>
            <w:tcW w:w="2667" w:type="pct"/>
            <w:tcBorders>
              <w:left w:val="nil"/>
              <w:right w:val="nil"/>
            </w:tcBorders>
          </w:tcPr>
          <w:p w14:paraId="1AE4890D" w14:textId="46AFEC13" w:rsidR="00932601" w:rsidRPr="00497728" w:rsidRDefault="0035111E" w:rsidP="002A3757">
            <w:pPr>
              <w:pStyle w:val="TableText"/>
            </w:pPr>
            <w:r w:rsidRPr="00497728">
              <w:t>Australian Grain</w:t>
            </w:r>
            <w:r w:rsidR="00F24B60" w:rsidRPr="00497728">
              <w:t>s</w:t>
            </w:r>
            <w:r w:rsidRPr="00497728">
              <w:t xml:space="preserve"> Industry Sustainability Framework</w:t>
            </w:r>
            <w:r w:rsidR="00CA754F" w:rsidRPr="00497728">
              <w:t xml:space="preserve"> (</w:t>
            </w:r>
            <w:r w:rsidR="00354E5B" w:rsidRPr="00497728">
              <w:t>AGSF)</w:t>
            </w:r>
          </w:p>
        </w:tc>
      </w:tr>
      <w:tr w:rsidR="00932601" w:rsidRPr="00497728" w14:paraId="55593554" w14:textId="77777777" w:rsidTr="006A7683">
        <w:tc>
          <w:tcPr>
            <w:tcW w:w="2333" w:type="pct"/>
            <w:tcBorders>
              <w:left w:val="nil"/>
              <w:right w:val="nil"/>
            </w:tcBorders>
          </w:tcPr>
          <w:p w14:paraId="2A294EFE" w14:textId="77777777" w:rsidR="00932601" w:rsidRPr="00497728" w:rsidRDefault="00932601" w:rsidP="002A3757">
            <w:pPr>
              <w:pStyle w:val="TableText"/>
            </w:pPr>
            <w:bookmarkStart w:id="39" w:name="Row_Title_2_for_Table_2"/>
            <w:bookmarkEnd w:id="39"/>
            <w:r w:rsidRPr="00497728">
              <w:t>Beef</w:t>
            </w:r>
          </w:p>
        </w:tc>
        <w:tc>
          <w:tcPr>
            <w:tcW w:w="2667" w:type="pct"/>
            <w:tcBorders>
              <w:left w:val="nil"/>
              <w:right w:val="nil"/>
            </w:tcBorders>
          </w:tcPr>
          <w:p w14:paraId="0DC839AC" w14:textId="14FB5FBA" w:rsidR="00932601" w:rsidRPr="00497728" w:rsidRDefault="004B09C7" w:rsidP="002A3757">
            <w:pPr>
              <w:pStyle w:val="TableText"/>
            </w:pPr>
            <w:r w:rsidRPr="00497728">
              <w:t>Australia Beef Sustainability Framework</w:t>
            </w:r>
            <w:r w:rsidR="00354E5B" w:rsidRPr="00497728">
              <w:t xml:space="preserve"> (ABSF)</w:t>
            </w:r>
          </w:p>
        </w:tc>
      </w:tr>
      <w:tr w:rsidR="00932601" w:rsidRPr="00497728" w14:paraId="02B3F7A5" w14:textId="77777777" w:rsidTr="006A7683">
        <w:tc>
          <w:tcPr>
            <w:tcW w:w="2333" w:type="pct"/>
            <w:tcBorders>
              <w:left w:val="nil"/>
              <w:right w:val="nil"/>
            </w:tcBorders>
          </w:tcPr>
          <w:p w14:paraId="5A5FBA0C" w14:textId="77777777" w:rsidR="00932601" w:rsidRPr="00497728" w:rsidRDefault="00932601" w:rsidP="002A3757">
            <w:pPr>
              <w:pStyle w:val="TableText"/>
            </w:pPr>
            <w:bookmarkStart w:id="40" w:name="Row_Title_3_for_Table_2"/>
            <w:bookmarkEnd w:id="40"/>
            <w:r w:rsidRPr="00497728">
              <w:t>Canola</w:t>
            </w:r>
          </w:p>
        </w:tc>
        <w:tc>
          <w:tcPr>
            <w:tcW w:w="2667" w:type="pct"/>
            <w:tcBorders>
              <w:left w:val="nil"/>
              <w:right w:val="nil"/>
            </w:tcBorders>
          </w:tcPr>
          <w:p w14:paraId="257132BB" w14:textId="20375F6D" w:rsidR="00932601" w:rsidRPr="00497728" w:rsidRDefault="00F24B60" w:rsidP="002A3757">
            <w:pPr>
              <w:pStyle w:val="TableText"/>
            </w:pPr>
            <w:r w:rsidRPr="00497728">
              <w:t>Australian Grain Industry Sustainability Framework</w:t>
            </w:r>
            <w:r w:rsidR="00354E5B" w:rsidRPr="00497728">
              <w:t xml:space="preserve"> (AGSF)</w:t>
            </w:r>
          </w:p>
        </w:tc>
      </w:tr>
      <w:tr w:rsidR="00932601" w:rsidRPr="00497728" w14:paraId="43626267" w14:textId="77777777" w:rsidTr="006A7683">
        <w:tc>
          <w:tcPr>
            <w:tcW w:w="2333" w:type="pct"/>
            <w:tcBorders>
              <w:left w:val="nil"/>
              <w:right w:val="nil"/>
            </w:tcBorders>
          </w:tcPr>
          <w:p w14:paraId="4D3021E6" w14:textId="77777777" w:rsidR="00932601" w:rsidRPr="00497728" w:rsidRDefault="00932601" w:rsidP="002A3757">
            <w:pPr>
              <w:pStyle w:val="TableText"/>
            </w:pPr>
            <w:bookmarkStart w:id="41" w:name="Row_Title_4_for_Table_2"/>
            <w:bookmarkEnd w:id="41"/>
            <w:r w:rsidRPr="00497728">
              <w:t>Cotton</w:t>
            </w:r>
          </w:p>
        </w:tc>
        <w:tc>
          <w:tcPr>
            <w:tcW w:w="2667" w:type="pct"/>
            <w:tcBorders>
              <w:left w:val="nil"/>
              <w:right w:val="nil"/>
            </w:tcBorders>
          </w:tcPr>
          <w:p w14:paraId="4A914DCC" w14:textId="53B6C094" w:rsidR="00932601" w:rsidRPr="00497728" w:rsidRDefault="002D6FC4" w:rsidP="002A3757">
            <w:pPr>
              <w:pStyle w:val="TableText"/>
            </w:pPr>
            <w:r w:rsidRPr="00497728">
              <w:t xml:space="preserve">PADDOCK:PEOPLE:PLANET – </w:t>
            </w:r>
            <w:r w:rsidR="003C6F4F" w:rsidRPr="00497728">
              <w:t>t</w:t>
            </w:r>
            <w:r w:rsidRPr="00497728">
              <w:t xml:space="preserve">he </w:t>
            </w:r>
            <w:r w:rsidR="002A55B1" w:rsidRPr="00497728">
              <w:t>Australian Cotton Sustainability Frame</w:t>
            </w:r>
            <w:r w:rsidR="00A769C1" w:rsidRPr="00497728">
              <w:t>work (ACSF)</w:t>
            </w:r>
          </w:p>
        </w:tc>
      </w:tr>
      <w:tr w:rsidR="00932601" w:rsidRPr="00497728" w14:paraId="2E1D6574" w14:textId="77777777" w:rsidTr="006A7683">
        <w:tc>
          <w:tcPr>
            <w:tcW w:w="2333" w:type="pct"/>
            <w:tcBorders>
              <w:left w:val="nil"/>
              <w:right w:val="nil"/>
            </w:tcBorders>
          </w:tcPr>
          <w:p w14:paraId="3065D459" w14:textId="77777777" w:rsidR="00932601" w:rsidRPr="00497728" w:rsidRDefault="00932601" w:rsidP="002A3757">
            <w:pPr>
              <w:pStyle w:val="TableText"/>
            </w:pPr>
            <w:bookmarkStart w:id="42" w:name="Row_Title_5_for_Table_2"/>
            <w:bookmarkEnd w:id="42"/>
            <w:r w:rsidRPr="00497728">
              <w:t>Wool</w:t>
            </w:r>
          </w:p>
        </w:tc>
        <w:tc>
          <w:tcPr>
            <w:tcW w:w="2667" w:type="pct"/>
            <w:tcBorders>
              <w:left w:val="nil"/>
              <w:right w:val="nil"/>
            </w:tcBorders>
          </w:tcPr>
          <w:p w14:paraId="4D902662" w14:textId="58111F4D" w:rsidR="00932601" w:rsidRPr="00497728" w:rsidRDefault="00964A26" w:rsidP="002A3757">
            <w:pPr>
              <w:pStyle w:val="TableText"/>
            </w:pPr>
            <w:r w:rsidRPr="00497728">
              <w:t>Australian Sheep Sustainability Framework</w:t>
            </w:r>
            <w:r w:rsidR="00354E5B" w:rsidRPr="00497728">
              <w:t xml:space="preserve"> (ASSF)</w:t>
            </w:r>
          </w:p>
        </w:tc>
      </w:tr>
      <w:tr w:rsidR="00932601" w:rsidRPr="00497728" w14:paraId="659F7EE7" w14:textId="77777777" w:rsidTr="006A7683">
        <w:tc>
          <w:tcPr>
            <w:tcW w:w="2333" w:type="pct"/>
            <w:tcBorders>
              <w:left w:val="nil"/>
              <w:right w:val="nil"/>
            </w:tcBorders>
          </w:tcPr>
          <w:p w14:paraId="2A947AF5" w14:textId="77777777" w:rsidR="00932601" w:rsidRPr="00497728" w:rsidRDefault="00932601" w:rsidP="002A3757">
            <w:pPr>
              <w:pStyle w:val="TableText"/>
            </w:pPr>
            <w:r w:rsidRPr="00497728">
              <w:t>D</w:t>
            </w:r>
            <w:bookmarkStart w:id="43" w:name="Row_Title_6_for_Table_2"/>
            <w:bookmarkEnd w:id="43"/>
            <w:r w:rsidRPr="00497728">
              <w:t>airy products</w:t>
            </w:r>
          </w:p>
        </w:tc>
        <w:tc>
          <w:tcPr>
            <w:tcW w:w="2667" w:type="pct"/>
            <w:tcBorders>
              <w:left w:val="nil"/>
              <w:right w:val="nil"/>
            </w:tcBorders>
          </w:tcPr>
          <w:p w14:paraId="1D3DC446" w14:textId="089348D6" w:rsidR="00932601" w:rsidRPr="00497728" w:rsidRDefault="004C2D69" w:rsidP="002A3757">
            <w:pPr>
              <w:pStyle w:val="TableText"/>
            </w:pPr>
            <w:r w:rsidRPr="00497728">
              <w:t>Australian Dairy Sustainability Framework</w:t>
            </w:r>
            <w:r w:rsidR="00354E5B" w:rsidRPr="00497728">
              <w:t xml:space="preserve"> (ADSF)</w:t>
            </w:r>
          </w:p>
        </w:tc>
      </w:tr>
      <w:tr w:rsidR="00932601" w:rsidRPr="00497728" w14:paraId="5CC82A7D" w14:textId="77777777" w:rsidTr="006A7683">
        <w:tc>
          <w:tcPr>
            <w:tcW w:w="2333" w:type="pct"/>
            <w:tcBorders>
              <w:left w:val="nil"/>
              <w:right w:val="nil"/>
            </w:tcBorders>
          </w:tcPr>
          <w:p w14:paraId="32D45D14" w14:textId="56361FEC" w:rsidR="00932601" w:rsidRPr="00497728" w:rsidRDefault="00932601" w:rsidP="002A3757">
            <w:pPr>
              <w:pStyle w:val="TableText"/>
            </w:pPr>
            <w:r w:rsidRPr="00497728">
              <w:t>H</w:t>
            </w:r>
            <w:bookmarkStart w:id="44" w:name="Row_Title_7_for_Table_2"/>
            <w:bookmarkEnd w:id="44"/>
            <w:r w:rsidRPr="00497728">
              <w:t>orticulture</w:t>
            </w:r>
          </w:p>
        </w:tc>
        <w:tc>
          <w:tcPr>
            <w:tcW w:w="2667" w:type="pct"/>
            <w:tcBorders>
              <w:left w:val="nil"/>
              <w:right w:val="nil"/>
            </w:tcBorders>
          </w:tcPr>
          <w:p w14:paraId="18039718" w14:textId="098875F6" w:rsidR="00932601" w:rsidRPr="00497728" w:rsidRDefault="00932601" w:rsidP="002A3757">
            <w:pPr>
              <w:pStyle w:val="TableText"/>
            </w:pPr>
            <w:r w:rsidRPr="00497728">
              <w:t>Australian-grown Horticulture Sustainability Framework</w:t>
            </w:r>
            <w:r w:rsidR="00354E5B" w:rsidRPr="00497728">
              <w:t xml:space="preserve"> (AHSF)</w:t>
            </w:r>
          </w:p>
        </w:tc>
      </w:tr>
    </w:tbl>
    <w:p w14:paraId="0612F526" w14:textId="75738343" w:rsidR="00932601" w:rsidRPr="00497728" w:rsidRDefault="00AD6EA4" w:rsidP="00445912">
      <w:pPr>
        <w:pStyle w:val="FigureTableNoteSource"/>
      </w:pPr>
      <w:proofErr w:type="spellStart"/>
      <w:r>
        <w:rPr>
          <w:b/>
        </w:rPr>
        <w:t>a</w:t>
      </w:r>
      <w:proofErr w:type="spellEnd"/>
      <w:r w:rsidR="008A72C5" w:rsidRPr="00497728">
        <w:t xml:space="preserve"> </w:t>
      </w:r>
      <w:r w:rsidR="008A72C5">
        <w:t>T</w:t>
      </w:r>
      <w:r w:rsidR="00727C76" w:rsidRPr="00497728">
        <w:t>he Australian seafood industry does not have a sustainability framework</w:t>
      </w:r>
      <w:r w:rsidR="00530F40" w:rsidRPr="00497728">
        <w:t>,</w:t>
      </w:r>
      <w:r w:rsidR="00727C76" w:rsidRPr="00497728">
        <w:t xml:space="preserve"> instead relying on the MSC.</w:t>
      </w:r>
    </w:p>
    <w:p w14:paraId="2F64516B" w14:textId="77777777" w:rsidR="00ED2D1C" w:rsidRPr="00497728" w:rsidRDefault="00ED2D1C" w:rsidP="0041454F">
      <w:pPr>
        <w:pStyle w:val="Heading3"/>
      </w:pPr>
      <w:bookmarkStart w:id="45" w:name="_Material_topics"/>
      <w:bookmarkStart w:id="46" w:name="_Ref179462768"/>
      <w:bookmarkStart w:id="47" w:name="_Toc183182232"/>
      <w:bookmarkEnd w:id="45"/>
      <w:r w:rsidRPr="00497728">
        <w:t>Material topics</w:t>
      </w:r>
      <w:bookmarkEnd w:id="46"/>
      <w:bookmarkEnd w:id="47"/>
    </w:p>
    <w:p w14:paraId="7B70A9AA" w14:textId="550F4EB4" w:rsidR="00DD0ADE" w:rsidRPr="00497728" w:rsidRDefault="00DD0ADE" w:rsidP="00ED2D1C">
      <w:r w:rsidRPr="00497728">
        <w:t xml:space="preserve">Prioritisation of sustainability principles and criteria varies sector to sector and across private enterprise. </w:t>
      </w:r>
      <w:r w:rsidR="00F810DA" w:rsidRPr="00497728">
        <w:t xml:space="preserve">Sectors and </w:t>
      </w:r>
      <w:r w:rsidR="000566CA" w:rsidRPr="00497728">
        <w:t xml:space="preserve">some </w:t>
      </w:r>
      <w:r w:rsidR="00F810DA" w:rsidRPr="00497728">
        <w:t xml:space="preserve">organisations are undertaking materiality assessments to help identify which sustainability topics are of most importance to their sector or business so that </w:t>
      </w:r>
      <w:r w:rsidR="0068167D" w:rsidRPr="00497728">
        <w:t>principles and criteria can be established for monitoring and measuring performance and reporting</w:t>
      </w:r>
      <w:r w:rsidR="00202309" w:rsidRPr="00497728">
        <w:t xml:space="preserve"> and to develop strategies and plans for change</w:t>
      </w:r>
      <w:r w:rsidR="0068167D" w:rsidRPr="00497728">
        <w:t>.</w:t>
      </w:r>
    </w:p>
    <w:p w14:paraId="4F1643D8" w14:textId="08217AFD" w:rsidR="00670D8B" w:rsidRPr="00497728" w:rsidRDefault="002A07FA" w:rsidP="00C05591">
      <w:pPr>
        <w:keepLines/>
      </w:pPr>
      <w:r w:rsidRPr="00497728">
        <w:t xml:space="preserve">A review of materiality assessments undertaken </w:t>
      </w:r>
      <w:r w:rsidR="0007327F" w:rsidRPr="00497728">
        <w:t xml:space="preserve">at an industry level </w:t>
      </w:r>
      <w:r w:rsidRPr="00497728">
        <w:t xml:space="preserve">by sectors in scope and </w:t>
      </w:r>
      <w:r w:rsidR="0007327F" w:rsidRPr="00497728">
        <w:t>across all of agriculture show</w:t>
      </w:r>
      <w:r w:rsidR="000566CA" w:rsidRPr="00497728">
        <w:t>s</w:t>
      </w:r>
      <w:r w:rsidR="0007327F" w:rsidRPr="00497728">
        <w:t xml:space="preserve"> </w:t>
      </w:r>
      <w:r w:rsidR="008D0390" w:rsidRPr="00497728">
        <w:t xml:space="preserve">that the </w:t>
      </w:r>
      <w:r w:rsidR="00670D8B" w:rsidRPr="00497728">
        <w:t xml:space="preserve">topics that are </w:t>
      </w:r>
      <w:r w:rsidR="00217179" w:rsidRPr="00497728">
        <w:t xml:space="preserve">most </w:t>
      </w:r>
      <w:r w:rsidR="00202B6F" w:rsidRPr="00497728">
        <w:t xml:space="preserve">commonly </w:t>
      </w:r>
      <w:r w:rsidR="00670D8B" w:rsidRPr="00497728">
        <w:t>material across sectors relate to:</w:t>
      </w:r>
    </w:p>
    <w:p w14:paraId="14E2C9DD" w14:textId="57CA43A7" w:rsidR="00407BEB" w:rsidRPr="00497728" w:rsidRDefault="00B40F43" w:rsidP="00C05591">
      <w:pPr>
        <w:pStyle w:val="ListBullet"/>
        <w:keepLines/>
      </w:pPr>
      <w:r w:rsidRPr="00497728">
        <w:t>biodiversity</w:t>
      </w:r>
      <w:r w:rsidR="001365EC" w:rsidRPr="00497728">
        <w:t xml:space="preserve">, </w:t>
      </w:r>
      <w:r w:rsidR="00407BEB" w:rsidRPr="00497728">
        <w:t>ecosystems, deforestation</w:t>
      </w:r>
    </w:p>
    <w:p w14:paraId="55D43B24" w14:textId="05924A78" w:rsidR="00B82E24" w:rsidRPr="00497728" w:rsidRDefault="00B40F43" w:rsidP="00C05591">
      <w:pPr>
        <w:pStyle w:val="ListBullet"/>
        <w:keepLines/>
      </w:pPr>
      <w:r w:rsidRPr="00497728">
        <w:t xml:space="preserve">animal </w:t>
      </w:r>
      <w:r w:rsidR="00B82E24" w:rsidRPr="00497728">
        <w:t>wellbeing and husbandry (for animal sectors)</w:t>
      </w:r>
    </w:p>
    <w:p w14:paraId="34507059" w14:textId="583F872E" w:rsidR="00B82E24" w:rsidRPr="00497728" w:rsidRDefault="00B40F43" w:rsidP="00C05591">
      <w:pPr>
        <w:pStyle w:val="ListBullet"/>
        <w:keepLines/>
      </w:pPr>
      <w:r w:rsidRPr="00497728">
        <w:t xml:space="preserve">water </w:t>
      </w:r>
      <w:r w:rsidR="00B82E24" w:rsidRPr="00497728">
        <w:t>security, access and use</w:t>
      </w:r>
    </w:p>
    <w:p w14:paraId="64450F32" w14:textId="1831C249" w:rsidR="00B82E24" w:rsidRPr="00497728" w:rsidRDefault="00B40F43" w:rsidP="00C05591">
      <w:pPr>
        <w:pStyle w:val="ListBullet"/>
        <w:keepLines/>
      </w:pPr>
      <w:r w:rsidRPr="00497728">
        <w:t xml:space="preserve">worker </w:t>
      </w:r>
      <w:r w:rsidR="00B82E24" w:rsidRPr="00497728">
        <w:t>health, safety and wellbeing</w:t>
      </w:r>
    </w:p>
    <w:p w14:paraId="3D999C08" w14:textId="47F72470" w:rsidR="00575CEF" w:rsidRPr="00497728" w:rsidRDefault="00B40F43" w:rsidP="00C05591">
      <w:pPr>
        <w:pStyle w:val="ListBullet"/>
        <w:keepLines/>
      </w:pPr>
      <w:r w:rsidRPr="00497728">
        <w:lastRenderedPageBreak/>
        <w:t>biosecurity</w:t>
      </w:r>
    </w:p>
    <w:p w14:paraId="22A7F2CA" w14:textId="6F3DC62F" w:rsidR="006E264D" w:rsidRPr="00497728" w:rsidRDefault="00B40F43" w:rsidP="00C05591">
      <w:pPr>
        <w:pStyle w:val="ListBullet"/>
        <w:keepLines/>
      </w:pPr>
      <w:r w:rsidRPr="00497728">
        <w:t xml:space="preserve">soil </w:t>
      </w:r>
      <w:r w:rsidR="006E264D" w:rsidRPr="00497728">
        <w:t>health and management</w:t>
      </w:r>
    </w:p>
    <w:p w14:paraId="4AE6A197" w14:textId="2FE8EFB0" w:rsidR="00670D8B" w:rsidRPr="00497728" w:rsidRDefault="00B40F43" w:rsidP="00C05591">
      <w:pPr>
        <w:pStyle w:val="ListBullet"/>
        <w:keepLines/>
      </w:pPr>
      <w:r w:rsidRPr="00497728">
        <w:t xml:space="preserve">food </w:t>
      </w:r>
      <w:r w:rsidR="00670D8B" w:rsidRPr="00497728">
        <w:t>or product safety and quality</w:t>
      </w:r>
    </w:p>
    <w:p w14:paraId="25ACA5C2" w14:textId="0A47CF9C" w:rsidR="0019145E" w:rsidRPr="00497728" w:rsidRDefault="0019145E" w:rsidP="00C05591">
      <w:pPr>
        <w:pStyle w:val="ListBullet"/>
        <w:keepLines/>
      </w:pPr>
      <w:r w:rsidRPr="00497728">
        <w:t>GHG emissions</w:t>
      </w:r>
    </w:p>
    <w:p w14:paraId="64B9064B" w14:textId="163FFB19" w:rsidR="0019145E" w:rsidRPr="00497728" w:rsidRDefault="00B40F43" w:rsidP="00C05591">
      <w:pPr>
        <w:pStyle w:val="ListBullet"/>
        <w:keepLines/>
      </w:pPr>
      <w:r w:rsidRPr="00497728">
        <w:t xml:space="preserve">climate </w:t>
      </w:r>
      <w:r w:rsidR="001657CF" w:rsidRPr="00497728">
        <w:t>change and resilience and adaption</w:t>
      </w:r>
      <w:r w:rsidR="00FD4AD0" w:rsidRPr="00497728">
        <w:t>.</w:t>
      </w:r>
    </w:p>
    <w:p w14:paraId="5AFA275D" w14:textId="6165D230" w:rsidR="00206C45" w:rsidRPr="00497728" w:rsidRDefault="0073591D" w:rsidP="0041454F">
      <w:pPr>
        <w:pStyle w:val="Heading3"/>
      </w:pPr>
      <w:bookmarkStart w:id="48" w:name="_Critical_topics_to"/>
      <w:bookmarkStart w:id="49" w:name="_Ref179462776"/>
      <w:bookmarkStart w:id="50" w:name="_Ref179462820"/>
      <w:bookmarkStart w:id="51" w:name="_Toc183182233"/>
      <w:bookmarkEnd w:id="48"/>
      <w:r w:rsidRPr="00497728">
        <w:t>Critical t</w:t>
      </w:r>
      <w:r w:rsidR="00206C45" w:rsidRPr="00497728">
        <w:t>opics to demonstratin</w:t>
      </w:r>
      <w:r w:rsidR="008E0EA2" w:rsidRPr="00497728">
        <w:t>g</w:t>
      </w:r>
      <w:r w:rsidR="00206C45" w:rsidRPr="00497728">
        <w:t xml:space="preserve"> sustainability claims</w:t>
      </w:r>
      <w:bookmarkEnd w:id="49"/>
      <w:bookmarkEnd w:id="50"/>
      <w:bookmarkEnd w:id="51"/>
    </w:p>
    <w:p w14:paraId="0948985C" w14:textId="3644F939" w:rsidR="002A07FA" w:rsidRPr="00497728" w:rsidRDefault="000A2F46" w:rsidP="00ED2D1C">
      <w:r w:rsidRPr="00497728">
        <w:t xml:space="preserve">In discussion with industry, government and supply chain stakeholders, </w:t>
      </w:r>
      <w:r w:rsidR="006776F4" w:rsidRPr="00497728">
        <w:t>key</w:t>
      </w:r>
      <w:r w:rsidRPr="00497728">
        <w:t xml:space="preserve"> topics that were </w:t>
      </w:r>
      <w:r w:rsidR="00202B6F" w:rsidRPr="00497728">
        <w:t xml:space="preserve">most commonly </w:t>
      </w:r>
      <w:r w:rsidRPr="00497728">
        <w:t xml:space="preserve">identified as being critical </w:t>
      </w:r>
      <w:r w:rsidR="007E0014" w:rsidRPr="00497728">
        <w:t xml:space="preserve">with respect </w:t>
      </w:r>
      <w:r w:rsidRPr="00497728">
        <w:t xml:space="preserve">to demonstrating sustainability claims </w:t>
      </w:r>
      <w:r w:rsidR="00017F90" w:rsidRPr="00497728">
        <w:t>across all markets</w:t>
      </w:r>
      <w:r w:rsidRPr="00497728">
        <w:t xml:space="preserve"> </w:t>
      </w:r>
      <w:r w:rsidR="007E0014" w:rsidRPr="00497728">
        <w:t>are</w:t>
      </w:r>
      <w:r w:rsidRPr="00497728">
        <w:t>:</w:t>
      </w:r>
    </w:p>
    <w:p w14:paraId="04A2DCBF" w14:textId="77777777" w:rsidR="00A06D3F" w:rsidRPr="00497728" w:rsidRDefault="00A06D3F" w:rsidP="0073591D">
      <w:pPr>
        <w:pStyle w:val="ListBullet"/>
      </w:pPr>
      <w:r w:rsidRPr="00497728">
        <w:t>GHG emissions</w:t>
      </w:r>
    </w:p>
    <w:p w14:paraId="3C96A768" w14:textId="2F909E7D" w:rsidR="006776F4" w:rsidRPr="00497728" w:rsidRDefault="00FD4AD0" w:rsidP="0073591D">
      <w:pPr>
        <w:pStyle w:val="ListBullet"/>
      </w:pPr>
      <w:r w:rsidRPr="00497728">
        <w:t xml:space="preserve">animal </w:t>
      </w:r>
      <w:r w:rsidR="006776F4" w:rsidRPr="00497728">
        <w:t>welfare (for animal-based sectors)</w:t>
      </w:r>
    </w:p>
    <w:p w14:paraId="219930B9" w14:textId="5A1CE1EC" w:rsidR="000A2F46" w:rsidRPr="00497728" w:rsidRDefault="00FD4AD0" w:rsidP="0073591D">
      <w:pPr>
        <w:pStyle w:val="ListBullet"/>
      </w:pPr>
      <w:r w:rsidRPr="00497728">
        <w:t xml:space="preserve">deforestation </w:t>
      </w:r>
      <w:r w:rsidR="000A2F46" w:rsidRPr="00497728">
        <w:t>and land use</w:t>
      </w:r>
      <w:r w:rsidR="003B160B" w:rsidRPr="00497728">
        <w:t xml:space="preserve"> (including biodiversity)</w:t>
      </w:r>
    </w:p>
    <w:p w14:paraId="3C513C46" w14:textId="211403A3" w:rsidR="0035464C" w:rsidRPr="00497728" w:rsidRDefault="00FD4AD0" w:rsidP="0073591D">
      <w:pPr>
        <w:pStyle w:val="ListBullet"/>
      </w:pPr>
      <w:r w:rsidRPr="00497728">
        <w:t xml:space="preserve">chemical </w:t>
      </w:r>
      <w:r w:rsidR="0035464C" w:rsidRPr="00497728">
        <w:t>use (</w:t>
      </w:r>
      <w:r w:rsidR="00993661" w:rsidRPr="00497728">
        <w:t xml:space="preserve">e.g. </w:t>
      </w:r>
      <w:r w:rsidR="0035464C" w:rsidRPr="00497728">
        <w:t>pesticides)</w:t>
      </w:r>
    </w:p>
    <w:p w14:paraId="1ACCB5D6" w14:textId="17DC4315" w:rsidR="00F60389" w:rsidRPr="00497728" w:rsidRDefault="00FD4AD0" w:rsidP="0073591D">
      <w:pPr>
        <w:pStyle w:val="ListBullet"/>
      </w:pPr>
      <w:r w:rsidRPr="00497728">
        <w:t xml:space="preserve">modern </w:t>
      </w:r>
      <w:r w:rsidR="00F60389" w:rsidRPr="00497728">
        <w:t>slavery and labour conditions</w:t>
      </w:r>
    </w:p>
    <w:p w14:paraId="0466F9D2" w14:textId="78063F50" w:rsidR="000A2F46" w:rsidRPr="00497728" w:rsidRDefault="00FD4AD0" w:rsidP="0073591D">
      <w:pPr>
        <w:pStyle w:val="ListBullet"/>
      </w:pPr>
      <w:r w:rsidRPr="00497728">
        <w:t xml:space="preserve">water </w:t>
      </w:r>
      <w:r w:rsidR="000A2F46" w:rsidRPr="00497728">
        <w:t>and resource use efficiency</w:t>
      </w:r>
      <w:r w:rsidRPr="00497728">
        <w:t>.</w:t>
      </w:r>
    </w:p>
    <w:p w14:paraId="3B3A8C53" w14:textId="5A788E50" w:rsidR="000A2F46" w:rsidRPr="00497728" w:rsidRDefault="00F60389" w:rsidP="00737D62">
      <w:r w:rsidRPr="00497728">
        <w:t>For animal related sectors, a</w:t>
      </w:r>
      <w:r w:rsidR="000A2F46" w:rsidRPr="00497728">
        <w:t>nimal welfare</w:t>
      </w:r>
      <w:r w:rsidR="00AE5E1E" w:rsidRPr="00497728">
        <w:t xml:space="preserve"> </w:t>
      </w:r>
      <w:r w:rsidR="00A06D3F" w:rsidRPr="00497728">
        <w:t>shared prominence with GHG emissions</w:t>
      </w:r>
      <w:r w:rsidR="00737D62" w:rsidRPr="00497728">
        <w:t>.</w:t>
      </w:r>
    </w:p>
    <w:p w14:paraId="37E0352A" w14:textId="0056E34A" w:rsidR="00ED2D1C" w:rsidRPr="00497728" w:rsidRDefault="00106F38" w:rsidP="00932601">
      <w:r w:rsidRPr="00497728">
        <w:t>F</w:t>
      </w:r>
      <w:r w:rsidR="00072CE8" w:rsidRPr="00497728">
        <w:t xml:space="preserve">ood safety was </w:t>
      </w:r>
      <w:r w:rsidR="00470855" w:rsidRPr="00497728">
        <w:t xml:space="preserve">a </w:t>
      </w:r>
      <w:r w:rsidR="007E0014" w:rsidRPr="00497728">
        <w:t xml:space="preserve">more significant </w:t>
      </w:r>
      <w:r w:rsidR="00470855" w:rsidRPr="00497728">
        <w:t xml:space="preserve">concern </w:t>
      </w:r>
      <w:r w:rsidRPr="00497728">
        <w:t xml:space="preserve">in some markets and sectors </w:t>
      </w:r>
      <w:r w:rsidR="00470855" w:rsidRPr="00497728">
        <w:t>than other sustainability related topics.</w:t>
      </w:r>
      <w:r w:rsidR="00D96678" w:rsidRPr="00497728">
        <w:t xml:space="preserve"> </w:t>
      </w:r>
      <w:r w:rsidR="004136CB" w:rsidRPr="00497728">
        <w:t>Regenerative</w:t>
      </w:r>
      <w:r w:rsidR="00D96678" w:rsidRPr="00497728">
        <w:t xml:space="preserve"> agriculture was identified by many stakeholders as becoming increasingly </w:t>
      </w:r>
      <w:r w:rsidR="004136CB" w:rsidRPr="00497728">
        <w:t>of interest</w:t>
      </w:r>
      <w:r w:rsidR="001C16CC" w:rsidRPr="00497728">
        <w:t xml:space="preserve"> </w:t>
      </w:r>
      <w:r w:rsidR="00BC3355" w:rsidRPr="00497728">
        <w:t xml:space="preserve">although it was noted there is </w:t>
      </w:r>
      <w:r w:rsidR="00886196" w:rsidRPr="00497728">
        <w:t xml:space="preserve">currently </w:t>
      </w:r>
      <w:r w:rsidR="00BC3355" w:rsidRPr="00497728">
        <w:t>no clear definition as to what this is</w:t>
      </w:r>
      <w:r w:rsidR="004136CB" w:rsidRPr="00497728">
        <w:t>.</w:t>
      </w:r>
    </w:p>
    <w:p w14:paraId="1C6E39D8" w14:textId="6A2F7DAB" w:rsidR="00071420" w:rsidRPr="00497728" w:rsidRDefault="00B15707" w:rsidP="0041454F">
      <w:pPr>
        <w:pStyle w:val="Heading3"/>
      </w:pPr>
      <w:bookmarkStart w:id="52" w:name="_Toc183182234"/>
      <w:r w:rsidRPr="00497728">
        <w:t>Alignment of priorities</w:t>
      </w:r>
      <w:bookmarkEnd w:id="52"/>
    </w:p>
    <w:p w14:paraId="5CFB6C2D" w14:textId="0E4450BB" w:rsidR="00423715" w:rsidRPr="00497728" w:rsidRDefault="00423715" w:rsidP="00423715">
      <w:r w:rsidRPr="00497728">
        <w:t xml:space="preserve">An analysis of the </w:t>
      </w:r>
      <w:r w:rsidR="003523BA" w:rsidRPr="00497728">
        <w:t xml:space="preserve">material issues </w:t>
      </w:r>
      <w:r w:rsidR="00B15707" w:rsidRPr="00497728">
        <w:t>identified</w:t>
      </w:r>
      <w:r w:rsidR="003523BA" w:rsidRPr="00497728">
        <w:t xml:space="preserve"> through sectoral sustainability </w:t>
      </w:r>
      <w:r w:rsidR="00B15707" w:rsidRPr="00497728">
        <w:t>materiality</w:t>
      </w:r>
      <w:r w:rsidR="003523BA" w:rsidRPr="00497728">
        <w:t xml:space="preserve"> reports </w:t>
      </w:r>
      <w:r w:rsidR="00B15707" w:rsidRPr="00497728">
        <w:t>(</w:t>
      </w:r>
      <w:hyperlink w:anchor="_Material_topics" w:history="1">
        <w:r w:rsidR="00AD6EA4">
          <w:rPr>
            <w:rStyle w:val="Hyperlink"/>
          </w:rPr>
          <w:t>Material topics</w:t>
        </w:r>
      </w:hyperlink>
      <w:r w:rsidR="00B15707" w:rsidRPr="00497728">
        <w:t xml:space="preserve">) </w:t>
      </w:r>
      <w:r w:rsidR="003523BA" w:rsidRPr="00497728">
        <w:t>and what stakeholders</w:t>
      </w:r>
      <w:r w:rsidR="00B15707" w:rsidRPr="00497728">
        <w:t>,</w:t>
      </w:r>
      <w:r w:rsidR="003523BA" w:rsidRPr="00497728">
        <w:t xml:space="preserve"> </w:t>
      </w:r>
      <w:r w:rsidRPr="00497728">
        <w:t>including government and supply chains</w:t>
      </w:r>
      <w:r w:rsidR="00B15707" w:rsidRPr="00497728">
        <w:t>,</w:t>
      </w:r>
      <w:r w:rsidRPr="00497728">
        <w:t xml:space="preserve"> consider critical for sustainability claims</w:t>
      </w:r>
      <w:r w:rsidR="00907E3A" w:rsidRPr="00497728">
        <w:t xml:space="preserve"> </w:t>
      </w:r>
      <w:r w:rsidR="00F651B7" w:rsidRPr="00497728">
        <w:t>(</w:t>
      </w:r>
      <w:hyperlink w:anchor="_Critical_topics_to" w:history="1">
        <w:r w:rsidR="00AD6EA4">
          <w:rPr>
            <w:rStyle w:val="Hyperlink"/>
          </w:rPr>
          <w:t>Critical topics to demonstrating sustainability claims</w:t>
        </w:r>
      </w:hyperlink>
      <w:r w:rsidR="00B15707" w:rsidRPr="00497728">
        <w:t xml:space="preserve">) </w:t>
      </w:r>
      <w:r w:rsidR="00907E3A" w:rsidRPr="00497728">
        <w:t xml:space="preserve">shows areas of </w:t>
      </w:r>
      <w:r w:rsidR="00B15707" w:rsidRPr="00497728">
        <w:t xml:space="preserve">both alignment and </w:t>
      </w:r>
      <w:r w:rsidR="00D038A2" w:rsidRPr="00497728">
        <w:t>differences in focus</w:t>
      </w:r>
      <w:r w:rsidR="00907E3A" w:rsidRPr="00497728">
        <w:t>.</w:t>
      </w:r>
    </w:p>
    <w:p w14:paraId="3471D05E" w14:textId="468BF754" w:rsidR="00423715" w:rsidRPr="00497728" w:rsidRDefault="00014259" w:rsidP="00C05591">
      <w:pPr>
        <w:keepLines/>
      </w:pPr>
      <w:r w:rsidRPr="00497728">
        <w:t>Areas of alignment include:</w:t>
      </w:r>
    </w:p>
    <w:p w14:paraId="0D536DB5" w14:textId="01157D02" w:rsidR="00423715" w:rsidRPr="00497728" w:rsidRDefault="00423715" w:rsidP="00C05591">
      <w:pPr>
        <w:pStyle w:val="ListBullet"/>
        <w:keepLines/>
      </w:pPr>
      <w:r w:rsidRPr="00497728">
        <w:t xml:space="preserve">GHG </w:t>
      </w:r>
      <w:r w:rsidR="00014259" w:rsidRPr="00497728">
        <w:t>e</w:t>
      </w:r>
      <w:r w:rsidRPr="00497728">
        <w:t>missions</w:t>
      </w:r>
      <w:r w:rsidR="00014259" w:rsidRPr="00497728">
        <w:t xml:space="preserve"> </w:t>
      </w:r>
      <w:r w:rsidR="00AA6C11" w:rsidRPr="00497728">
        <w:t>–</w:t>
      </w:r>
      <w:r w:rsidR="00014259" w:rsidRPr="00497728">
        <w:t xml:space="preserve"> </w:t>
      </w:r>
      <w:r w:rsidRPr="00497728">
        <w:t>indicating a shared recognition of the importance of addressing climate impact as a critical element of sustainability.</w:t>
      </w:r>
    </w:p>
    <w:p w14:paraId="54A47E23" w14:textId="6DD9C6A2" w:rsidR="00423715" w:rsidRPr="00497728" w:rsidRDefault="00AD6EA4" w:rsidP="00C05591">
      <w:pPr>
        <w:pStyle w:val="ListBullet"/>
        <w:keepLines/>
      </w:pPr>
      <w:r>
        <w:t>A</w:t>
      </w:r>
      <w:r w:rsidR="00B40F43" w:rsidRPr="00497728">
        <w:t xml:space="preserve">nimal </w:t>
      </w:r>
      <w:r w:rsidR="00014259" w:rsidRPr="00497728">
        <w:t>w</w:t>
      </w:r>
      <w:r w:rsidR="00423715" w:rsidRPr="00497728">
        <w:t>elfare</w:t>
      </w:r>
      <w:r w:rsidR="00014259" w:rsidRPr="00497728">
        <w:t xml:space="preserve"> </w:t>
      </w:r>
      <w:r w:rsidR="008113A2" w:rsidRPr="00497728">
        <w:t>–</w:t>
      </w:r>
      <w:r w:rsidR="00423715" w:rsidRPr="00497728">
        <w:t xml:space="preserve"> </w:t>
      </w:r>
      <w:r w:rsidR="008113A2" w:rsidRPr="00497728">
        <w:t xml:space="preserve">reflecting </w:t>
      </w:r>
      <w:r w:rsidR="00423715" w:rsidRPr="00497728">
        <w:t>its importance in sectors involving animal production.</w:t>
      </w:r>
    </w:p>
    <w:p w14:paraId="1DBA0DA2" w14:textId="56A6379A" w:rsidR="00F734F2" w:rsidRPr="00497728" w:rsidRDefault="00AD6EA4" w:rsidP="00C05591">
      <w:pPr>
        <w:pStyle w:val="ListBullet"/>
        <w:keepLines/>
      </w:pPr>
      <w:r>
        <w:t>B</w:t>
      </w:r>
      <w:r w:rsidR="00B40F43" w:rsidRPr="00497728">
        <w:t xml:space="preserve">iodiversity </w:t>
      </w:r>
      <w:r w:rsidR="00423715" w:rsidRPr="00497728">
        <w:t xml:space="preserve">and </w:t>
      </w:r>
      <w:r w:rsidR="008113A2" w:rsidRPr="00497728">
        <w:t>d</w:t>
      </w:r>
      <w:r w:rsidR="00423715" w:rsidRPr="00497728">
        <w:t>eforestation</w:t>
      </w:r>
      <w:r w:rsidR="008113A2" w:rsidRPr="00497728">
        <w:t xml:space="preserve"> – </w:t>
      </w:r>
      <w:r w:rsidR="00F734F2" w:rsidRPr="00497728">
        <w:t>noting a narrower focus identified by stakeholders compared with materiality assessments.</w:t>
      </w:r>
    </w:p>
    <w:p w14:paraId="4CA6E360" w14:textId="21D245A9" w:rsidR="00973108" w:rsidRPr="00497728" w:rsidRDefault="00AD6EA4" w:rsidP="00C05591">
      <w:pPr>
        <w:pStyle w:val="ListBullet"/>
        <w:keepLines/>
      </w:pPr>
      <w:r>
        <w:t>W</w:t>
      </w:r>
      <w:r w:rsidR="00B40F43" w:rsidRPr="00497728">
        <w:t xml:space="preserve">ater </w:t>
      </w:r>
      <w:r w:rsidR="00F734F2" w:rsidRPr="00497728">
        <w:t>u</w:t>
      </w:r>
      <w:r w:rsidR="00423715" w:rsidRPr="00497728">
        <w:t xml:space="preserve">se and </w:t>
      </w:r>
      <w:r w:rsidR="00F734F2" w:rsidRPr="00497728">
        <w:t>s</w:t>
      </w:r>
      <w:r w:rsidR="00423715" w:rsidRPr="00497728">
        <w:t>ecurity</w:t>
      </w:r>
      <w:r w:rsidR="00F734F2" w:rsidRPr="00497728">
        <w:t xml:space="preserve"> – noting some variation in focus between the</w:t>
      </w:r>
      <w:r>
        <w:t xml:space="preserve"> 2</w:t>
      </w:r>
      <w:r w:rsidR="00973108" w:rsidRPr="00497728">
        <w:t>.</w:t>
      </w:r>
    </w:p>
    <w:p w14:paraId="3F25790E" w14:textId="2F959A4D" w:rsidR="00423715" w:rsidRPr="00497728" w:rsidRDefault="00423715" w:rsidP="006A7683">
      <w:pPr>
        <w:keepNext/>
        <w:keepLines/>
      </w:pPr>
      <w:r w:rsidRPr="00497728">
        <w:lastRenderedPageBreak/>
        <w:t xml:space="preserve">Key </w:t>
      </w:r>
      <w:r w:rsidR="00973108" w:rsidRPr="00497728">
        <w:t>d</w:t>
      </w:r>
      <w:r w:rsidRPr="00497728">
        <w:t>ifferences</w:t>
      </w:r>
      <w:r w:rsidR="00973108" w:rsidRPr="00497728">
        <w:t xml:space="preserve"> include:</w:t>
      </w:r>
    </w:p>
    <w:p w14:paraId="098287A7" w14:textId="1AC72BE1" w:rsidR="00423715" w:rsidRPr="00497728" w:rsidRDefault="00AD6EA4" w:rsidP="00C05591">
      <w:pPr>
        <w:pStyle w:val="ListBullet"/>
        <w:keepLines/>
      </w:pPr>
      <w:r>
        <w:t>W</w:t>
      </w:r>
      <w:r w:rsidR="00926740" w:rsidRPr="00497728">
        <w:t xml:space="preserve">orker </w:t>
      </w:r>
      <w:r w:rsidR="00973108" w:rsidRPr="00497728">
        <w:t>h</w:t>
      </w:r>
      <w:r w:rsidR="00423715" w:rsidRPr="00497728">
        <w:t xml:space="preserve">ealth and </w:t>
      </w:r>
      <w:r w:rsidR="00973108" w:rsidRPr="00497728">
        <w:t>w</w:t>
      </w:r>
      <w:r w:rsidR="00423715" w:rsidRPr="00497728">
        <w:t>ellbeing</w:t>
      </w:r>
      <w:r w:rsidR="006F274A" w:rsidRPr="00497728">
        <w:t xml:space="preserve"> vs </w:t>
      </w:r>
      <w:r w:rsidR="00AA6C11" w:rsidRPr="00497728">
        <w:t>l</w:t>
      </w:r>
      <w:r w:rsidR="00423715" w:rsidRPr="00497728">
        <w:t xml:space="preserve">abour </w:t>
      </w:r>
      <w:r w:rsidR="006F274A" w:rsidRPr="00497728">
        <w:t>c</w:t>
      </w:r>
      <w:r w:rsidR="00423715" w:rsidRPr="00497728">
        <w:t>onditions</w:t>
      </w:r>
      <w:r w:rsidR="006F274A" w:rsidRPr="00497728">
        <w:t xml:space="preserve"> –</w:t>
      </w:r>
      <w:r w:rsidR="00004B54" w:rsidRPr="00497728">
        <w:t xml:space="preserve"> reflecting a difference between </w:t>
      </w:r>
      <w:r w:rsidR="00423715" w:rsidRPr="00497728">
        <w:t>ensuring a safe and healthy workplace environment</w:t>
      </w:r>
      <w:r w:rsidR="00004B54" w:rsidRPr="00497728">
        <w:t xml:space="preserve"> (materiality assessments) compared with </w:t>
      </w:r>
      <w:r w:rsidR="00423715" w:rsidRPr="00497728">
        <w:t>a broader concern with ethical labo</w:t>
      </w:r>
      <w:r w:rsidR="00665EBA" w:rsidRPr="00497728">
        <w:t>u</w:t>
      </w:r>
      <w:r w:rsidR="00423715" w:rsidRPr="00497728">
        <w:t>r practices, such as preventing exploitation and ensuring fair treatment</w:t>
      </w:r>
      <w:r w:rsidR="00004B54" w:rsidRPr="00497728">
        <w:t xml:space="preserve"> (stakeholders)</w:t>
      </w:r>
      <w:r w:rsidR="00423715" w:rsidRPr="00497728">
        <w:t>.</w:t>
      </w:r>
    </w:p>
    <w:p w14:paraId="40944E64" w14:textId="65EB1527" w:rsidR="00423715" w:rsidRPr="00497728" w:rsidRDefault="00AD6EA4" w:rsidP="00C05591">
      <w:pPr>
        <w:pStyle w:val="ListBullet"/>
        <w:keepLines/>
      </w:pPr>
      <w:r>
        <w:t>S</w:t>
      </w:r>
      <w:r w:rsidR="00926740" w:rsidRPr="00497728">
        <w:t xml:space="preserve">oil </w:t>
      </w:r>
      <w:r w:rsidR="00513627" w:rsidRPr="00497728">
        <w:t>h</w:t>
      </w:r>
      <w:r w:rsidR="00423715" w:rsidRPr="00497728">
        <w:t>ealth</w:t>
      </w:r>
      <w:r w:rsidR="00513627" w:rsidRPr="00497728">
        <w:t xml:space="preserve"> </w:t>
      </w:r>
      <w:r w:rsidR="00AA6C11" w:rsidRPr="00497728">
        <w:t>–</w:t>
      </w:r>
      <w:r w:rsidR="00423715" w:rsidRPr="00497728">
        <w:t xml:space="preserve"> indicating its importance in the agriculture sector's view of sustainability</w:t>
      </w:r>
      <w:r w:rsidR="00513627" w:rsidRPr="00497728">
        <w:t xml:space="preserve"> (from materiality assessments) but </w:t>
      </w:r>
      <w:r w:rsidR="00423715" w:rsidRPr="00497728">
        <w:t>suggesting that stakeholders</w:t>
      </w:r>
      <w:r w:rsidR="00D13E7D" w:rsidRPr="00497728">
        <w:t>,</w:t>
      </w:r>
      <w:r w:rsidR="00423715" w:rsidRPr="00497728">
        <w:t xml:space="preserve"> like governments and supply chains</w:t>
      </w:r>
      <w:r w:rsidR="00665EBA" w:rsidRPr="00497728">
        <w:t>,</w:t>
      </w:r>
      <w:r w:rsidR="00423715" w:rsidRPr="00497728">
        <w:t xml:space="preserve"> might prioriti</w:t>
      </w:r>
      <w:r w:rsidR="00513627" w:rsidRPr="00497728">
        <w:t>s</w:t>
      </w:r>
      <w:r w:rsidR="00423715" w:rsidRPr="00497728">
        <w:t>e other environmental impacts over this aspect.</w:t>
      </w:r>
    </w:p>
    <w:p w14:paraId="150C9460" w14:textId="06975EC6" w:rsidR="00423715" w:rsidRPr="00497728" w:rsidRDefault="00AD6EA4" w:rsidP="00C05591">
      <w:pPr>
        <w:pStyle w:val="ListBullet"/>
        <w:keepLines/>
      </w:pPr>
      <w:r>
        <w:t>C</w:t>
      </w:r>
      <w:r w:rsidR="00926740" w:rsidRPr="00497728">
        <w:t xml:space="preserve">hemical </w:t>
      </w:r>
      <w:r w:rsidR="00513627" w:rsidRPr="00497728">
        <w:t>u</w:t>
      </w:r>
      <w:r w:rsidR="00423715" w:rsidRPr="00497728">
        <w:t>se</w:t>
      </w:r>
      <w:r w:rsidR="00513627" w:rsidRPr="00497728">
        <w:t xml:space="preserve"> </w:t>
      </w:r>
      <w:r w:rsidR="00AA6C11" w:rsidRPr="00497728">
        <w:t>–</w:t>
      </w:r>
      <w:r w:rsidR="00423715" w:rsidRPr="00497728">
        <w:t xml:space="preserve"> </w:t>
      </w:r>
      <w:r w:rsidR="008E0E63" w:rsidRPr="00497728">
        <w:t>suggesting</w:t>
      </w:r>
      <w:r w:rsidR="00423715" w:rsidRPr="00497728">
        <w:t xml:space="preserve"> that stakeholders place a significant emphasis on reducing chemical inputs</w:t>
      </w:r>
      <w:r w:rsidR="00AA6C11" w:rsidRPr="00497728">
        <w:t>. L</w:t>
      </w:r>
      <w:r w:rsidR="00423715" w:rsidRPr="00497728">
        <w:t>ikely due to concerns over environmental and human health impacts.</w:t>
      </w:r>
    </w:p>
    <w:p w14:paraId="58A3582D" w14:textId="781B9117" w:rsidR="00423715" w:rsidRPr="00497728" w:rsidRDefault="00AD6EA4" w:rsidP="00C05591">
      <w:pPr>
        <w:pStyle w:val="ListBullet"/>
        <w:keepLines/>
      </w:pPr>
      <w:r>
        <w:t>b</w:t>
      </w:r>
      <w:r w:rsidR="00926740" w:rsidRPr="00497728">
        <w:t xml:space="preserve">iosecurity </w:t>
      </w:r>
      <w:r w:rsidR="00AA6C11" w:rsidRPr="00497728">
        <w:t>–</w:t>
      </w:r>
      <w:r w:rsidR="009E2FF7" w:rsidRPr="00497728">
        <w:t xml:space="preserve"> </w:t>
      </w:r>
      <w:r w:rsidR="00423715" w:rsidRPr="00497728">
        <w:t>reflecting its importance for sectors vulnerable to diseases and pests</w:t>
      </w:r>
      <w:r w:rsidR="009E2FF7" w:rsidRPr="00497728">
        <w:t xml:space="preserve"> but possibly suggesting that </w:t>
      </w:r>
      <w:r w:rsidR="00423715" w:rsidRPr="00497728">
        <w:t>stakeholders may see it as less central to sustainability claims or more as a sector-specific issue</w:t>
      </w:r>
      <w:r w:rsidR="009E2FF7" w:rsidRPr="00497728">
        <w:t xml:space="preserve"> or</w:t>
      </w:r>
      <w:r w:rsidR="00184744" w:rsidRPr="00497728">
        <w:t>,</w:t>
      </w:r>
      <w:r w:rsidR="009E2FF7" w:rsidRPr="00497728">
        <w:t xml:space="preserve"> </w:t>
      </w:r>
      <w:r w:rsidR="00BE1C71" w:rsidRPr="00497728">
        <w:t>potentially</w:t>
      </w:r>
      <w:r w:rsidR="00184744" w:rsidRPr="00497728">
        <w:t>,</w:t>
      </w:r>
      <w:r w:rsidR="009E2FF7" w:rsidRPr="00497728">
        <w:t xml:space="preserve"> </w:t>
      </w:r>
      <w:r w:rsidR="00184744" w:rsidRPr="00497728">
        <w:t xml:space="preserve">indicating </w:t>
      </w:r>
      <w:r w:rsidR="009E2FF7" w:rsidRPr="00497728">
        <w:t xml:space="preserve">an implicit expectation of trading with Australia given its </w:t>
      </w:r>
      <w:r w:rsidR="00BE1C71" w:rsidRPr="00497728">
        <w:t>historical and enduring focus</w:t>
      </w:r>
      <w:r w:rsidR="00184744" w:rsidRPr="00497728">
        <w:t xml:space="preserve"> on</w:t>
      </w:r>
      <w:r w:rsidR="00BE1C71" w:rsidRPr="00497728">
        <w:t xml:space="preserve"> biosecurity as an island nation</w:t>
      </w:r>
      <w:r w:rsidR="00423715" w:rsidRPr="00497728">
        <w:t>.</w:t>
      </w:r>
    </w:p>
    <w:p w14:paraId="5945B2A3" w14:textId="549A2447" w:rsidR="00423715" w:rsidRPr="00497728" w:rsidRDefault="00AD6EA4" w:rsidP="00C05591">
      <w:pPr>
        <w:pStyle w:val="ListBullet"/>
        <w:keepLines/>
      </w:pPr>
      <w:r>
        <w:t>c</w:t>
      </w:r>
      <w:r w:rsidR="00926740" w:rsidRPr="00497728">
        <w:t xml:space="preserve">limate </w:t>
      </w:r>
      <w:r w:rsidR="00BE1C71" w:rsidRPr="00497728">
        <w:t>change adaptation and resilience</w:t>
      </w:r>
      <w:r w:rsidR="00A25DA1" w:rsidRPr="00497728">
        <w:t xml:space="preserve"> – representing a focus by industry on </w:t>
      </w:r>
      <w:r w:rsidR="00423715" w:rsidRPr="00497728">
        <w:t>preparing for and adapting to climate impacts</w:t>
      </w:r>
      <w:r w:rsidR="00AE7B5D" w:rsidRPr="00497728">
        <w:t xml:space="preserve">, whereas stakeholders may focus more on </w:t>
      </w:r>
      <w:r w:rsidR="00423715" w:rsidRPr="00497728">
        <w:t>emissions reduction.</w:t>
      </w:r>
    </w:p>
    <w:p w14:paraId="5DE12E3E" w14:textId="37F23E57" w:rsidR="00423715" w:rsidRPr="00497728" w:rsidRDefault="00423715" w:rsidP="00423715">
      <w:r w:rsidRPr="00497728">
        <w:t>The shared focus on GHG emissions, animal welfare, water use</w:t>
      </w:r>
      <w:r w:rsidR="00044FA4" w:rsidRPr="00497728">
        <w:t>,</w:t>
      </w:r>
      <w:r w:rsidRPr="00497728">
        <w:t xml:space="preserve"> </w:t>
      </w:r>
      <w:r w:rsidR="00383349" w:rsidRPr="00497728">
        <w:t xml:space="preserve">biodiversity </w:t>
      </w:r>
      <w:r w:rsidRPr="00497728">
        <w:t xml:space="preserve">and deforestation indicates strong alignment between stakeholders on key environmental and ethical concerns, suggesting these areas </w:t>
      </w:r>
      <w:r w:rsidR="00B93267" w:rsidRPr="00497728">
        <w:t>may</w:t>
      </w:r>
      <w:r w:rsidRPr="00497728">
        <w:t xml:space="preserve"> be central to sustainability reporting and claims.</w:t>
      </w:r>
    </w:p>
    <w:p w14:paraId="7C849602" w14:textId="062EB602" w:rsidR="00461680" w:rsidRPr="00497728" w:rsidRDefault="00705614" w:rsidP="00705614">
      <w:pPr>
        <w:pStyle w:val="BoxText"/>
      </w:pPr>
      <w:r w:rsidRPr="00497728">
        <w:rPr>
          <w:b/>
          <w:bCs/>
        </w:rPr>
        <w:t>Consultation question</w:t>
      </w:r>
      <w:r w:rsidR="007E61D2" w:rsidRPr="00497728">
        <w:rPr>
          <w:b/>
          <w:bCs/>
        </w:rPr>
        <w:t xml:space="preserve"> </w:t>
      </w:r>
      <w:r w:rsidR="00770DBE" w:rsidRPr="00497728">
        <w:rPr>
          <w:b/>
          <w:bCs/>
        </w:rPr>
        <w:t>6</w:t>
      </w:r>
      <w:r w:rsidRPr="00497728">
        <w:rPr>
          <w:b/>
          <w:bCs/>
        </w:rPr>
        <w:t>:</w:t>
      </w:r>
      <w:r w:rsidRPr="00497728">
        <w:t xml:space="preserve"> </w:t>
      </w:r>
      <w:r w:rsidR="006D1122" w:rsidRPr="00497728">
        <w:t xml:space="preserve">Do you agree </w:t>
      </w:r>
      <w:r w:rsidR="00A14FEC" w:rsidRPr="00497728">
        <w:t>that</w:t>
      </w:r>
      <w:r w:rsidR="006D1122" w:rsidRPr="00497728">
        <w:t xml:space="preserve"> the </w:t>
      </w:r>
      <w:r w:rsidR="00181098" w:rsidRPr="00497728">
        <w:t xml:space="preserve">topics </w:t>
      </w:r>
      <w:r w:rsidR="00B64D3D" w:rsidRPr="00497728">
        <w:t xml:space="preserve">listed in </w:t>
      </w:r>
      <w:hyperlink w:anchor="_Critical_topics_to" w:history="1">
        <w:r w:rsidR="00B64D3D" w:rsidRPr="00AD6EA4">
          <w:rPr>
            <w:rStyle w:val="Hyperlink"/>
          </w:rPr>
          <w:t>section</w:t>
        </w:r>
        <w:r w:rsidR="00AD6EA4" w:rsidRPr="00AD6EA4">
          <w:rPr>
            <w:rStyle w:val="Hyperlink"/>
          </w:rPr>
          <w:t xml:space="preserve"> 3.2</w:t>
        </w:r>
      </w:hyperlink>
      <w:r w:rsidR="00542B4C" w:rsidRPr="00497728">
        <w:t xml:space="preserve"> </w:t>
      </w:r>
      <w:r w:rsidR="00A14FEC" w:rsidRPr="00497728">
        <w:t>are</w:t>
      </w:r>
      <w:r w:rsidR="00181098" w:rsidRPr="00497728">
        <w:t xml:space="preserve"> critical </w:t>
      </w:r>
      <w:r w:rsidR="00A14FEC" w:rsidRPr="00497728">
        <w:t>for</w:t>
      </w:r>
      <w:r w:rsidR="00181098" w:rsidRPr="00497728">
        <w:t xml:space="preserve"> demonstrating sustainability claims across all markets?</w:t>
      </w:r>
    </w:p>
    <w:p w14:paraId="4DA0A7CF" w14:textId="01325C11" w:rsidR="00D01005" w:rsidRDefault="00461680" w:rsidP="00705614">
      <w:pPr>
        <w:pStyle w:val="BoxText"/>
      </w:pPr>
      <w:r w:rsidRPr="00497728">
        <w:rPr>
          <w:b/>
          <w:bCs/>
        </w:rPr>
        <w:t>Consultation question 6</w:t>
      </w:r>
      <w:r w:rsidR="00BB75B4" w:rsidRPr="00497728">
        <w:rPr>
          <w:b/>
          <w:bCs/>
        </w:rPr>
        <w:t>a</w:t>
      </w:r>
      <w:r w:rsidRPr="00497728">
        <w:rPr>
          <w:b/>
          <w:bCs/>
        </w:rPr>
        <w:t xml:space="preserve">: </w:t>
      </w:r>
      <w:r w:rsidR="00D01005" w:rsidRPr="00497728">
        <w:t>W</w:t>
      </w:r>
      <w:r w:rsidR="001F42EE" w:rsidRPr="00497728">
        <w:t>hat</w:t>
      </w:r>
      <w:r w:rsidR="00017F90" w:rsidRPr="00497728">
        <w:t xml:space="preserve"> other topics would </w:t>
      </w:r>
      <w:r w:rsidR="00D01005" w:rsidRPr="00497728">
        <w:t>you consider to be critical for demonstrating sustainability claims?</w:t>
      </w:r>
    </w:p>
    <w:p w14:paraId="7162E637" w14:textId="2AC31B06" w:rsidR="00B445B2" w:rsidRPr="00C92D8C" w:rsidRDefault="00211A4E" w:rsidP="00497728">
      <w:pPr>
        <w:pStyle w:val="BoxText"/>
      </w:pPr>
      <w:r>
        <w:t xml:space="preserve">Please include in your response which markets and/or sectors </w:t>
      </w:r>
      <w:r w:rsidR="00C92D8C">
        <w:t>these topics apply to.</w:t>
      </w:r>
    </w:p>
    <w:p w14:paraId="54DB1262" w14:textId="6ED4B64F" w:rsidR="00F05883" w:rsidRPr="00497728" w:rsidRDefault="00F05883" w:rsidP="00555583">
      <w:pPr>
        <w:pStyle w:val="Heading3"/>
      </w:pPr>
      <w:bookmarkStart w:id="53" w:name="_Toc183182235"/>
      <w:r w:rsidRPr="00497728">
        <w:t>Approaches to demonstrating sustainability claims</w:t>
      </w:r>
      <w:bookmarkEnd w:id="53"/>
    </w:p>
    <w:p w14:paraId="71AA0D24" w14:textId="7D27FFB2" w:rsidR="00821E4C" w:rsidRPr="00497728" w:rsidRDefault="00D34795" w:rsidP="00727C76">
      <w:r w:rsidRPr="00497728">
        <w:t xml:space="preserve">Part 2 of </w:t>
      </w:r>
      <w:hyperlink w:anchor="_Phase_1" w:history="1">
        <w:r w:rsidRPr="00AD6EA4">
          <w:rPr>
            <w:rStyle w:val="Hyperlink"/>
          </w:rPr>
          <w:t>Phase 1</w:t>
        </w:r>
      </w:hyperlink>
      <w:r w:rsidRPr="00497728">
        <w:t xml:space="preserve"> will identify </w:t>
      </w:r>
      <w:r w:rsidR="00843D75" w:rsidRPr="00497728">
        <w:t>current and emerging assurance approaches in</w:t>
      </w:r>
      <w:r w:rsidR="00821E4C" w:rsidRPr="00497728">
        <w:t xml:space="preserve"> Australia and internationally that demonstrate evidence-based sustainability claims</w:t>
      </w:r>
      <w:r w:rsidR="00AD6EA4">
        <w:t>,</w:t>
      </w:r>
      <w:r w:rsidR="00821E4C" w:rsidRPr="00497728">
        <w:t xml:space="preserve"> including:</w:t>
      </w:r>
    </w:p>
    <w:p w14:paraId="23C71A89" w14:textId="30D0AB6A" w:rsidR="00821E4C" w:rsidRPr="00497728" w:rsidRDefault="00821E4C" w:rsidP="00981FA7">
      <w:pPr>
        <w:pStyle w:val="ListBullet"/>
      </w:pPr>
      <w:r w:rsidRPr="00497728">
        <w:t>requirements, standards and nomenclature</w:t>
      </w:r>
    </w:p>
    <w:p w14:paraId="2851C85F" w14:textId="504CD56D" w:rsidR="00821E4C" w:rsidRPr="00497728" w:rsidRDefault="00821E4C" w:rsidP="00981FA7">
      <w:pPr>
        <w:pStyle w:val="ListBullet"/>
      </w:pPr>
      <w:r w:rsidRPr="00497728">
        <w:t>governance and reporting arrangements</w:t>
      </w:r>
    </w:p>
    <w:p w14:paraId="6480ACBE" w14:textId="2EA4A139" w:rsidR="00821E4C" w:rsidRPr="00497728" w:rsidRDefault="00821E4C" w:rsidP="00981FA7">
      <w:pPr>
        <w:pStyle w:val="ListBullet"/>
      </w:pPr>
      <w:r w:rsidRPr="00497728">
        <w:t>methods used for verifying or assuring claims (e.g. first- or third-party)</w:t>
      </w:r>
    </w:p>
    <w:p w14:paraId="376FD2C2" w14:textId="7CC9CD63" w:rsidR="00821E4C" w:rsidRPr="00497728" w:rsidRDefault="00821E4C" w:rsidP="00981FA7">
      <w:pPr>
        <w:pStyle w:val="ListBullet"/>
      </w:pPr>
      <w:r w:rsidRPr="00497728">
        <w:t>evidence relied upon when verifying claims</w:t>
      </w:r>
    </w:p>
    <w:p w14:paraId="57F53F3B" w14:textId="64D94C51" w:rsidR="00821E4C" w:rsidRPr="00497728" w:rsidRDefault="00821E4C" w:rsidP="00981FA7">
      <w:pPr>
        <w:pStyle w:val="ListBullet"/>
      </w:pPr>
      <w:r w:rsidRPr="00497728">
        <w:t>technology platforms utilised for verification or reporting activities</w:t>
      </w:r>
    </w:p>
    <w:p w14:paraId="7687A3B4" w14:textId="7F51BB47" w:rsidR="00821E4C" w:rsidRPr="00497728" w:rsidRDefault="00821E4C" w:rsidP="00981FA7">
      <w:pPr>
        <w:pStyle w:val="ListBullet"/>
      </w:pPr>
      <w:r w:rsidRPr="00497728">
        <w:t>existing and emerging data sets (or information) utilised as evidence for claims</w:t>
      </w:r>
    </w:p>
    <w:p w14:paraId="66717FBB" w14:textId="77777777" w:rsidR="0088600D" w:rsidRDefault="00821E4C" w:rsidP="00981FA7">
      <w:pPr>
        <w:pStyle w:val="ListBullet"/>
      </w:pPr>
      <w:r w:rsidRPr="00497728">
        <w:lastRenderedPageBreak/>
        <w:t>key data points (which may include synthesising sustainability reporting requirements into key data points)</w:t>
      </w:r>
    </w:p>
    <w:p w14:paraId="39A2DB50" w14:textId="124B1BAD" w:rsidR="00821E4C" w:rsidRPr="00497728" w:rsidRDefault="00821E4C" w:rsidP="00981FA7">
      <w:pPr>
        <w:pStyle w:val="ListBullet"/>
      </w:pPr>
      <w:r w:rsidRPr="00497728">
        <w:t xml:space="preserve">applicable </w:t>
      </w:r>
      <w:r w:rsidR="00200BC8" w:rsidRPr="00497728">
        <w:t>sectors</w:t>
      </w:r>
    </w:p>
    <w:p w14:paraId="37C45ABD" w14:textId="77777777" w:rsidR="00821E4C" w:rsidRPr="00497728" w:rsidRDefault="00821E4C" w:rsidP="00981FA7">
      <w:pPr>
        <w:pStyle w:val="ListBullet"/>
      </w:pPr>
      <w:r w:rsidRPr="00497728">
        <w:t>benefits, risks and opportunities including those related to maintaining and growing market access and reducing or increasing compliance burden.</w:t>
      </w:r>
    </w:p>
    <w:p w14:paraId="47C49D1A" w14:textId="157037F5" w:rsidR="00672A29" w:rsidRDefault="00843D75" w:rsidP="00843D75">
      <w:pPr>
        <w:pStyle w:val="BoxText"/>
      </w:pPr>
      <w:r w:rsidRPr="00497728">
        <w:rPr>
          <w:b/>
          <w:bCs/>
        </w:rPr>
        <w:t>Consultation question</w:t>
      </w:r>
      <w:r w:rsidR="00964155" w:rsidRPr="00497728">
        <w:rPr>
          <w:b/>
          <w:bCs/>
        </w:rPr>
        <w:t xml:space="preserve"> </w:t>
      </w:r>
      <w:r w:rsidR="00770DBE" w:rsidRPr="00497728">
        <w:rPr>
          <w:b/>
          <w:bCs/>
        </w:rPr>
        <w:t>7</w:t>
      </w:r>
      <w:r w:rsidRPr="00497728">
        <w:rPr>
          <w:b/>
          <w:bCs/>
        </w:rPr>
        <w:t>:</w:t>
      </w:r>
      <w:r w:rsidRPr="00497728">
        <w:t xml:space="preserve"> Are you aware of any current or emerging </w:t>
      </w:r>
      <w:r w:rsidR="00D84B4C" w:rsidRPr="00497728">
        <w:t xml:space="preserve">approaches to demonstrating </w:t>
      </w:r>
      <w:r w:rsidR="00990FEF" w:rsidRPr="00497728">
        <w:t xml:space="preserve">evidence-based </w:t>
      </w:r>
      <w:r w:rsidR="00D84B4C" w:rsidRPr="00497728">
        <w:t xml:space="preserve">sustainability claims that should be considered in the next </w:t>
      </w:r>
      <w:r w:rsidR="00070249">
        <w:t>phase</w:t>
      </w:r>
      <w:r w:rsidR="00D84B4C" w:rsidRPr="00497728">
        <w:t xml:space="preserve"> of this project</w:t>
      </w:r>
      <w:r w:rsidR="00964155" w:rsidRPr="00497728">
        <w:t xml:space="preserve"> (that are within scope)</w:t>
      </w:r>
      <w:r w:rsidRPr="00497728">
        <w:t>?</w:t>
      </w:r>
      <w:r w:rsidR="00D84B4C" w:rsidRPr="00497728">
        <w:t xml:space="preserve"> </w:t>
      </w:r>
    </w:p>
    <w:p w14:paraId="732CA044" w14:textId="306EBD7A" w:rsidR="00843D75" w:rsidRPr="00497728" w:rsidRDefault="00672A29" w:rsidP="00843D75">
      <w:pPr>
        <w:pStyle w:val="BoxText"/>
      </w:pPr>
      <w:r w:rsidRPr="00497728">
        <w:rPr>
          <w:b/>
          <w:bCs/>
        </w:rPr>
        <w:t xml:space="preserve">Consultation question </w:t>
      </w:r>
      <w:r>
        <w:rPr>
          <w:b/>
          <w:bCs/>
        </w:rPr>
        <w:t>7</w:t>
      </w:r>
      <w:r w:rsidRPr="009B5DBB">
        <w:rPr>
          <w:b/>
          <w:bCs/>
        </w:rPr>
        <w:t>a</w:t>
      </w:r>
      <w:r w:rsidRPr="00497728">
        <w:rPr>
          <w:b/>
          <w:bCs/>
        </w:rPr>
        <w:t>:</w:t>
      </w:r>
      <w:r w:rsidRPr="00497728">
        <w:t xml:space="preserve"> </w:t>
      </w:r>
      <w:r>
        <w:t>P</w:t>
      </w:r>
      <w:r w:rsidR="00D84B4C" w:rsidRPr="00497728">
        <w:t xml:space="preserve">lease provide details including a link to further information, or the contact details for </w:t>
      </w:r>
      <w:r w:rsidR="007551FB" w:rsidRPr="00497728">
        <w:t>the entity responsible so we may reach out to them.</w:t>
      </w:r>
    </w:p>
    <w:p w14:paraId="0801C6E5" w14:textId="7B260934" w:rsidR="00DD6E56" w:rsidRPr="00497728" w:rsidRDefault="00EF7EEA" w:rsidP="00843D75">
      <w:pPr>
        <w:pStyle w:val="BoxText"/>
      </w:pPr>
      <w:r w:rsidRPr="00497728">
        <w:rPr>
          <w:b/>
          <w:bCs/>
        </w:rPr>
        <w:t>Consultation question</w:t>
      </w:r>
      <w:r w:rsidR="00964155" w:rsidRPr="00497728">
        <w:rPr>
          <w:b/>
          <w:bCs/>
        </w:rPr>
        <w:t xml:space="preserve"> </w:t>
      </w:r>
      <w:r w:rsidR="00770DBE" w:rsidRPr="00497728">
        <w:rPr>
          <w:b/>
          <w:bCs/>
        </w:rPr>
        <w:t>8</w:t>
      </w:r>
      <w:r w:rsidRPr="00497728">
        <w:rPr>
          <w:b/>
          <w:bCs/>
        </w:rPr>
        <w:t>:</w:t>
      </w:r>
      <w:r w:rsidRPr="00497728">
        <w:t xml:space="preserve"> What challenges do Australian agricultural sectors face in providing the necessary evidence to satisfy international market demands</w:t>
      </w:r>
      <w:r w:rsidR="00A91454" w:rsidRPr="00497728">
        <w:t>?</w:t>
      </w:r>
    </w:p>
    <w:p w14:paraId="5227B528" w14:textId="6EE4960E" w:rsidR="007E493C" w:rsidRPr="00497728" w:rsidRDefault="00DD6E56" w:rsidP="00843D75">
      <w:pPr>
        <w:pStyle w:val="BoxText"/>
      </w:pPr>
      <w:r w:rsidRPr="00497728">
        <w:rPr>
          <w:b/>
          <w:bCs/>
        </w:rPr>
        <w:t xml:space="preserve">Consultation question </w:t>
      </w:r>
      <w:r w:rsidRPr="009B5DBB">
        <w:rPr>
          <w:b/>
          <w:bCs/>
        </w:rPr>
        <w:t>8a</w:t>
      </w:r>
      <w:r w:rsidRPr="00497728">
        <w:rPr>
          <w:b/>
          <w:bCs/>
        </w:rPr>
        <w:t>:</w:t>
      </w:r>
      <w:r w:rsidRPr="00497728">
        <w:t xml:space="preserve"> H</w:t>
      </w:r>
      <w:r w:rsidR="00EF7EEA" w:rsidRPr="00497728">
        <w:t>ow can these challenges be overcome to ensure market access?</w:t>
      </w:r>
    </w:p>
    <w:p w14:paraId="4D5DC7C8" w14:textId="45F86B8B" w:rsidR="00E21661" w:rsidRPr="00497728" w:rsidRDefault="00FE7A52" w:rsidP="00555583">
      <w:pPr>
        <w:pStyle w:val="Heading3"/>
      </w:pPr>
      <w:bookmarkStart w:id="54" w:name="_Toc183182236"/>
      <w:r w:rsidRPr="00497728">
        <w:t>Verifying</w:t>
      </w:r>
      <w:r w:rsidR="00E21661" w:rsidRPr="00497728">
        <w:t xml:space="preserve"> sustainability claims</w:t>
      </w:r>
      <w:r w:rsidR="00A937C7" w:rsidRPr="00497728">
        <w:t xml:space="preserve"> with data</w:t>
      </w:r>
      <w:bookmarkEnd w:id="54"/>
    </w:p>
    <w:p w14:paraId="47D632D5" w14:textId="3EC7E91F" w:rsidR="00EF7EEA" w:rsidRPr="00497728" w:rsidRDefault="00EF7EEA" w:rsidP="00727C76">
      <w:r w:rsidRPr="00497728">
        <w:t xml:space="preserve">Part 2 of </w:t>
      </w:r>
      <w:hyperlink w:anchor="_Phase_1" w:history="1">
        <w:r w:rsidRPr="00AD6EA4">
          <w:rPr>
            <w:rStyle w:val="Hyperlink"/>
          </w:rPr>
          <w:t>Phase 1</w:t>
        </w:r>
      </w:hyperlink>
      <w:r w:rsidRPr="00497728">
        <w:t xml:space="preserve"> will </w:t>
      </w:r>
      <w:r w:rsidR="007E0014" w:rsidRPr="00497728">
        <w:t xml:space="preserve">also </w:t>
      </w:r>
      <w:r w:rsidRPr="00497728">
        <w:t>a</w:t>
      </w:r>
      <w:r w:rsidR="00555583" w:rsidRPr="00497728">
        <w:t>ssess key data points or datasets that lend themselves to the verification of sustainability claims or identify where reporting requirements may need to be synthesised into key data points or datasets to address any gaps.</w:t>
      </w:r>
    </w:p>
    <w:p w14:paraId="08AD08E7" w14:textId="6A97D209" w:rsidR="002162D3" w:rsidRPr="00497728" w:rsidRDefault="00EF7EEA" w:rsidP="002162D3">
      <w:pPr>
        <w:pStyle w:val="BoxText"/>
      </w:pPr>
      <w:r w:rsidRPr="00497728">
        <w:rPr>
          <w:b/>
          <w:bCs/>
        </w:rPr>
        <w:t>Consultation question</w:t>
      </w:r>
      <w:r w:rsidR="00964155" w:rsidRPr="00497728">
        <w:rPr>
          <w:b/>
          <w:bCs/>
        </w:rPr>
        <w:t xml:space="preserve"> </w:t>
      </w:r>
      <w:r w:rsidR="00770DBE" w:rsidRPr="00497728">
        <w:rPr>
          <w:b/>
          <w:bCs/>
        </w:rPr>
        <w:t>9</w:t>
      </w:r>
      <w:r w:rsidRPr="00497728">
        <w:rPr>
          <w:b/>
          <w:bCs/>
        </w:rPr>
        <w:t>:</w:t>
      </w:r>
      <w:r w:rsidR="00A14581" w:rsidRPr="00497728">
        <w:t xml:space="preserve"> </w:t>
      </w:r>
      <w:r w:rsidR="002162D3" w:rsidRPr="00497728">
        <w:t xml:space="preserve">What existing datasets </w:t>
      </w:r>
      <w:r w:rsidR="007E0014" w:rsidRPr="00497728">
        <w:t xml:space="preserve">are you aware of that </w:t>
      </w:r>
      <w:r w:rsidR="002162D3" w:rsidRPr="00497728">
        <w:t xml:space="preserve">can be </w:t>
      </w:r>
      <w:r w:rsidR="00023D5C">
        <w:t>used</w:t>
      </w:r>
      <w:r w:rsidR="002162D3" w:rsidRPr="00497728">
        <w:t xml:space="preserve"> to support sustainability claims?</w:t>
      </w:r>
    </w:p>
    <w:p w14:paraId="17143653" w14:textId="796CCB89" w:rsidR="002162D3" w:rsidRDefault="002162D3" w:rsidP="002162D3">
      <w:pPr>
        <w:pStyle w:val="BoxText"/>
      </w:pPr>
      <w:r w:rsidRPr="00497728">
        <w:rPr>
          <w:b/>
          <w:bCs/>
        </w:rPr>
        <w:t>Consultation question</w:t>
      </w:r>
      <w:r w:rsidR="00964155" w:rsidRPr="00497728">
        <w:rPr>
          <w:b/>
          <w:bCs/>
        </w:rPr>
        <w:t xml:space="preserve"> 1</w:t>
      </w:r>
      <w:r w:rsidR="00770DBE" w:rsidRPr="00497728">
        <w:rPr>
          <w:b/>
          <w:bCs/>
        </w:rPr>
        <w:t>0</w:t>
      </w:r>
      <w:r w:rsidRPr="00497728">
        <w:rPr>
          <w:b/>
          <w:bCs/>
        </w:rPr>
        <w:t>:</w:t>
      </w:r>
      <w:r w:rsidRPr="00497728">
        <w:t xml:space="preserve"> Are there industry-specific datasets that should be prioritised?</w:t>
      </w:r>
    </w:p>
    <w:p w14:paraId="6A469638" w14:textId="1C649214" w:rsidR="0095258B" w:rsidRPr="00497728" w:rsidRDefault="0095258B" w:rsidP="002162D3">
      <w:pPr>
        <w:pStyle w:val="BoxText"/>
      </w:pPr>
      <w:r w:rsidRPr="0095258B">
        <w:rPr>
          <w:b/>
          <w:bCs/>
        </w:rPr>
        <w:t>Consultation question 10a:</w:t>
      </w:r>
      <w:r>
        <w:t xml:space="preserve"> Which</w:t>
      </w:r>
      <w:r w:rsidRPr="00497728">
        <w:t xml:space="preserve"> industry-specific datasets should be prioritised</w:t>
      </w:r>
      <w:r>
        <w:t>?</w:t>
      </w:r>
    </w:p>
    <w:p w14:paraId="1E5B9D64" w14:textId="5D570088" w:rsidR="002162D3" w:rsidRPr="00497728" w:rsidRDefault="002162D3" w:rsidP="002162D3">
      <w:pPr>
        <w:pStyle w:val="BoxText"/>
      </w:pPr>
      <w:r w:rsidRPr="00497728">
        <w:rPr>
          <w:b/>
          <w:bCs/>
        </w:rPr>
        <w:t>Consultation question</w:t>
      </w:r>
      <w:r w:rsidR="00964155" w:rsidRPr="00497728">
        <w:rPr>
          <w:b/>
          <w:bCs/>
        </w:rPr>
        <w:t xml:space="preserve"> 1</w:t>
      </w:r>
      <w:r w:rsidR="00770DBE" w:rsidRPr="00497728">
        <w:rPr>
          <w:b/>
          <w:bCs/>
        </w:rPr>
        <w:t>1</w:t>
      </w:r>
      <w:r w:rsidRPr="00497728">
        <w:rPr>
          <w:b/>
          <w:bCs/>
        </w:rPr>
        <w:t>:</w:t>
      </w:r>
      <w:r w:rsidRPr="00497728">
        <w:t xml:space="preserve"> </w:t>
      </w:r>
      <w:r w:rsidR="00023D5C">
        <w:t xml:space="preserve">In what ways </w:t>
      </w:r>
      <w:r w:rsidRPr="00497728">
        <w:t xml:space="preserve">can existing data collection processes be </w:t>
      </w:r>
      <w:r w:rsidR="00023D5C">
        <w:t>improved</w:t>
      </w:r>
      <w:r w:rsidRPr="00497728">
        <w:t xml:space="preserve"> to support </w:t>
      </w:r>
      <w:r w:rsidR="00023D5C">
        <w:t>strong</w:t>
      </w:r>
      <w:r w:rsidRPr="00497728">
        <w:t xml:space="preserve"> and credible sustainability claims </w:t>
      </w:r>
      <w:r w:rsidR="00023D5C">
        <w:t>(</w:t>
      </w:r>
      <w:r w:rsidRPr="00497728">
        <w:t>without adding significant workload to farmers and supply chain actors</w:t>
      </w:r>
      <w:r w:rsidR="00023D5C">
        <w:t>)</w:t>
      </w:r>
      <w:r w:rsidRPr="00497728">
        <w:t>?</w:t>
      </w:r>
    </w:p>
    <w:p w14:paraId="110C580B" w14:textId="16BA5429" w:rsidR="008C21EE" w:rsidRPr="00497728" w:rsidRDefault="00EA4131" w:rsidP="003B53FC">
      <w:pPr>
        <w:pStyle w:val="BoxText"/>
      </w:pPr>
      <w:r w:rsidRPr="00497728">
        <w:rPr>
          <w:b/>
          <w:bCs/>
        </w:rPr>
        <w:t>Consultation question</w:t>
      </w:r>
      <w:r w:rsidR="004B6C2C" w:rsidRPr="00497728">
        <w:rPr>
          <w:b/>
          <w:bCs/>
        </w:rPr>
        <w:t xml:space="preserve"> 1</w:t>
      </w:r>
      <w:r w:rsidR="00770DBE" w:rsidRPr="00497728">
        <w:rPr>
          <w:b/>
          <w:bCs/>
        </w:rPr>
        <w:t>2</w:t>
      </w:r>
      <w:r w:rsidRPr="00497728">
        <w:rPr>
          <w:b/>
          <w:bCs/>
        </w:rPr>
        <w:t>:</w:t>
      </w:r>
      <w:r w:rsidRPr="00497728">
        <w:t xml:space="preserve"> </w:t>
      </w:r>
      <w:r w:rsidR="00A14581" w:rsidRPr="00497728">
        <w:t xml:space="preserve">How do international markets assess the credibility and </w:t>
      </w:r>
      <w:r w:rsidR="00023D5C">
        <w:t>strength</w:t>
      </w:r>
      <w:r w:rsidR="00A14581" w:rsidRPr="00497728">
        <w:t xml:space="preserve"> of the data provided to support sustainability claims</w:t>
      </w:r>
      <w:r w:rsidR="008C21EE" w:rsidRPr="00497728">
        <w:t>?</w:t>
      </w:r>
    </w:p>
    <w:p w14:paraId="7F68E600" w14:textId="6C4DDA85" w:rsidR="00EF7EEA" w:rsidRPr="00497728" w:rsidRDefault="008C21EE" w:rsidP="003B53FC">
      <w:pPr>
        <w:pStyle w:val="BoxText"/>
      </w:pPr>
      <w:r w:rsidRPr="00497728">
        <w:rPr>
          <w:b/>
          <w:bCs/>
        </w:rPr>
        <w:t>Consultation question 12a:</w:t>
      </w:r>
      <w:r w:rsidR="00A14581" w:rsidRPr="00497728">
        <w:t xml:space="preserve"> </w:t>
      </w:r>
      <w:r w:rsidRPr="00497728">
        <w:t>W</w:t>
      </w:r>
      <w:r w:rsidR="00A14581" w:rsidRPr="00497728">
        <w:t>hat benchmarks or standards are used in this evaluation?</w:t>
      </w:r>
    </w:p>
    <w:p w14:paraId="09AC3EC3" w14:textId="01C515F5" w:rsidR="002162D3" w:rsidRPr="00497728" w:rsidRDefault="00EA4131" w:rsidP="002162D3">
      <w:pPr>
        <w:pStyle w:val="BoxText"/>
      </w:pPr>
      <w:r w:rsidRPr="00497728">
        <w:rPr>
          <w:b/>
          <w:bCs/>
        </w:rPr>
        <w:t>Consultation question</w:t>
      </w:r>
      <w:r w:rsidR="004B6C2C" w:rsidRPr="00497728">
        <w:rPr>
          <w:b/>
          <w:bCs/>
        </w:rPr>
        <w:t xml:space="preserve"> 1</w:t>
      </w:r>
      <w:r w:rsidR="00770DBE" w:rsidRPr="00497728">
        <w:rPr>
          <w:b/>
          <w:bCs/>
        </w:rPr>
        <w:t>3</w:t>
      </w:r>
      <w:r w:rsidRPr="00497728">
        <w:rPr>
          <w:b/>
          <w:bCs/>
        </w:rPr>
        <w:t>:</w:t>
      </w:r>
      <w:r w:rsidRPr="00497728">
        <w:t xml:space="preserve"> </w:t>
      </w:r>
      <w:r w:rsidR="002162D3" w:rsidRPr="00497728">
        <w:t>What new data collection methods are needed to meet emerging market demands?</w:t>
      </w:r>
    </w:p>
    <w:p w14:paraId="29DA2EBE" w14:textId="77777777" w:rsidR="008E1FC4" w:rsidRPr="00497728" w:rsidRDefault="008E1FC4" w:rsidP="00672A6F">
      <w:pPr>
        <w:pStyle w:val="Heading2"/>
      </w:pPr>
      <w:bookmarkStart w:id="55" w:name="_Toc183182237"/>
      <w:r w:rsidRPr="00497728">
        <w:lastRenderedPageBreak/>
        <w:t>Make a submission</w:t>
      </w:r>
      <w:bookmarkEnd w:id="55"/>
    </w:p>
    <w:p w14:paraId="66027577" w14:textId="2E2B2A2D" w:rsidR="00EB13A6" w:rsidRPr="00497728" w:rsidRDefault="008E1FC4" w:rsidP="00672A6F">
      <w:r w:rsidRPr="00497728">
        <w:t xml:space="preserve">We invite industry, business and the community to contribute </w:t>
      </w:r>
      <w:r w:rsidR="00EB13A6" w:rsidRPr="00497728">
        <w:t xml:space="preserve">knowledge and views on current and emerging </w:t>
      </w:r>
      <w:r w:rsidR="00EB13A6" w:rsidRPr="00497728">
        <w:rPr>
          <w:color w:val="000000" w:themeColor="text1"/>
        </w:rPr>
        <w:t xml:space="preserve">expectations from international markets </w:t>
      </w:r>
      <w:r w:rsidR="00723F16">
        <w:rPr>
          <w:color w:val="000000" w:themeColor="text1"/>
        </w:rPr>
        <w:t>for</w:t>
      </w:r>
      <w:r w:rsidR="00EB13A6" w:rsidRPr="00497728">
        <w:rPr>
          <w:color w:val="000000" w:themeColor="text1"/>
        </w:rPr>
        <w:t xml:space="preserve"> </w:t>
      </w:r>
      <w:r w:rsidR="00A32A1E">
        <w:rPr>
          <w:color w:val="000000" w:themeColor="text1"/>
        </w:rPr>
        <w:t>providing</w:t>
      </w:r>
      <w:r w:rsidR="00EB13A6" w:rsidRPr="00497728">
        <w:rPr>
          <w:color w:val="000000" w:themeColor="text1"/>
        </w:rPr>
        <w:t xml:space="preserve"> evidence for sustainability claims.</w:t>
      </w:r>
    </w:p>
    <w:p w14:paraId="5BFD2AD6" w14:textId="77777777" w:rsidR="008E1FC4" w:rsidRPr="00497728" w:rsidRDefault="008E1FC4" w:rsidP="00672A6F">
      <w:pPr>
        <w:pStyle w:val="Heading3"/>
      </w:pPr>
      <w:bookmarkStart w:id="56" w:name="_Toc183182238"/>
      <w:r w:rsidRPr="00497728">
        <w:t>Have your say</w:t>
      </w:r>
      <w:bookmarkEnd w:id="56"/>
    </w:p>
    <w:p w14:paraId="1FBC6145" w14:textId="3FBC2B63" w:rsidR="00100058" w:rsidRPr="00497728" w:rsidRDefault="00AF0E65" w:rsidP="00100058">
      <w:pPr>
        <w:pStyle w:val="ListBullet"/>
        <w:numPr>
          <w:ilvl w:val="0"/>
          <w:numId w:val="0"/>
        </w:numPr>
        <w:ind w:left="454" w:hanging="454"/>
      </w:pPr>
      <w:r w:rsidRPr="00497728">
        <w:t xml:space="preserve">You can contribute </w:t>
      </w:r>
      <w:r w:rsidR="00100058" w:rsidRPr="00497728">
        <w:t>by:</w:t>
      </w:r>
    </w:p>
    <w:p w14:paraId="0BCB6A93" w14:textId="2DEDD114" w:rsidR="00100058" w:rsidRPr="00497728" w:rsidRDefault="00100058" w:rsidP="00100058">
      <w:pPr>
        <w:pStyle w:val="ListBullet"/>
      </w:pPr>
      <w:r w:rsidRPr="00497728">
        <w:t>responding to the discussion paper questions through the online survey</w:t>
      </w:r>
    </w:p>
    <w:p w14:paraId="48D61BBE" w14:textId="5FBA4AAE" w:rsidR="00D52B16" w:rsidRPr="00497728" w:rsidRDefault="00A72CA8" w:rsidP="00D52B16">
      <w:pPr>
        <w:pStyle w:val="ListBullet"/>
      </w:pPr>
      <w:r w:rsidRPr="00497728">
        <w:t>uploading</w:t>
      </w:r>
      <w:r w:rsidR="00A44869" w:rsidRPr="00497728">
        <w:t xml:space="preserve"> a </w:t>
      </w:r>
      <w:r w:rsidR="004066E0" w:rsidRPr="00497728">
        <w:t xml:space="preserve">written </w:t>
      </w:r>
      <w:r w:rsidR="00A44869" w:rsidRPr="00497728">
        <w:t>submission</w:t>
      </w:r>
      <w:r w:rsidRPr="00497728">
        <w:t>.</w:t>
      </w:r>
    </w:p>
    <w:p w14:paraId="557AD39B" w14:textId="0FA81978" w:rsidR="00742EA7" w:rsidRDefault="00D030DE" w:rsidP="00D52B16">
      <w:pPr>
        <w:pStyle w:val="ListBullet2"/>
        <w:numPr>
          <w:ilvl w:val="0"/>
          <w:numId w:val="0"/>
        </w:numPr>
      </w:pPr>
      <w:r>
        <w:rPr>
          <w:lang w:eastAsia="ja-JP"/>
        </w:rPr>
        <w:t xml:space="preserve">If you are providing a written submission on behalf of an organisation, it must be on </w:t>
      </w:r>
      <w:r w:rsidR="00CF792E">
        <w:rPr>
          <w:lang w:eastAsia="ja-JP"/>
        </w:rPr>
        <w:t xml:space="preserve">an </w:t>
      </w:r>
      <w:r>
        <w:rPr>
          <w:lang w:eastAsia="ja-JP"/>
        </w:rPr>
        <w:t xml:space="preserve">official letterhead. </w:t>
      </w:r>
      <w:r w:rsidR="00D52B16" w:rsidRPr="00497728">
        <w:t xml:space="preserve">For </w:t>
      </w:r>
      <w:r w:rsidR="004E38B9" w:rsidRPr="00497728">
        <w:t>written</w:t>
      </w:r>
      <w:r w:rsidR="00D52B16" w:rsidRPr="00497728">
        <w:t xml:space="preserve"> submissions that are longer than 3 pages, please include a summary of key points.</w:t>
      </w:r>
    </w:p>
    <w:p w14:paraId="52517830" w14:textId="28275172" w:rsidR="009B5DBB" w:rsidRPr="00497728" w:rsidRDefault="000F0811" w:rsidP="000F0811">
      <w:pPr>
        <w:pStyle w:val="ListBullet2"/>
        <w:numPr>
          <w:ilvl w:val="0"/>
          <w:numId w:val="0"/>
        </w:numPr>
        <w:spacing w:before="240"/>
        <w:contextualSpacing w:val="0"/>
      </w:pPr>
      <w:r>
        <w:t>Make a</w:t>
      </w:r>
      <w:r w:rsidR="009B5DBB">
        <w:t xml:space="preserve"> </w:t>
      </w:r>
      <w:r>
        <w:t xml:space="preserve">submission via </w:t>
      </w:r>
      <w:hyperlink r:id="rId22" w:history="1">
        <w:r w:rsidR="009045BD">
          <w:rPr>
            <w:rStyle w:val="Hyperlink"/>
          </w:rPr>
          <w:t>Sustainability claims for international markets</w:t>
        </w:r>
      </w:hyperlink>
      <w:r w:rsidR="009B5DBB">
        <w:t>.</w:t>
      </w:r>
    </w:p>
    <w:p w14:paraId="7A325071" w14:textId="334A375A" w:rsidR="00BE3FB6" w:rsidRPr="00497728" w:rsidRDefault="0074115D" w:rsidP="00BE3FB6">
      <w:pPr>
        <w:pStyle w:val="ListBullet"/>
        <w:numPr>
          <w:ilvl w:val="0"/>
          <w:numId w:val="0"/>
        </w:numPr>
        <w:ind w:left="454" w:hanging="454"/>
      </w:pPr>
      <w:r w:rsidRPr="00497728">
        <w:t xml:space="preserve">Responses to this public consultation will close </w:t>
      </w:r>
      <w:r w:rsidR="00D01EF8" w:rsidRPr="00DC1A8C">
        <w:t xml:space="preserve">at </w:t>
      </w:r>
      <w:r w:rsidR="00DC1A8C" w:rsidRPr="00DC1A8C">
        <w:t>5pm AEDT</w:t>
      </w:r>
      <w:r w:rsidR="00742EA7" w:rsidRPr="00DC1A8C">
        <w:t xml:space="preserve"> </w:t>
      </w:r>
      <w:r w:rsidRPr="00DC1A8C">
        <w:t xml:space="preserve">on </w:t>
      </w:r>
      <w:r w:rsidR="00DC1A8C" w:rsidRPr="00DC1A8C">
        <w:t>Monday 24</w:t>
      </w:r>
      <w:r w:rsidR="00D01EF8" w:rsidRPr="00DC1A8C">
        <w:t xml:space="preserve"> February 2025.</w:t>
      </w:r>
    </w:p>
    <w:p w14:paraId="058A432E" w14:textId="77777777" w:rsidR="008E1FC4" w:rsidRPr="00497728" w:rsidRDefault="008E1FC4" w:rsidP="00672A6F">
      <w:pPr>
        <w:pStyle w:val="Heading3"/>
      </w:pPr>
      <w:bookmarkStart w:id="57" w:name="_Toc183181610"/>
      <w:bookmarkStart w:id="58" w:name="_Toc183182239"/>
      <w:bookmarkStart w:id="59" w:name="_Toc183182240"/>
      <w:bookmarkEnd w:id="57"/>
      <w:bookmarkEnd w:id="58"/>
      <w:r w:rsidRPr="00497728">
        <w:t>Next steps</w:t>
      </w:r>
      <w:bookmarkEnd w:id="59"/>
    </w:p>
    <w:p w14:paraId="6E32D444" w14:textId="77777777" w:rsidR="0088600D" w:rsidRDefault="008E1FC4" w:rsidP="00672A6F">
      <w:r w:rsidRPr="00497728">
        <w:t xml:space="preserve">The </w:t>
      </w:r>
      <w:r w:rsidR="00D820C7" w:rsidRPr="00497728">
        <w:t>ASCWG</w:t>
      </w:r>
      <w:r w:rsidRPr="00497728">
        <w:t xml:space="preserve"> will consider all submissions.</w:t>
      </w:r>
    </w:p>
    <w:p w14:paraId="1E826FA6" w14:textId="24CBA2AC" w:rsidR="0088600D" w:rsidRDefault="008E1FC4" w:rsidP="00672A6F">
      <w:r w:rsidRPr="00497728">
        <w:t xml:space="preserve">The </w:t>
      </w:r>
      <w:r w:rsidR="00C03504" w:rsidRPr="00497728">
        <w:t>ASCWG will use the learnings</w:t>
      </w:r>
      <w:r w:rsidR="00CA6B03" w:rsidRPr="00497728">
        <w:t xml:space="preserve"> gathered through </w:t>
      </w:r>
      <w:hyperlink w:anchor="_Phase_1" w:history="1">
        <w:r w:rsidR="000108C9" w:rsidRPr="000F0811">
          <w:rPr>
            <w:rStyle w:val="Hyperlink"/>
          </w:rPr>
          <w:t>Phase 1</w:t>
        </w:r>
      </w:hyperlink>
      <w:r w:rsidR="000108C9" w:rsidRPr="00497728">
        <w:t xml:space="preserve"> </w:t>
      </w:r>
      <w:r w:rsidR="00CA6B03" w:rsidRPr="00497728">
        <w:t xml:space="preserve">desktop research, interviews and this consultation process, </w:t>
      </w:r>
      <w:r w:rsidR="00C03504" w:rsidRPr="00497728">
        <w:t>to inform development of a final discussion paper</w:t>
      </w:r>
      <w:r w:rsidR="00EA20E1" w:rsidRPr="00497728">
        <w:t xml:space="preserve"> </w:t>
      </w:r>
      <w:r w:rsidR="000108C9" w:rsidRPr="00497728">
        <w:t>during</w:t>
      </w:r>
      <w:r w:rsidR="00EA20E1" w:rsidRPr="00497728">
        <w:t xml:space="preserve"> </w:t>
      </w:r>
      <w:hyperlink w:anchor="_Phase_2" w:history="1">
        <w:r w:rsidR="00EA20E1" w:rsidRPr="000F0811">
          <w:rPr>
            <w:rStyle w:val="Hyperlink"/>
          </w:rPr>
          <w:t>Phase 2</w:t>
        </w:r>
      </w:hyperlink>
      <w:r w:rsidR="00EA20E1" w:rsidRPr="00497728">
        <w:t>.</w:t>
      </w:r>
    </w:p>
    <w:p w14:paraId="0A66C0A7" w14:textId="7F1D15D4" w:rsidR="00AA76A9" w:rsidRPr="00497728" w:rsidRDefault="00EA20E1" w:rsidP="00672A6F">
      <w:r w:rsidRPr="00497728">
        <w:t xml:space="preserve">The </w:t>
      </w:r>
      <w:r w:rsidR="00ED282C">
        <w:t>final report</w:t>
      </w:r>
      <w:r w:rsidRPr="00497728">
        <w:t xml:space="preserve"> is expected to be </w:t>
      </w:r>
      <w:r w:rsidR="00ED282C">
        <w:t>delivered</w:t>
      </w:r>
      <w:r w:rsidRPr="00497728">
        <w:t xml:space="preserve"> </w:t>
      </w:r>
      <w:r w:rsidR="00CD48F2">
        <w:t>in late</w:t>
      </w:r>
      <w:r w:rsidRPr="00497728">
        <w:t xml:space="preserve"> 2025</w:t>
      </w:r>
      <w:r w:rsidR="009C1436" w:rsidRPr="00497728">
        <w:t>.</w:t>
      </w:r>
    </w:p>
    <w:p w14:paraId="4423E8F7" w14:textId="77777777" w:rsidR="008E1FC4" w:rsidRPr="00497728" w:rsidRDefault="008E1FC4" w:rsidP="00672A6F">
      <w:pPr>
        <w:pStyle w:val="Heading3"/>
      </w:pPr>
      <w:bookmarkStart w:id="60" w:name="_Toc183182241"/>
      <w:r w:rsidRPr="00497728">
        <w:t>Contacts</w:t>
      </w:r>
      <w:bookmarkEnd w:id="60"/>
    </w:p>
    <w:p w14:paraId="33E0C864" w14:textId="413A43E6" w:rsidR="00E21661" w:rsidRPr="00BF4F8D" w:rsidRDefault="008E1FC4" w:rsidP="00DC1A8C">
      <w:r w:rsidRPr="00497728">
        <w:t xml:space="preserve">For information about </w:t>
      </w:r>
      <w:r w:rsidR="00D820C7" w:rsidRPr="00497728">
        <w:t>this discussion paper</w:t>
      </w:r>
      <w:r w:rsidR="00D8640C" w:rsidRPr="00497728">
        <w:t>,</w:t>
      </w:r>
      <w:r w:rsidRPr="00497728">
        <w:t xml:space="preserve"> email </w:t>
      </w:r>
      <w:hyperlink r:id="rId23" w:history="1">
        <w:r w:rsidR="00D44CA9" w:rsidRPr="00D44CA9">
          <w:rPr>
            <w:rStyle w:val="Hyperlink"/>
          </w:rPr>
          <w:t>credentials.innovation@aff.gov.au</w:t>
        </w:r>
      </w:hyperlink>
      <w:r w:rsidR="00D44CA9">
        <w:t>.</w:t>
      </w:r>
    </w:p>
    <w:p w14:paraId="4F83506E" w14:textId="76D0A320" w:rsidR="00E46A91" w:rsidRPr="00497728" w:rsidRDefault="00614210" w:rsidP="00146622">
      <w:pPr>
        <w:pStyle w:val="Heading2"/>
        <w:numPr>
          <w:ilvl w:val="0"/>
          <w:numId w:val="0"/>
        </w:numPr>
        <w:ind w:left="720" w:hanging="720"/>
      </w:pPr>
      <w:bookmarkStart w:id="61" w:name="_Ref163635238"/>
      <w:bookmarkStart w:id="62" w:name="_Ref163635319"/>
      <w:bookmarkStart w:id="63" w:name="_Ref163635328"/>
      <w:bookmarkStart w:id="64" w:name="_Ref163641957"/>
      <w:bookmarkStart w:id="65" w:name="_Toc183182242"/>
      <w:r w:rsidRPr="00497728">
        <w:lastRenderedPageBreak/>
        <w:t>Glossary</w:t>
      </w:r>
      <w:bookmarkEnd w:id="61"/>
      <w:bookmarkEnd w:id="62"/>
      <w:bookmarkEnd w:id="63"/>
      <w:bookmarkEnd w:id="64"/>
      <w:bookmarkEnd w:id="65"/>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0"/>
        <w:gridCol w:w="6810"/>
      </w:tblGrid>
      <w:tr w:rsidR="00C751FB" w:rsidRPr="00497728" w14:paraId="6807C48E" w14:textId="77777777" w:rsidTr="00C35833">
        <w:trPr>
          <w:cantSplit/>
          <w:tblHeader/>
        </w:trPr>
        <w:tc>
          <w:tcPr>
            <w:tcW w:w="1246" w:type="pct"/>
            <w:tcMar>
              <w:left w:w="108" w:type="dxa"/>
              <w:right w:w="108" w:type="dxa"/>
            </w:tcMar>
          </w:tcPr>
          <w:p w14:paraId="7C98DEBC" w14:textId="3E7151E7" w:rsidR="00146622" w:rsidRPr="00497728" w:rsidRDefault="00784CE5" w:rsidP="008E154F">
            <w:pPr>
              <w:pStyle w:val="TableHeading"/>
            </w:pPr>
            <w:bookmarkStart w:id="66" w:name="Title_Acronyms"/>
            <w:bookmarkEnd w:id="66"/>
            <w:r w:rsidRPr="00497728">
              <w:t>Term</w:t>
            </w:r>
          </w:p>
        </w:tc>
        <w:tc>
          <w:tcPr>
            <w:tcW w:w="3754" w:type="pct"/>
            <w:tcMar>
              <w:left w:w="108" w:type="dxa"/>
              <w:right w:w="108" w:type="dxa"/>
            </w:tcMar>
          </w:tcPr>
          <w:p w14:paraId="0FA5D5CD" w14:textId="0E21BCDC" w:rsidR="00146622" w:rsidRPr="00497728" w:rsidRDefault="00220B15" w:rsidP="008E154F">
            <w:pPr>
              <w:pStyle w:val="TableHeading"/>
            </w:pPr>
            <w:r w:rsidRPr="00497728">
              <w:t>Definition</w:t>
            </w:r>
          </w:p>
        </w:tc>
      </w:tr>
      <w:tr w:rsidR="00C751FB" w:rsidRPr="00497728" w14:paraId="0B253A16" w14:textId="77777777" w:rsidTr="00C35833">
        <w:tc>
          <w:tcPr>
            <w:tcW w:w="1246" w:type="pct"/>
            <w:tcMar>
              <w:left w:w="108" w:type="dxa"/>
              <w:right w:w="108" w:type="dxa"/>
            </w:tcMar>
            <w:vAlign w:val="center"/>
          </w:tcPr>
          <w:p w14:paraId="587752F3" w14:textId="1C5B5A53" w:rsidR="00146622" w:rsidRPr="00497728" w:rsidRDefault="00146622" w:rsidP="00146622">
            <w:pPr>
              <w:pStyle w:val="TableText"/>
            </w:pPr>
            <w:r w:rsidRPr="00497728">
              <w:t>AASF</w:t>
            </w:r>
          </w:p>
        </w:tc>
        <w:tc>
          <w:tcPr>
            <w:tcW w:w="3754" w:type="pct"/>
            <w:tcMar>
              <w:left w:w="108" w:type="dxa"/>
              <w:right w:w="108" w:type="dxa"/>
            </w:tcMar>
            <w:vAlign w:val="center"/>
          </w:tcPr>
          <w:p w14:paraId="74B627E4" w14:textId="0E24FF4E" w:rsidR="00146622" w:rsidRPr="00497728" w:rsidRDefault="00146622" w:rsidP="00146622">
            <w:pPr>
              <w:pStyle w:val="TableText"/>
            </w:pPr>
            <w:r w:rsidRPr="00497728">
              <w:t>Australian Agricultural Sustainability Framework</w:t>
            </w:r>
          </w:p>
        </w:tc>
      </w:tr>
      <w:tr w:rsidR="00497728" w:rsidRPr="00497728" w14:paraId="6288480A" w14:textId="77777777" w:rsidTr="00C35833">
        <w:tc>
          <w:tcPr>
            <w:tcW w:w="1246" w:type="pct"/>
            <w:tcMar>
              <w:left w:w="108" w:type="dxa"/>
              <w:right w:w="108" w:type="dxa"/>
            </w:tcMar>
          </w:tcPr>
          <w:p w14:paraId="22057225" w14:textId="7502B0C3" w:rsidR="00614210" w:rsidRPr="00497728" w:rsidRDefault="00614210" w:rsidP="00614210">
            <w:pPr>
              <w:pStyle w:val="TableText"/>
            </w:pPr>
            <w:r w:rsidRPr="00497728">
              <w:t>Agriculture</w:t>
            </w:r>
          </w:p>
        </w:tc>
        <w:tc>
          <w:tcPr>
            <w:tcW w:w="3754" w:type="pct"/>
            <w:tcMar>
              <w:left w:w="108" w:type="dxa"/>
              <w:right w:w="108" w:type="dxa"/>
            </w:tcMar>
          </w:tcPr>
          <w:p w14:paraId="670D1228" w14:textId="77777777" w:rsidR="00614210" w:rsidRPr="00497728" w:rsidRDefault="00614210" w:rsidP="00614210">
            <w:pPr>
              <w:pStyle w:val="TableText"/>
            </w:pPr>
            <w:r w:rsidRPr="00497728">
              <w:t>The science or practice of farming, including cultivation of the soil for the growing of crops and the rearing of animals to provide food or other products.</w:t>
            </w:r>
          </w:p>
          <w:p w14:paraId="45F8BF2C" w14:textId="7B7E654B" w:rsidR="00614210" w:rsidRPr="00497728" w:rsidRDefault="00614210" w:rsidP="00614210">
            <w:pPr>
              <w:pStyle w:val="TableText"/>
            </w:pPr>
            <w:r w:rsidRPr="00497728">
              <w:t>ISO 20670:2023(</w:t>
            </w:r>
            <w:proofErr w:type="spellStart"/>
            <w:r w:rsidRPr="00497728">
              <w:t>en</w:t>
            </w:r>
            <w:proofErr w:type="spellEnd"/>
            <w:r w:rsidRPr="00497728">
              <w:t>), 3.3</w:t>
            </w:r>
          </w:p>
        </w:tc>
      </w:tr>
      <w:tr w:rsidR="00C751FB" w:rsidRPr="00497728" w14:paraId="1766E668" w14:textId="77777777" w:rsidTr="00C35833">
        <w:tc>
          <w:tcPr>
            <w:tcW w:w="1246" w:type="pct"/>
            <w:tcMar>
              <w:left w:w="108" w:type="dxa"/>
              <w:right w:w="108" w:type="dxa"/>
            </w:tcMar>
            <w:vAlign w:val="center"/>
          </w:tcPr>
          <w:p w14:paraId="76163103" w14:textId="26004C38" w:rsidR="00614210" w:rsidRPr="00497728" w:rsidRDefault="00614210" w:rsidP="00614210">
            <w:pPr>
              <w:pStyle w:val="TableText"/>
            </w:pPr>
            <w:r w:rsidRPr="00497728">
              <w:t>ASCWG</w:t>
            </w:r>
          </w:p>
        </w:tc>
        <w:tc>
          <w:tcPr>
            <w:tcW w:w="3754" w:type="pct"/>
            <w:tcMar>
              <w:left w:w="108" w:type="dxa"/>
              <w:right w:w="108" w:type="dxa"/>
            </w:tcMar>
            <w:vAlign w:val="center"/>
          </w:tcPr>
          <w:p w14:paraId="4C634550" w14:textId="19AEE66F" w:rsidR="00614210" w:rsidRPr="00497728" w:rsidRDefault="00614210" w:rsidP="00614210">
            <w:pPr>
              <w:pStyle w:val="TableText"/>
            </w:pPr>
            <w:r w:rsidRPr="00497728">
              <w:t>Australian Agricultural Traceability Assuring Sustainability Claims Working Group</w:t>
            </w:r>
          </w:p>
        </w:tc>
      </w:tr>
      <w:tr w:rsidR="00C751FB" w:rsidRPr="00497728" w14:paraId="33854E20" w14:textId="77777777" w:rsidTr="00C35833">
        <w:tc>
          <w:tcPr>
            <w:tcW w:w="1246" w:type="pct"/>
            <w:tcMar>
              <w:left w:w="108" w:type="dxa"/>
              <w:right w:w="108" w:type="dxa"/>
            </w:tcMar>
            <w:vAlign w:val="center"/>
          </w:tcPr>
          <w:p w14:paraId="2E3212D1" w14:textId="3D8AB0ED" w:rsidR="00614210" w:rsidRPr="00497728" w:rsidRDefault="00614210" w:rsidP="00614210">
            <w:pPr>
              <w:pStyle w:val="TableText"/>
            </w:pPr>
            <w:r w:rsidRPr="00497728">
              <w:t>AATDSWG</w:t>
            </w:r>
          </w:p>
        </w:tc>
        <w:tc>
          <w:tcPr>
            <w:tcW w:w="3754" w:type="pct"/>
            <w:tcMar>
              <w:left w:w="108" w:type="dxa"/>
              <w:right w:w="108" w:type="dxa"/>
            </w:tcMar>
            <w:vAlign w:val="center"/>
          </w:tcPr>
          <w:p w14:paraId="5208B7F0" w14:textId="2DC114BE" w:rsidR="00614210" w:rsidRPr="00497728" w:rsidRDefault="00614210" w:rsidP="00614210">
            <w:pPr>
              <w:pStyle w:val="TableText"/>
            </w:pPr>
            <w:r w:rsidRPr="00497728">
              <w:t>Australian Agricultural Traceability Data Standards Working Group</w:t>
            </w:r>
          </w:p>
        </w:tc>
      </w:tr>
      <w:tr w:rsidR="00C751FB" w:rsidRPr="00497728" w14:paraId="76128CDC" w14:textId="77777777" w:rsidTr="00C35833">
        <w:tc>
          <w:tcPr>
            <w:tcW w:w="1246" w:type="pct"/>
            <w:tcMar>
              <w:left w:w="108" w:type="dxa"/>
              <w:right w:w="108" w:type="dxa"/>
            </w:tcMar>
            <w:vAlign w:val="center"/>
          </w:tcPr>
          <w:p w14:paraId="406F201B" w14:textId="587DE06F" w:rsidR="00614210" w:rsidRPr="00497728" w:rsidRDefault="00614210" w:rsidP="00614210">
            <w:pPr>
              <w:pStyle w:val="TableText"/>
            </w:pPr>
            <w:r w:rsidRPr="00497728">
              <w:t>AWSS</w:t>
            </w:r>
          </w:p>
        </w:tc>
        <w:tc>
          <w:tcPr>
            <w:tcW w:w="3754" w:type="pct"/>
            <w:tcMar>
              <w:left w:w="108" w:type="dxa"/>
              <w:right w:w="108" w:type="dxa"/>
            </w:tcMar>
            <w:vAlign w:val="center"/>
          </w:tcPr>
          <w:p w14:paraId="022F9277" w14:textId="658E482A" w:rsidR="00614210" w:rsidRPr="00497728" w:rsidRDefault="00614210" w:rsidP="00614210">
            <w:pPr>
              <w:pStyle w:val="TableText"/>
            </w:pPr>
            <w:r w:rsidRPr="00497728">
              <w:t>Australian Wool Sustainability Scheme</w:t>
            </w:r>
          </w:p>
        </w:tc>
      </w:tr>
      <w:tr w:rsidR="00C751FB" w:rsidRPr="00497728" w14:paraId="346EF016" w14:textId="77777777" w:rsidTr="00C35833">
        <w:tc>
          <w:tcPr>
            <w:tcW w:w="1246" w:type="pct"/>
            <w:tcMar>
              <w:left w:w="108" w:type="dxa"/>
              <w:right w:w="108" w:type="dxa"/>
            </w:tcMar>
            <w:vAlign w:val="center"/>
          </w:tcPr>
          <w:p w14:paraId="5C868882" w14:textId="0409BFD8" w:rsidR="00614210" w:rsidRPr="00497728" w:rsidRDefault="00614210" w:rsidP="00614210">
            <w:pPr>
              <w:pStyle w:val="TableText"/>
            </w:pPr>
            <w:r w:rsidRPr="00497728">
              <w:t>APEC</w:t>
            </w:r>
          </w:p>
        </w:tc>
        <w:tc>
          <w:tcPr>
            <w:tcW w:w="3754" w:type="pct"/>
            <w:tcMar>
              <w:left w:w="108" w:type="dxa"/>
              <w:right w:w="108" w:type="dxa"/>
            </w:tcMar>
            <w:vAlign w:val="center"/>
          </w:tcPr>
          <w:p w14:paraId="302FCA41" w14:textId="084D6A46" w:rsidR="00614210" w:rsidRPr="00497728" w:rsidRDefault="00614210" w:rsidP="00614210">
            <w:pPr>
              <w:pStyle w:val="TableText"/>
            </w:pPr>
            <w:r w:rsidRPr="00497728">
              <w:t>Asia-Pacific Economic Cooperation</w:t>
            </w:r>
          </w:p>
        </w:tc>
      </w:tr>
      <w:tr w:rsidR="00C751FB" w:rsidRPr="00497728" w14:paraId="32408D21" w14:textId="77777777" w:rsidTr="00C35833">
        <w:tc>
          <w:tcPr>
            <w:tcW w:w="1246" w:type="pct"/>
            <w:tcMar>
              <w:left w:w="108" w:type="dxa"/>
              <w:right w:w="108" w:type="dxa"/>
            </w:tcMar>
            <w:vAlign w:val="center"/>
          </w:tcPr>
          <w:p w14:paraId="6A2999FB" w14:textId="075111B0" w:rsidR="00614210" w:rsidRPr="00497728" w:rsidRDefault="00614210" w:rsidP="00614210">
            <w:pPr>
              <w:pStyle w:val="TableText"/>
            </w:pPr>
            <w:r w:rsidRPr="00497728">
              <w:t>CBAM</w:t>
            </w:r>
          </w:p>
        </w:tc>
        <w:tc>
          <w:tcPr>
            <w:tcW w:w="3754" w:type="pct"/>
            <w:tcMar>
              <w:left w:w="108" w:type="dxa"/>
              <w:right w:w="108" w:type="dxa"/>
            </w:tcMar>
            <w:vAlign w:val="center"/>
          </w:tcPr>
          <w:p w14:paraId="59050FEB" w14:textId="787B402A" w:rsidR="00614210" w:rsidRPr="00497728" w:rsidRDefault="00614210" w:rsidP="00614210">
            <w:pPr>
              <w:pStyle w:val="TableText"/>
            </w:pPr>
            <w:r w:rsidRPr="00497728">
              <w:t>Carbon Border Adjustment Mechanism</w:t>
            </w:r>
          </w:p>
        </w:tc>
      </w:tr>
      <w:tr w:rsidR="00497728" w:rsidRPr="00497728" w14:paraId="1C1CBF1D" w14:textId="77777777" w:rsidTr="00C35833">
        <w:tc>
          <w:tcPr>
            <w:tcW w:w="1246" w:type="pct"/>
            <w:tcMar>
              <w:left w:w="108" w:type="dxa"/>
              <w:right w:w="108" w:type="dxa"/>
            </w:tcMar>
          </w:tcPr>
          <w:p w14:paraId="1D80429F" w14:textId="4B58AFFD" w:rsidR="00614210" w:rsidRPr="00497728" w:rsidRDefault="00614210" w:rsidP="00614210">
            <w:pPr>
              <w:pStyle w:val="TableText"/>
            </w:pPr>
            <w:r w:rsidRPr="00497728">
              <w:t>Claim</w:t>
            </w:r>
          </w:p>
        </w:tc>
        <w:tc>
          <w:tcPr>
            <w:tcW w:w="3754" w:type="pct"/>
            <w:tcMar>
              <w:left w:w="108" w:type="dxa"/>
              <w:right w:w="108" w:type="dxa"/>
            </w:tcMar>
          </w:tcPr>
          <w:p w14:paraId="5C888C7A" w14:textId="2464643D" w:rsidR="00614210" w:rsidRPr="00497728" w:rsidRDefault="00614210" w:rsidP="00614210">
            <w:pPr>
              <w:pStyle w:val="TableText"/>
            </w:pPr>
            <w:r w:rsidRPr="00497728">
              <w:t xml:space="preserve">State or assert that something is the case, typically without providing evidence or proof. </w:t>
            </w:r>
            <w:r w:rsidRPr="00497728">
              <w:rPr>
                <w:i/>
                <w:iCs/>
              </w:rPr>
              <w:t>Source:</w:t>
            </w:r>
            <w:r w:rsidRPr="00497728">
              <w:t xml:space="preserve"> </w:t>
            </w:r>
            <w:r w:rsidRPr="00497728">
              <w:rPr>
                <w:i/>
                <w:iCs/>
              </w:rPr>
              <w:t>Oxford Dictionary</w:t>
            </w:r>
            <w:r w:rsidRPr="00497728">
              <w:t>.</w:t>
            </w:r>
          </w:p>
        </w:tc>
      </w:tr>
      <w:tr w:rsidR="00497728" w:rsidRPr="00497728" w14:paraId="6E9BD5EB" w14:textId="77777777" w:rsidTr="00C35833">
        <w:tc>
          <w:tcPr>
            <w:tcW w:w="1246" w:type="pct"/>
            <w:tcMar>
              <w:left w:w="108" w:type="dxa"/>
              <w:right w:w="108" w:type="dxa"/>
            </w:tcMar>
          </w:tcPr>
          <w:p w14:paraId="756E1869" w14:textId="4AF3A80E" w:rsidR="00614210" w:rsidRPr="00497728" w:rsidRDefault="00614210" w:rsidP="00614210">
            <w:pPr>
              <w:pStyle w:val="TableText"/>
            </w:pPr>
            <w:r w:rsidRPr="00497728">
              <w:t>Conformity</w:t>
            </w:r>
          </w:p>
        </w:tc>
        <w:tc>
          <w:tcPr>
            <w:tcW w:w="3754" w:type="pct"/>
            <w:tcMar>
              <w:left w:w="108" w:type="dxa"/>
              <w:right w:w="108" w:type="dxa"/>
            </w:tcMar>
          </w:tcPr>
          <w:p w14:paraId="1BAB625E" w14:textId="008308B7" w:rsidR="00614210" w:rsidRPr="00497728" w:rsidRDefault="00614210" w:rsidP="00614210">
            <w:pPr>
              <w:pStyle w:val="TableText"/>
            </w:pPr>
            <w:r w:rsidRPr="00497728">
              <w:t xml:space="preserve">Fulfilment of a requirement. </w:t>
            </w:r>
            <w:r w:rsidRPr="00497728">
              <w:rPr>
                <w:i/>
                <w:iCs/>
              </w:rPr>
              <w:t>Source:</w:t>
            </w:r>
            <w:r w:rsidRPr="00497728">
              <w:t xml:space="preserve"> ISO 9000:2015, </w:t>
            </w:r>
            <w:r w:rsidRPr="00497728">
              <w:rPr>
                <w:i/>
                <w:iCs/>
              </w:rPr>
              <w:t>Quality management systems — Fundamentals and vocabulary</w:t>
            </w:r>
            <w:r w:rsidRPr="00497728">
              <w:t>. Conformance is synonymous but deprecated.</w:t>
            </w:r>
          </w:p>
        </w:tc>
      </w:tr>
      <w:tr w:rsidR="00497728" w:rsidRPr="00497728" w14:paraId="4AEB85C2" w14:textId="77777777" w:rsidTr="00C35833">
        <w:tc>
          <w:tcPr>
            <w:tcW w:w="1246" w:type="pct"/>
            <w:tcMar>
              <w:left w:w="108" w:type="dxa"/>
              <w:right w:w="108" w:type="dxa"/>
            </w:tcMar>
          </w:tcPr>
          <w:p w14:paraId="1CDBF86D" w14:textId="3DF20FF9" w:rsidR="00614210" w:rsidRPr="00497728" w:rsidRDefault="00614210" w:rsidP="00614210">
            <w:pPr>
              <w:pStyle w:val="TableText"/>
            </w:pPr>
            <w:r w:rsidRPr="00497728">
              <w:t>Conformity assessment</w:t>
            </w:r>
          </w:p>
        </w:tc>
        <w:tc>
          <w:tcPr>
            <w:tcW w:w="3754" w:type="pct"/>
            <w:tcMar>
              <w:left w:w="108" w:type="dxa"/>
              <w:right w:w="108" w:type="dxa"/>
            </w:tcMar>
          </w:tcPr>
          <w:p w14:paraId="3DD622B9" w14:textId="0A5BA5D8" w:rsidR="00614210" w:rsidRPr="00497728" w:rsidRDefault="00614210" w:rsidP="00614210">
            <w:pPr>
              <w:pStyle w:val="TableText"/>
            </w:pPr>
            <w:r w:rsidRPr="00497728">
              <w:t>Use of different techniques to determine a product, process, service, management system, person or organisation fulfils specified requirements. Source:</w:t>
            </w:r>
            <w:r w:rsidRPr="00497728">
              <w:rPr>
                <w:i/>
                <w:iCs/>
              </w:rPr>
              <w:t xml:space="preserve"> The ISO Council Committee on Conformity Assessment (CASCO)</w:t>
            </w:r>
            <w:r w:rsidRPr="00497728">
              <w:t>. Refer conformity assessment techniques.</w:t>
            </w:r>
          </w:p>
        </w:tc>
      </w:tr>
      <w:tr w:rsidR="00497728" w:rsidRPr="00497728" w14:paraId="64C28319" w14:textId="77777777" w:rsidTr="00C35833">
        <w:tc>
          <w:tcPr>
            <w:tcW w:w="1246" w:type="pct"/>
            <w:tcMar>
              <w:left w:w="108" w:type="dxa"/>
              <w:right w:w="108" w:type="dxa"/>
            </w:tcMar>
          </w:tcPr>
          <w:p w14:paraId="5AFF7E5F" w14:textId="78F5FB00" w:rsidR="00614210" w:rsidRPr="00497728" w:rsidRDefault="00614210" w:rsidP="00614210">
            <w:pPr>
              <w:pStyle w:val="TableText"/>
            </w:pPr>
            <w:r w:rsidRPr="00497728">
              <w:t>Conformity assessment body</w:t>
            </w:r>
          </w:p>
        </w:tc>
        <w:tc>
          <w:tcPr>
            <w:tcW w:w="3754" w:type="pct"/>
            <w:tcMar>
              <w:left w:w="108" w:type="dxa"/>
              <w:right w:w="108" w:type="dxa"/>
            </w:tcMar>
          </w:tcPr>
          <w:p w14:paraId="169FE4E6" w14:textId="0FAB1D4C" w:rsidR="00614210" w:rsidRPr="00497728" w:rsidRDefault="00614210" w:rsidP="00614210">
            <w:pPr>
              <w:pStyle w:val="TableText"/>
            </w:pPr>
            <w:r w:rsidRPr="00497728">
              <w:t>An entity that can undertake conformity assessment techniques and activities… such bodies act in a third-party capacity [e.g. third-party attestation], an important feature is that they have to act in an impartial way so that the results of their work can be objective and maintain the highest degree of confidence. Source:</w:t>
            </w:r>
            <w:r w:rsidRPr="00497728">
              <w:rPr>
                <w:i/>
                <w:iCs/>
              </w:rPr>
              <w:t xml:space="preserve"> The ISO Council Committee on Conformity Assessment (CASCO)</w:t>
            </w:r>
            <w:r w:rsidRPr="00497728">
              <w:t>.</w:t>
            </w:r>
          </w:p>
        </w:tc>
      </w:tr>
      <w:tr w:rsidR="00497728" w:rsidRPr="00497728" w14:paraId="2C606344" w14:textId="77777777" w:rsidTr="00C35833">
        <w:tc>
          <w:tcPr>
            <w:tcW w:w="1246" w:type="pct"/>
            <w:tcMar>
              <w:left w:w="108" w:type="dxa"/>
              <w:right w:w="108" w:type="dxa"/>
            </w:tcMar>
          </w:tcPr>
          <w:p w14:paraId="61244A66" w14:textId="328FAE79" w:rsidR="00614210" w:rsidRPr="00497728" w:rsidRDefault="00614210" w:rsidP="00614210">
            <w:pPr>
              <w:pStyle w:val="TableText"/>
            </w:pPr>
            <w:r w:rsidRPr="00497728">
              <w:t>Credential</w:t>
            </w:r>
          </w:p>
        </w:tc>
        <w:tc>
          <w:tcPr>
            <w:tcW w:w="3754" w:type="pct"/>
            <w:tcMar>
              <w:left w:w="108" w:type="dxa"/>
              <w:right w:w="108" w:type="dxa"/>
            </w:tcMar>
          </w:tcPr>
          <w:p w14:paraId="484718D3" w14:textId="12697F1A" w:rsidR="00614210" w:rsidRPr="00497728" w:rsidRDefault="00614210" w:rsidP="00614210">
            <w:pPr>
              <w:pStyle w:val="TableText"/>
            </w:pPr>
            <w:r w:rsidRPr="00497728">
              <w:t>Any form of verifiable (e.g. evidence-based) data or information</w:t>
            </w:r>
            <w:r w:rsidR="00FF00A2" w:rsidRPr="00497728">
              <w:t xml:space="preserve"> </w:t>
            </w:r>
            <w:r w:rsidRPr="00497728">
              <w:t>that can be used to support claims made regarding sustainability (e.g. financial claims, product claims, process claims, system claims).</w:t>
            </w:r>
          </w:p>
        </w:tc>
      </w:tr>
      <w:tr w:rsidR="00C751FB" w:rsidRPr="00497728" w14:paraId="55B3DD64" w14:textId="77777777" w:rsidTr="00C35833">
        <w:tc>
          <w:tcPr>
            <w:tcW w:w="1246" w:type="pct"/>
            <w:tcMar>
              <w:left w:w="108" w:type="dxa"/>
              <w:right w:w="108" w:type="dxa"/>
            </w:tcMar>
            <w:vAlign w:val="center"/>
          </w:tcPr>
          <w:p w14:paraId="24A06D2C" w14:textId="4AB3DD5C" w:rsidR="00614210" w:rsidRPr="00497728" w:rsidRDefault="00614210" w:rsidP="00614210">
            <w:pPr>
              <w:pStyle w:val="TableText"/>
            </w:pPr>
            <w:r w:rsidRPr="00497728">
              <w:t>CSIRO</w:t>
            </w:r>
          </w:p>
        </w:tc>
        <w:tc>
          <w:tcPr>
            <w:tcW w:w="3754" w:type="pct"/>
            <w:tcMar>
              <w:left w:w="108" w:type="dxa"/>
              <w:right w:w="108" w:type="dxa"/>
            </w:tcMar>
            <w:vAlign w:val="center"/>
          </w:tcPr>
          <w:p w14:paraId="3988F1DF" w14:textId="0695C660" w:rsidR="00614210" w:rsidRPr="00497728" w:rsidRDefault="00614210" w:rsidP="00614210">
            <w:pPr>
              <w:pStyle w:val="TableText"/>
            </w:pPr>
            <w:r w:rsidRPr="00497728">
              <w:t>Commonwealth Scientific and Industrial Research Organisation</w:t>
            </w:r>
          </w:p>
        </w:tc>
      </w:tr>
      <w:tr w:rsidR="00C751FB" w:rsidRPr="00497728" w14:paraId="5046A6E5" w14:textId="77777777" w:rsidTr="00C35833">
        <w:tc>
          <w:tcPr>
            <w:tcW w:w="1246" w:type="pct"/>
            <w:tcMar>
              <w:left w:w="108" w:type="dxa"/>
              <w:right w:w="108" w:type="dxa"/>
            </w:tcMar>
            <w:vAlign w:val="center"/>
          </w:tcPr>
          <w:p w14:paraId="1E7AC540" w14:textId="6BD0D4C6" w:rsidR="00614210" w:rsidRPr="00497728" w:rsidRDefault="00614210" w:rsidP="00614210">
            <w:pPr>
              <w:pStyle w:val="TableText"/>
            </w:pPr>
            <w:r w:rsidRPr="00497728">
              <w:t>CSRD</w:t>
            </w:r>
          </w:p>
        </w:tc>
        <w:tc>
          <w:tcPr>
            <w:tcW w:w="3754" w:type="pct"/>
            <w:tcMar>
              <w:left w:w="108" w:type="dxa"/>
              <w:right w:w="108" w:type="dxa"/>
            </w:tcMar>
            <w:vAlign w:val="center"/>
          </w:tcPr>
          <w:p w14:paraId="66EDEA69" w14:textId="1DBC774A" w:rsidR="00614210" w:rsidRPr="00497728" w:rsidRDefault="00614210" w:rsidP="00614210">
            <w:pPr>
              <w:pStyle w:val="TableText"/>
            </w:pPr>
            <w:r w:rsidRPr="00497728">
              <w:t>Corporate Sustainability Reporting Directive</w:t>
            </w:r>
          </w:p>
        </w:tc>
      </w:tr>
      <w:tr w:rsidR="00497728" w:rsidRPr="00497728" w14:paraId="44017314" w14:textId="77777777" w:rsidTr="00C35833">
        <w:tc>
          <w:tcPr>
            <w:tcW w:w="1246" w:type="pct"/>
            <w:tcMar>
              <w:left w:w="108" w:type="dxa"/>
              <w:right w:w="108" w:type="dxa"/>
            </w:tcMar>
          </w:tcPr>
          <w:p w14:paraId="689158A8" w14:textId="7155AB04" w:rsidR="00614210" w:rsidRPr="00497728" w:rsidRDefault="00614210" w:rsidP="00614210">
            <w:pPr>
              <w:pStyle w:val="TableText"/>
            </w:pPr>
            <w:r w:rsidRPr="00497728">
              <w:t>Data</w:t>
            </w:r>
          </w:p>
        </w:tc>
        <w:tc>
          <w:tcPr>
            <w:tcW w:w="3754" w:type="pct"/>
            <w:tcMar>
              <w:left w:w="108" w:type="dxa"/>
              <w:right w:w="108" w:type="dxa"/>
            </w:tcMar>
          </w:tcPr>
          <w:p w14:paraId="2B031F51" w14:textId="7E8EB61B" w:rsidR="00614210" w:rsidRPr="00497728" w:rsidRDefault="00614210" w:rsidP="00614210">
            <w:pPr>
              <w:pStyle w:val="TableText"/>
            </w:pPr>
            <w:r w:rsidRPr="00497728">
              <w:t xml:space="preserve">Facts about an object. </w:t>
            </w:r>
            <w:r w:rsidRPr="00497728">
              <w:rPr>
                <w:i/>
                <w:iCs/>
              </w:rPr>
              <w:t>Source: ISO 9000:2015 – Quality management systems – Fundamentals and vocabulary.</w:t>
            </w:r>
          </w:p>
        </w:tc>
      </w:tr>
      <w:tr w:rsidR="00497728" w:rsidRPr="00497728" w14:paraId="2A874875" w14:textId="77777777" w:rsidTr="00C35833">
        <w:tc>
          <w:tcPr>
            <w:tcW w:w="1246" w:type="pct"/>
            <w:tcMar>
              <w:left w:w="108" w:type="dxa"/>
              <w:right w:w="108" w:type="dxa"/>
            </w:tcMar>
          </w:tcPr>
          <w:p w14:paraId="7A3C2B73" w14:textId="43ED26B7" w:rsidR="00614210" w:rsidRPr="00497728" w:rsidRDefault="00614210" w:rsidP="00614210">
            <w:pPr>
              <w:pStyle w:val="TableText"/>
            </w:pPr>
            <w:r w:rsidRPr="00497728">
              <w:t>Database</w:t>
            </w:r>
          </w:p>
        </w:tc>
        <w:tc>
          <w:tcPr>
            <w:tcW w:w="3754" w:type="pct"/>
            <w:tcMar>
              <w:left w:w="108" w:type="dxa"/>
              <w:right w:w="108" w:type="dxa"/>
            </w:tcMar>
          </w:tcPr>
          <w:p w14:paraId="7BF30C86" w14:textId="77777777" w:rsidR="00614210" w:rsidRPr="00497728" w:rsidRDefault="00614210" w:rsidP="00614210">
            <w:pPr>
              <w:pStyle w:val="TableText"/>
            </w:pPr>
            <w:r w:rsidRPr="00497728">
              <w:t xml:space="preserve">A collection of electronically stored descriptive records or content units (including facts, texts, pictures, and sound) with a common user interface and software for the retrieval and manipulation of the data. </w:t>
            </w:r>
            <w:r w:rsidRPr="00497728">
              <w:rPr>
                <w:i/>
                <w:iCs/>
              </w:rPr>
              <w:t>Source: ISO 2789:2022 –</w:t>
            </w:r>
            <w:r w:rsidRPr="00497728">
              <w:t xml:space="preserve"> </w:t>
            </w:r>
            <w:r w:rsidRPr="00497728">
              <w:rPr>
                <w:i/>
                <w:iCs/>
              </w:rPr>
              <w:t>Information and documentation.</w:t>
            </w:r>
          </w:p>
          <w:p w14:paraId="36346CE9" w14:textId="77777777" w:rsidR="00614210" w:rsidRPr="00497728" w:rsidRDefault="00614210" w:rsidP="00614210">
            <w:pPr>
              <w:pStyle w:val="TableText"/>
            </w:pPr>
            <w:r w:rsidRPr="00497728">
              <w:t>Note 1 to entry: The units or records are usually collected with a particular intent and are related to a defined topic. A database can be issued on CD-ROM, diskette, or other direct-access method, or as a computer file accessed via dial-up methods or via the Internet.</w:t>
            </w:r>
          </w:p>
          <w:p w14:paraId="144306C8" w14:textId="77777777" w:rsidR="00614210" w:rsidRPr="00497728" w:rsidRDefault="00614210" w:rsidP="00614210">
            <w:pPr>
              <w:pStyle w:val="TableText"/>
            </w:pPr>
            <w:r w:rsidRPr="00497728">
              <w:t>Note 2 to entry: Licensed databases are counted separately even if access to several licensed database products is affected through the same interface.</w:t>
            </w:r>
          </w:p>
          <w:p w14:paraId="715BD069" w14:textId="6A67DBDA" w:rsidR="00614210" w:rsidRPr="00497728" w:rsidRDefault="00614210" w:rsidP="00614210">
            <w:pPr>
              <w:pStyle w:val="TableText"/>
            </w:pPr>
            <w:r w:rsidRPr="00497728">
              <w:t>Note 3 to entry: A common interface providing access to a packet of serials or digital documents, usually offered by a publisher or vendor, is also to be counted as database. Additionally, the single serials or digital documents should be counted as serials or digital documents.</w:t>
            </w:r>
          </w:p>
        </w:tc>
      </w:tr>
      <w:tr w:rsidR="00497728" w:rsidRPr="00497728" w14:paraId="67DDD7D5" w14:textId="77777777" w:rsidTr="00C35833">
        <w:tc>
          <w:tcPr>
            <w:tcW w:w="1246" w:type="pct"/>
            <w:tcMar>
              <w:left w:w="108" w:type="dxa"/>
              <w:right w:w="108" w:type="dxa"/>
            </w:tcMar>
          </w:tcPr>
          <w:p w14:paraId="20C0BBDB" w14:textId="2D6A390D" w:rsidR="00614210" w:rsidRPr="00497728" w:rsidRDefault="00614210" w:rsidP="00614210">
            <w:pPr>
              <w:pStyle w:val="TableText"/>
            </w:pPr>
            <w:r w:rsidRPr="00497728">
              <w:t>Data dictionary</w:t>
            </w:r>
          </w:p>
        </w:tc>
        <w:tc>
          <w:tcPr>
            <w:tcW w:w="3754" w:type="pct"/>
            <w:tcMar>
              <w:left w:w="108" w:type="dxa"/>
              <w:right w:w="108" w:type="dxa"/>
            </w:tcMar>
          </w:tcPr>
          <w:p w14:paraId="5F1B6F0E" w14:textId="77777777" w:rsidR="00614210" w:rsidRPr="00497728" w:rsidRDefault="00614210" w:rsidP="00614210">
            <w:pPr>
              <w:pStyle w:val="TableText"/>
            </w:pPr>
            <w:r w:rsidRPr="00497728">
              <w:t>Listing of data elements (and their characteristics) that meets the information and functional needs of a system.</w:t>
            </w:r>
          </w:p>
          <w:p w14:paraId="1CF37383" w14:textId="3A8042EE" w:rsidR="00614210" w:rsidRPr="00497728" w:rsidRDefault="00614210" w:rsidP="00614210">
            <w:pPr>
              <w:pStyle w:val="TableText"/>
            </w:pPr>
            <w:r w:rsidRPr="00497728">
              <w:t>ISO 22951:2009(</w:t>
            </w:r>
            <w:proofErr w:type="spellStart"/>
            <w:r w:rsidRPr="00497728">
              <w:t>en</w:t>
            </w:r>
            <w:proofErr w:type="spellEnd"/>
            <w:r w:rsidRPr="00497728">
              <w:t>), 3.3</w:t>
            </w:r>
          </w:p>
        </w:tc>
      </w:tr>
      <w:tr w:rsidR="00497728" w:rsidRPr="00497728" w14:paraId="56C1C144" w14:textId="77777777" w:rsidTr="00C35833">
        <w:tc>
          <w:tcPr>
            <w:tcW w:w="1246" w:type="pct"/>
            <w:tcMar>
              <w:left w:w="108" w:type="dxa"/>
              <w:right w:w="108" w:type="dxa"/>
            </w:tcMar>
          </w:tcPr>
          <w:p w14:paraId="6B3A103C" w14:textId="65946BF1" w:rsidR="00614210" w:rsidRPr="00497728" w:rsidRDefault="00614210" w:rsidP="00614210">
            <w:pPr>
              <w:pStyle w:val="TableText"/>
            </w:pPr>
            <w:r w:rsidRPr="00497728">
              <w:t>Data element</w:t>
            </w:r>
          </w:p>
        </w:tc>
        <w:tc>
          <w:tcPr>
            <w:tcW w:w="3754" w:type="pct"/>
            <w:tcMar>
              <w:left w:w="108" w:type="dxa"/>
              <w:right w:w="108" w:type="dxa"/>
            </w:tcMar>
          </w:tcPr>
          <w:p w14:paraId="09FDE155" w14:textId="77777777" w:rsidR="00614210" w:rsidRPr="00497728" w:rsidRDefault="00614210" w:rsidP="00614210">
            <w:pPr>
              <w:pStyle w:val="TableText"/>
            </w:pPr>
            <w:r w:rsidRPr="00497728">
              <w:t>Single unit of data that in a certain context is considered indivisible.</w:t>
            </w:r>
          </w:p>
          <w:p w14:paraId="2D8DB3DA" w14:textId="6BBA391E" w:rsidR="00614210" w:rsidRPr="00497728" w:rsidRDefault="00614210" w:rsidP="00614210">
            <w:pPr>
              <w:pStyle w:val="TableText"/>
            </w:pPr>
            <w:r w:rsidRPr="00497728">
              <w:t>ISO/TS 21089:2018(</w:t>
            </w:r>
            <w:proofErr w:type="spellStart"/>
            <w:r w:rsidRPr="00497728">
              <w:t>en</w:t>
            </w:r>
            <w:proofErr w:type="spellEnd"/>
            <w:r w:rsidRPr="00497728">
              <w:t>), 3.44</w:t>
            </w:r>
          </w:p>
        </w:tc>
      </w:tr>
      <w:tr w:rsidR="00497728" w:rsidRPr="00497728" w14:paraId="3C47BA53" w14:textId="77777777" w:rsidTr="00C35833">
        <w:tc>
          <w:tcPr>
            <w:tcW w:w="1246" w:type="pct"/>
            <w:tcMar>
              <w:left w:w="108" w:type="dxa"/>
              <w:right w:w="108" w:type="dxa"/>
            </w:tcMar>
          </w:tcPr>
          <w:p w14:paraId="358290E7" w14:textId="622E196D" w:rsidR="00614210" w:rsidRPr="00497728" w:rsidRDefault="00614210" w:rsidP="00614210">
            <w:pPr>
              <w:pStyle w:val="TableText"/>
            </w:pPr>
            <w:r w:rsidRPr="00497728">
              <w:lastRenderedPageBreak/>
              <w:t>Data point</w:t>
            </w:r>
          </w:p>
        </w:tc>
        <w:tc>
          <w:tcPr>
            <w:tcW w:w="3754" w:type="pct"/>
            <w:tcMar>
              <w:left w:w="108" w:type="dxa"/>
              <w:right w:w="108" w:type="dxa"/>
            </w:tcMar>
          </w:tcPr>
          <w:p w14:paraId="6CFDC50F" w14:textId="1D92493C" w:rsidR="00614210" w:rsidRPr="00497728" w:rsidRDefault="00614210" w:rsidP="00614210">
            <w:pPr>
              <w:pStyle w:val="TableText"/>
            </w:pPr>
            <w:r w:rsidRPr="00497728">
              <w:t xml:space="preserve">An identifiable element in a data set. </w:t>
            </w:r>
            <w:r w:rsidRPr="00497728">
              <w:rPr>
                <w:i/>
                <w:iCs/>
              </w:rPr>
              <w:t>Source: Oxford Dictionary.</w:t>
            </w:r>
          </w:p>
        </w:tc>
      </w:tr>
      <w:tr w:rsidR="00497728" w:rsidRPr="00497728" w14:paraId="326A3BD3" w14:textId="77777777" w:rsidTr="00C35833">
        <w:tc>
          <w:tcPr>
            <w:tcW w:w="1246" w:type="pct"/>
            <w:tcMar>
              <w:left w:w="108" w:type="dxa"/>
              <w:right w:w="108" w:type="dxa"/>
            </w:tcMar>
          </w:tcPr>
          <w:p w14:paraId="6EB01A24" w14:textId="10104616" w:rsidR="00614210" w:rsidRPr="00497728" w:rsidRDefault="00614210" w:rsidP="00614210">
            <w:pPr>
              <w:pStyle w:val="TableText"/>
            </w:pPr>
            <w:r w:rsidRPr="00497728">
              <w:t>Data set</w:t>
            </w:r>
          </w:p>
        </w:tc>
        <w:tc>
          <w:tcPr>
            <w:tcW w:w="3754" w:type="pct"/>
            <w:tcMar>
              <w:left w:w="108" w:type="dxa"/>
              <w:right w:w="108" w:type="dxa"/>
            </w:tcMar>
          </w:tcPr>
          <w:p w14:paraId="74E7D21C" w14:textId="5B5D71D0" w:rsidR="00614210" w:rsidRPr="00497728" w:rsidRDefault="00614210" w:rsidP="00614210">
            <w:pPr>
              <w:pStyle w:val="TableText"/>
            </w:pPr>
            <w:r w:rsidRPr="00497728">
              <w:t xml:space="preserve">A collection of related sets of information that is composed of separate elements [data points] but can be manipulated as a unit by a computer. </w:t>
            </w:r>
            <w:r w:rsidRPr="00497728">
              <w:rPr>
                <w:i/>
                <w:iCs/>
              </w:rPr>
              <w:t>Source: Oxford Dictionary.</w:t>
            </w:r>
          </w:p>
        </w:tc>
      </w:tr>
      <w:tr w:rsidR="00497728" w:rsidRPr="00497728" w14:paraId="4CD29854" w14:textId="77777777" w:rsidTr="00C35833">
        <w:tc>
          <w:tcPr>
            <w:tcW w:w="1246" w:type="pct"/>
            <w:tcMar>
              <w:left w:w="108" w:type="dxa"/>
              <w:right w:w="108" w:type="dxa"/>
            </w:tcMar>
          </w:tcPr>
          <w:p w14:paraId="63F093D3" w14:textId="2AE41EC4" w:rsidR="00614210" w:rsidRPr="00497728" w:rsidRDefault="00614210" w:rsidP="00614210">
            <w:pPr>
              <w:pStyle w:val="TableText"/>
            </w:pPr>
            <w:r w:rsidRPr="00497728">
              <w:t>Data term</w:t>
            </w:r>
          </w:p>
        </w:tc>
        <w:tc>
          <w:tcPr>
            <w:tcW w:w="3754" w:type="pct"/>
            <w:tcMar>
              <w:left w:w="108" w:type="dxa"/>
              <w:right w:w="108" w:type="dxa"/>
            </w:tcMar>
          </w:tcPr>
          <w:p w14:paraId="1F63EFC1" w14:textId="0C7D15C1" w:rsidR="00614210" w:rsidRPr="00497728" w:rsidRDefault="00614210" w:rsidP="00614210">
            <w:pPr>
              <w:pStyle w:val="TableText"/>
            </w:pPr>
            <w:r w:rsidRPr="00497728">
              <w:t>A data term is typically a word or a phrase used to describe a concept or an entity within a specific business or data context. It represents an idea or a concept rather than a specific, quantifiable piece of data. The primary purpose of a data term is to provide a common language that can be used consistently – it aids in clear communication and understanding among various stakeholders.</w:t>
            </w:r>
          </w:p>
        </w:tc>
      </w:tr>
      <w:tr w:rsidR="00C751FB" w:rsidRPr="00497728" w14:paraId="210F86D8" w14:textId="77777777" w:rsidTr="00C35833">
        <w:tc>
          <w:tcPr>
            <w:tcW w:w="1246" w:type="pct"/>
            <w:tcMar>
              <w:left w:w="108" w:type="dxa"/>
              <w:right w:w="108" w:type="dxa"/>
            </w:tcMar>
            <w:vAlign w:val="center"/>
          </w:tcPr>
          <w:p w14:paraId="371D2B12" w14:textId="5E39FB73" w:rsidR="00614210" w:rsidRPr="00497728" w:rsidRDefault="00614210" w:rsidP="00614210">
            <w:pPr>
              <w:pStyle w:val="TableText"/>
            </w:pPr>
            <w:r w:rsidRPr="00497728">
              <w:t>DAFF</w:t>
            </w:r>
          </w:p>
        </w:tc>
        <w:tc>
          <w:tcPr>
            <w:tcW w:w="3754" w:type="pct"/>
            <w:tcMar>
              <w:left w:w="108" w:type="dxa"/>
              <w:right w:w="108" w:type="dxa"/>
            </w:tcMar>
            <w:vAlign w:val="center"/>
          </w:tcPr>
          <w:p w14:paraId="750A23E2" w14:textId="71705EB0" w:rsidR="00614210" w:rsidRPr="00497728" w:rsidRDefault="00614210" w:rsidP="00614210">
            <w:pPr>
              <w:pStyle w:val="TableText"/>
            </w:pPr>
            <w:r w:rsidRPr="00497728">
              <w:t xml:space="preserve">Department of Agriculture, Fisheries and Forestry </w:t>
            </w:r>
          </w:p>
        </w:tc>
      </w:tr>
      <w:tr w:rsidR="00C751FB" w:rsidRPr="00497728" w14:paraId="1E5A0546" w14:textId="77777777" w:rsidTr="00C35833">
        <w:tc>
          <w:tcPr>
            <w:tcW w:w="1246" w:type="pct"/>
            <w:tcMar>
              <w:left w:w="108" w:type="dxa"/>
              <w:right w:w="108" w:type="dxa"/>
            </w:tcMar>
            <w:vAlign w:val="center"/>
          </w:tcPr>
          <w:p w14:paraId="62E19EFD" w14:textId="7EED8610" w:rsidR="00614210" w:rsidRPr="00497728" w:rsidRDefault="00614210" w:rsidP="00614210">
            <w:pPr>
              <w:pStyle w:val="TableText"/>
            </w:pPr>
            <w:r w:rsidRPr="00497728">
              <w:t>DCCEEW</w:t>
            </w:r>
          </w:p>
        </w:tc>
        <w:tc>
          <w:tcPr>
            <w:tcW w:w="3754" w:type="pct"/>
            <w:tcMar>
              <w:left w:w="108" w:type="dxa"/>
              <w:right w:w="108" w:type="dxa"/>
            </w:tcMar>
            <w:vAlign w:val="center"/>
          </w:tcPr>
          <w:p w14:paraId="049D372A" w14:textId="793D04E0" w:rsidR="00614210" w:rsidRPr="00497728" w:rsidRDefault="00614210" w:rsidP="00614210">
            <w:pPr>
              <w:pStyle w:val="TableText"/>
            </w:pPr>
            <w:r w:rsidRPr="00497728">
              <w:t>Department of Climate Change, Energy, Environment and Water</w:t>
            </w:r>
          </w:p>
        </w:tc>
      </w:tr>
      <w:tr w:rsidR="00C751FB" w:rsidRPr="00497728" w14:paraId="4EBB437E" w14:textId="77777777" w:rsidTr="00C35833">
        <w:tc>
          <w:tcPr>
            <w:tcW w:w="1246" w:type="pct"/>
            <w:tcMar>
              <w:left w:w="108" w:type="dxa"/>
              <w:right w:w="108" w:type="dxa"/>
            </w:tcMar>
            <w:vAlign w:val="center"/>
          </w:tcPr>
          <w:p w14:paraId="6EF17C2F" w14:textId="766E92EF" w:rsidR="00614210" w:rsidRPr="00497728" w:rsidRDefault="00614210" w:rsidP="00614210">
            <w:pPr>
              <w:pStyle w:val="TableText"/>
            </w:pPr>
            <w:r w:rsidRPr="00497728">
              <w:t>ESG</w:t>
            </w:r>
          </w:p>
        </w:tc>
        <w:tc>
          <w:tcPr>
            <w:tcW w:w="3754" w:type="pct"/>
            <w:tcMar>
              <w:left w:w="108" w:type="dxa"/>
              <w:right w:w="108" w:type="dxa"/>
            </w:tcMar>
            <w:vAlign w:val="center"/>
          </w:tcPr>
          <w:p w14:paraId="6A54FE76" w14:textId="5BCDEA82" w:rsidR="00614210" w:rsidRPr="00497728" w:rsidRDefault="00614210" w:rsidP="00614210">
            <w:pPr>
              <w:pStyle w:val="TableText"/>
            </w:pPr>
            <w:r w:rsidRPr="00497728">
              <w:t>environmental, social and governance</w:t>
            </w:r>
          </w:p>
          <w:p w14:paraId="5239BB47" w14:textId="77777777" w:rsidR="00C13653" w:rsidRPr="00497728" w:rsidRDefault="00C13653" w:rsidP="00C13653">
            <w:pPr>
              <w:pStyle w:val="TableText"/>
              <w:rPr>
                <w:i/>
                <w:iCs/>
              </w:rPr>
            </w:pPr>
            <w:r w:rsidRPr="00497728">
              <w:t>A framework that helps stakeholders understand how an organisation is managing risks and opportunities related to environmental, social, and governance criteria (sometimes called ESG factors). ESG takes the holistic view that sustainability extends beyond just environmental issues.</w:t>
            </w:r>
          </w:p>
          <w:p w14:paraId="4135F9C1" w14:textId="0BD266B7" w:rsidR="00C13653" w:rsidRPr="00497728" w:rsidRDefault="00C13653" w:rsidP="00C13653">
            <w:pPr>
              <w:pStyle w:val="TableText"/>
            </w:pPr>
            <w:r w:rsidRPr="00497728">
              <w:rPr>
                <w:i/>
                <w:iCs/>
              </w:rPr>
              <w:t>Source: Corporate Finance Institute.</w:t>
            </w:r>
          </w:p>
        </w:tc>
      </w:tr>
      <w:tr w:rsidR="00C751FB" w:rsidRPr="00497728" w14:paraId="51888F3F" w14:textId="77777777" w:rsidTr="00C35833">
        <w:tc>
          <w:tcPr>
            <w:tcW w:w="1246" w:type="pct"/>
            <w:tcMar>
              <w:left w:w="108" w:type="dxa"/>
              <w:right w:w="108" w:type="dxa"/>
            </w:tcMar>
            <w:vAlign w:val="center"/>
          </w:tcPr>
          <w:p w14:paraId="45DBC449" w14:textId="4B4C9711" w:rsidR="00614210" w:rsidRPr="00497728" w:rsidRDefault="00614210" w:rsidP="00614210">
            <w:pPr>
              <w:pStyle w:val="TableText"/>
            </w:pPr>
            <w:r w:rsidRPr="00497728">
              <w:t>EUDR</w:t>
            </w:r>
          </w:p>
        </w:tc>
        <w:tc>
          <w:tcPr>
            <w:tcW w:w="3754" w:type="pct"/>
            <w:tcMar>
              <w:left w:w="108" w:type="dxa"/>
              <w:right w:w="108" w:type="dxa"/>
            </w:tcMar>
            <w:vAlign w:val="center"/>
          </w:tcPr>
          <w:p w14:paraId="1B0608B4" w14:textId="544C559F" w:rsidR="00614210" w:rsidRPr="00497728" w:rsidRDefault="00614210" w:rsidP="00614210">
            <w:pPr>
              <w:pStyle w:val="TableText"/>
            </w:pPr>
            <w:r w:rsidRPr="00497728">
              <w:t>European Union Deforestation Regulation</w:t>
            </w:r>
          </w:p>
        </w:tc>
      </w:tr>
      <w:tr w:rsidR="00AB18A6" w:rsidRPr="00497728" w14:paraId="4C00A40D" w14:textId="77777777" w:rsidTr="00C35833">
        <w:tc>
          <w:tcPr>
            <w:tcW w:w="1246" w:type="pct"/>
            <w:tcMar>
              <w:left w:w="108" w:type="dxa"/>
              <w:right w:w="108" w:type="dxa"/>
            </w:tcMar>
          </w:tcPr>
          <w:p w14:paraId="5D87CB6E" w14:textId="78D4BEAA" w:rsidR="00C13653" w:rsidRPr="00497728" w:rsidRDefault="00C13653" w:rsidP="00C13653">
            <w:pPr>
              <w:pStyle w:val="TableText"/>
            </w:pPr>
            <w:r w:rsidRPr="00497728">
              <w:t>evaluation</w:t>
            </w:r>
          </w:p>
        </w:tc>
        <w:tc>
          <w:tcPr>
            <w:tcW w:w="3754" w:type="pct"/>
            <w:tcMar>
              <w:left w:w="108" w:type="dxa"/>
              <w:right w:w="108" w:type="dxa"/>
            </w:tcMar>
          </w:tcPr>
          <w:p w14:paraId="14A37FBD" w14:textId="77777777" w:rsidR="00C13653" w:rsidRPr="00497728" w:rsidRDefault="00C13653" w:rsidP="00C13653">
            <w:pPr>
              <w:pStyle w:val="TableText"/>
            </w:pPr>
            <w:r w:rsidRPr="00497728">
              <w:t>A conformity assessment technique or form of determination. The process of gathering evidence about whether a product, process or service meets specified requirements. Evaluation can include techniques such as testing, inspection and auditing.</w:t>
            </w:r>
          </w:p>
          <w:p w14:paraId="3D9410C1" w14:textId="5F68326D" w:rsidR="00C13653" w:rsidRPr="00497728" w:rsidRDefault="00C13653" w:rsidP="00C13653">
            <w:pPr>
              <w:pStyle w:val="TableText"/>
            </w:pPr>
            <w:r w:rsidRPr="00497728">
              <w:rPr>
                <w:i/>
                <w:iCs/>
              </w:rPr>
              <w:t>Source: The ISO Council Committee on Conformity Assessment (CASCO).</w:t>
            </w:r>
          </w:p>
        </w:tc>
      </w:tr>
      <w:tr w:rsidR="00C751FB" w:rsidRPr="00497728" w14:paraId="7D0F348B" w14:textId="77777777" w:rsidTr="00C35833">
        <w:tc>
          <w:tcPr>
            <w:tcW w:w="1246" w:type="pct"/>
            <w:tcMar>
              <w:left w:w="108" w:type="dxa"/>
              <w:right w:w="108" w:type="dxa"/>
            </w:tcMar>
            <w:vAlign w:val="center"/>
          </w:tcPr>
          <w:p w14:paraId="45C414BB" w14:textId="5B8B7BB2" w:rsidR="00614210" w:rsidRPr="00497728" w:rsidRDefault="00614210" w:rsidP="00614210">
            <w:pPr>
              <w:pStyle w:val="TableText"/>
            </w:pPr>
            <w:r w:rsidRPr="00497728">
              <w:t>FAO</w:t>
            </w:r>
          </w:p>
        </w:tc>
        <w:tc>
          <w:tcPr>
            <w:tcW w:w="3754" w:type="pct"/>
            <w:tcMar>
              <w:left w:w="108" w:type="dxa"/>
              <w:right w:w="108" w:type="dxa"/>
            </w:tcMar>
            <w:vAlign w:val="center"/>
          </w:tcPr>
          <w:p w14:paraId="0E5C1145" w14:textId="11155354" w:rsidR="00614210" w:rsidRPr="00497728" w:rsidRDefault="00614210" w:rsidP="00614210">
            <w:pPr>
              <w:pStyle w:val="TableText"/>
            </w:pPr>
            <w:r w:rsidRPr="00497728">
              <w:t>Food and Agriculture Organisation</w:t>
            </w:r>
          </w:p>
        </w:tc>
      </w:tr>
      <w:tr w:rsidR="00C751FB" w:rsidRPr="00497728" w14:paraId="36B3060A" w14:textId="77777777" w:rsidTr="00C35833">
        <w:tc>
          <w:tcPr>
            <w:tcW w:w="1246" w:type="pct"/>
            <w:tcMar>
              <w:left w:w="108" w:type="dxa"/>
              <w:right w:w="108" w:type="dxa"/>
            </w:tcMar>
            <w:vAlign w:val="center"/>
          </w:tcPr>
          <w:p w14:paraId="1DC8D524" w14:textId="3DE531DB" w:rsidR="00614210" w:rsidRPr="00497728" w:rsidRDefault="00614210" w:rsidP="00614210">
            <w:pPr>
              <w:pStyle w:val="TableText"/>
            </w:pPr>
            <w:r w:rsidRPr="00497728">
              <w:t>FMCG</w:t>
            </w:r>
          </w:p>
        </w:tc>
        <w:tc>
          <w:tcPr>
            <w:tcW w:w="3754" w:type="pct"/>
            <w:tcMar>
              <w:left w:w="108" w:type="dxa"/>
              <w:right w:w="108" w:type="dxa"/>
            </w:tcMar>
            <w:vAlign w:val="center"/>
          </w:tcPr>
          <w:p w14:paraId="3CA590DB" w14:textId="76AE946C" w:rsidR="00614210" w:rsidRPr="00497728" w:rsidRDefault="00614210" w:rsidP="00614210">
            <w:pPr>
              <w:pStyle w:val="TableText"/>
            </w:pPr>
            <w:r w:rsidRPr="00497728">
              <w:t>fast-moving consumer goods</w:t>
            </w:r>
          </w:p>
        </w:tc>
      </w:tr>
      <w:tr w:rsidR="00C751FB" w:rsidRPr="00497728" w14:paraId="00B8AD0B" w14:textId="77777777" w:rsidTr="00C35833">
        <w:tc>
          <w:tcPr>
            <w:tcW w:w="1246" w:type="pct"/>
            <w:tcMar>
              <w:left w:w="108" w:type="dxa"/>
              <w:right w:w="108" w:type="dxa"/>
            </w:tcMar>
            <w:vAlign w:val="center"/>
          </w:tcPr>
          <w:p w14:paraId="17211983" w14:textId="099D28AC" w:rsidR="00614210" w:rsidRPr="00497728" w:rsidRDefault="00614210" w:rsidP="00614210">
            <w:pPr>
              <w:pStyle w:val="TableText"/>
            </w:pPr>
            <w:r w:rsidRPr="00497728">
              <w:t>GHG</w:t>
            </w:r>
          </w:p>
        </w:tc>
        <w:tc>
          <w:tcPr>
            <w:tcW w:w="3754" w:type="pct"/>
            <w:tcMar>
              <w:left w:w="108" w:type="dxa"/>
              <w:right w:w="108" w:type="dxa"/>
            </w:tcMar>
            <w:vAlign w:val="center"/>
          </w:tcPr>
          <w:p w14:paraId="6BDC626C" w14:textId="2280FA08" w:rsidR="00614210" w:rsidRPr="00497728" w:rsidRDefault="00614210" w:rsidP="00614210">
            <w:pPr>
              <w:pStyle w:val="TableText"/>
            </w:pPr>
            <w:r w:rsidRPr="00497728">
              <w:t>greenhouse gas</w:t>
            </w:r>
          </w:p>
        </w:tc>
      </w:tr>
      <w:tr w:rsidR="00AB18A6" w:rsidRPr="00497728" w14:paraId="515105DA" w14:textId="77777777" w:rsidTr="00C35833">
        <w:tc>
          <w:tcPr>
            <w:tcW w:w="1246" w:type="pct"/>
            <w:tcMar>
              <w:left w:w="108" w:type="dxa"/>
              <w:right w:w="108" w:type="dxa"/>
            </w:tcMar>
          </w:tcPr>
          <w:p w14:paraId="783F36C7" w14:textId="4BE79B31" w:rsidR="00C13653" w:rsidRPr="00497728" w:rsidRDefault="00C13653" w:rsidP="00C13653">
            <w:pPr>
              <w:pStyle w:val="TableText"/>
            </w:pPr>
            <w:r w:rsidRPr="00497728">
              <w:t>greenwashing</w:t>
            </w:r>
          </w:p>
        </w:tc>
        <w:tc>
          <w:tcPr>
            <w:tcW w:w="3754" w:type="pct"/>
            <w:tcMar>
              <w:left w:w="108" w:type="dxa"/>
              <w:right w:w="108" w:type="dxa"/>
            </w:tcMar>
          </w:tcPr>
          <w:p w14:paraId="0F398C1B" w14:textId="77777777" w:rsidR="00C13653" w:rsidRPr="00497728" w:rsidRDefault="00C13653" w:rsidP="00C13653">
            <w:pPr>
              <w:pStyle w:val="TableText"/>
            </w:pPr>
            <w:r w:rsidRPr="00497728">
              <w:t>False or misleading information, either intentionally or inadvertently, regarding the environmental or sustainability attributes of a product, asset and activity, which can have consequences on the assessment of financial and non-financial materiality (3.1.12).</w:t>
            </w:r>
          </w:p>
          <w:p w14:paraId="2C25567F" w14:textId="2DC0B177" w:rsidR="00C13653" w:rsidRPr="00497728" w:rsidRDefault="00C13653" w:rsidP="00C13653">
            <w:pPr>
              <w:pStyle w:val="TableText"/>
            </w:pPr>
            <w:r w:rsidRPr="00497728">
              <w:t>Source: ISO 14100:2022(</w:t>
            </w:r>
            <w:proofErr w:type="spellStart"/>
            <w:r w:rsidRPr="00497728">
              <w:t>en</w:t>
            </w:r>
            <w:proofErr w:type="spellEnd"/>
            <w:r w:rsidRPr="00497728">
              <w:t>), 3.1.15</w:t>
            </w:r>
          </w:p>
        </w:tc>
      </w:tr>
      <w:tr w:rsidR="00AB18A6" w:rsidRPr="00497728" w14:paraId="2605EE9E" w14:textId="77777777" w:rsidTr="00C35833">
        <w:tc>
          <w:tcPr>
            <w:tcW w:w="1246" w:type="pct"/>
            <w:tcMar>
              <w:left w:w="108" w:type="dxa"/>
              <w:right w:w="108" w:type="dxa"/>
            </w:tcMar>
          </w:tcPr>
          <w:p w14:paraId="6B431C8D" w14:textId="5464EAE9" w:rsidR="00C13653" w:rsidRPr="00497728" w:rsidRDefault="00C13653" w:rsidP="00C13653">
            <w:pPr>
              <w:pStyle w:val="TableText"/>
            </w:pPr>
            <w:r w:rsidRPr="00497728">
              <w:t>interoperability</w:t>
            </w:r>
          </w:p>
        </w:tc>
        <w:tc>
          <w:tcPr>
            <w:tcW w:w="3754" w:type="pct"/>
            <w:tcMar>
              <w:left w:w="108" w:type="dxa"/>
              <w:right w:w="108" w:type="dxa"/>
            </w:tcMar>
          </w:tcPr>
          <w:p w14:paraId="08AB4C3B" w14:textId="3E94CDD4" w:rsidR="00C13653" w:rsidRPr="00497728" w:rsidRDefault="00C13653" w:rsidP="00C13653">
            <w:pPr>
              <w:pStyle w:val="TableText"/>
            </w:pPr>
            <w:r w:rsidRPr="00497728">
              <w:t>The ability to move information easily between people, organisations, and systems. It enables a connected systems that share information securely, safely and without any special effort from the people and organisations involved. Source: Australian Digital Health Agency.</w:t>
            </w:r>
          </w:p>
        </w:tc>
      </w:tr>
      <w:tr w:rsidR="00C751FB" w:rsidRPr="00497728" w14:paraId="471C39D4" w14:textId="77777777" w:rsidTr="00C35833">
        <w:tc>
          <w:tcPr>
            <w:tcW w:w="1246" w:type="pct"/>
            <w:tcMar>
              <w:left w:w="108" w:type="dxa"/>
              <w:right w:w="108" w:type="dxa"/>
            </w:tcMar>
            <w:vAlign w:val="center"/>
          </w:tcPr>
          <w:p w14:paraId="460A37D9" w14:textId="18555169" w:rsidR="00C13653" w:rsidRPr="00497728" w:rsidRDefault="00C13653" w:rsidP="00C13653">
            <w:pPr>
              <w:pStyle w:val="TableText"/>
            </w:pPr>
            <w:r w:rsidRPr="00497728">
              <w:t>ISCC</w:t>
            </w:r>
          </w:p>
        </w:tc>
        <w:tc>
          <w:tcPr>
            <w:tcW w:w="3754" w:type="pct"/>
            <w:tcMar>
              <w:left w:w="108" w:type="dxa"/>
              <w:right w:w="108" w:type="dxa"/>
            </w:tcMar>
            <w:vAlign w:val="center"/>
          </w:tcPr>
          <w:p w14:paraId="110D5255" w14:textId="733C2C1D" w:rsidR="00C13653" w:rsidRPr="00497728" w:rsidRDefault="00C13653" w:rsidP="00C13653">
            <w:pPr>
              <w:pStyle w:val="TableText"/>
            </w:pPr>
            <w:r w:rsidRPr="00497728">
              <w:t>International Sustainability and Carbon Certification</w:t>
            </w:r>
          </w:p>
        </w:tc>
      </w:tr>
      <w:tr w:rsidR="00C751FB" w:rsidRPr="00497728" w14:paraId="5674BD49" w14:textId="77777777" w:rsidTr="00C35833">
        <w:tc>
          <w:tcPr>
            <w:tcW w:w="1246" w:type="pct"/>
            <w:tcMar>
              <w:left w:w="108" w:type="dxa"/>
              <w:right w:w="108" w:type="dxa"/>
            </w:tcMar>
            <w:vAlign w:val="center"/>
          </w:tcPr>
          <w:p w14:paraId="2955FA5B" w14:textId="6294C21E" w:rsidR="00C13653" w:rsidRPr="00497728" w:rsidRDefault="00C13653" w:rsidP="00C13653">
            <w:pPr>
              <w:pStyle w:val="TableText"/>
            </w:pPr>
            <w:r w:rsidRPr="00497728">
              <w:t>JAS</w:t>
            </w:r>
          </w:p>
        </w:tc>
        <w:tc>
          <w:tcPr>
            <w:tcW w:w="3754" w:type="pct"/>
            <w:tcMar>
              <w:left w:w="108" w:type="dxa"/>
              <w:right w:w="108" w:type="dxa"/>
            </w:tcMar>
            <w:vAlign w:val="center"/>
          </w:tcPr>
          <w:p w14:paraId="62725005" w14:textId="2D03DB51" w:rsidR="00C13653" w:rsidRPr="00497728" w:rsidRDefault="00C13653" w:rsidP="00C13653">
            <w:pPr>
              <w:pStyle w:val="TableText"/>
            </w:pPr>
            <w:r w:rsidRPr="00497728">
              <w:t>Japanese Agricultural Standards</w:t>
            </w:r>
          </w:p>
        </w:tc>
      </w:tr>
      <w:tr w:rsidR="00497728" w:rsidRPr="00497728" w14:paraId="58B14234" w14:textId="77777777" w:rsidTr="00C35833">
        <w:tc>
          <w:tcPr>
            <w:tcW w:w="1246" w:type="pct"/>
            <w:tcMar>
              <w:left w:w="108" w:type="dxa"/>
              <w:right w:w="108" w:type="dxa"/>
            </w:tcMar>
          </w:tcPr>
          <w:p w14:paraId="484143F0" w14:textId="559C0109" w:rsidR="00C13653" w:rsidRPr="00497728" w:rsidRDefault="00C13653" w:rsidP="00C13653">
            <w:pPr>
              <w:pStyle w:val="TableText"/>
            </w:pPr>
            <w:r w:rsidRPr="00497728">
              <w:t>metadata</w:t>
            </w:r>
          </w:p>
        </w:tc>
        <w:tc>
          <w:tcPr>
            <w:tcW w:w="3754" w:type="pct"/>
            <w:tcMar>
              <w:left w:w="108" w:type="dxa"/>
              <w:right w:w="108" w:type="dxa"/>
            </w:tcMar>
          </w:tcPr>
          <w:p w14:paraId="5CE0AB62" w14:textId="77777777" w:rsidR="00C13653" w:rsidRPr="00497728" w:rsidRDefault="00C13653" w:rsidP="00C13653">
            <w:pPr>
              <w:pStyle w:val="TableText"/>
            </w:pPr>
            <w:r w:rsidRPr="00497728">
              <w:t>Data about data.</w:t>
            </w:r>
          </w:p>
          <w:p w14:paraId="0AD8307F" w14:textId="321BA4C5" w:rsidR="00C13653" w:rsidRPr="00497728" w:rsidRDefault="00C13653" w:rsidP="00C13653">
            <w:pPr>
              <w:pStyle w:val="TableText"/>
            </w:pPr>
            <w:r w:rsidRPr="00497728">
              <w:rPr>
                <w:i/>
                <w:iCs/>
              </w:rPr>
              <w:t>Source: ISO 19115:2003</w:t>
            </w:r>
          </w:p>
        </w:tc>
      </w:tr>
      <w:tr w:rsidR="00C751FB" w:rsidRPr="00497728" w14:paraId="361730DD" w14:textId="77777777" w:rsidTr="00C35833">
        <w:tc>
          <w:tcPr>
            <w:tcW w:w="1246" w:type="pct"/>
            <w:tcMar>
              <w:left w:w="108" w:type="dxa"/>
              <w:right w:w="108" w:type="dxa"/>
            </w:tcMar>
            <w:vAlign w:val="center"/>
          </w:tcPr>
          <w:p w14:paraId="41895948" w14:textId="389ED52B" w:rsidR="00C13653" w:rsidRPr="00497728" w:rsidRDefault="00C13653" w:rsidP="00C13653">
            <w:pPr>
              <w:pStyle w:val="TableText"/>
            </w:pPr>
            <w:r w:rsidRPr="00497728">
              <w:t>MSC</w:t>
            </w:r>
          </w:p>
        </w:tc>
        <w:tc>
          <w:tcPr>
            <w:tcW w:w="3754" w:type="pct"/>
            <w:tcMar>
              <w:left w:w="108" w:type="dxa"/>
              <w:right w:w="108" w:type="dxa"/>
            </w:tcMar>
            <w:vAlign w:val="center"/>
          </w:tcPr>
          <w:p w14:paraId="4D32EF67" w14:textId="7C337938" w:rsidR="00C13653" w:rsidRPr="00497728" w:rsidRDefault="00C13653" w:rsidP="00C13653">
            <w:pPr>
              <w:pStyle w:val="TableText"/>
            </w:pPr>
            <w:r w:rsidRPr="00497728">
              <w:t>Marine Stewardship Council</w:t>
            </w:r>
          </w:p>
        </w:tc>
      </w:tr>
      <w:tr w:rsidR="00C751FB" w:rsidRPr="00497728" w14:paraId="37D408AE" w14:textId="77777777" w:rsidTr="00C35833">
        <w:tc>
          <w:tcPr>
            <w:tcW w:w="1246" w:type="pct"/>
            <w:tcMar>
              <w:left w:w="108" w:type="dxa"/>
              <w:right w:w="108" w:type="dxa"/>
            </w:tcMar>
            <w:vAlign w:val="center"/>
          </w:tcPr>
          <w:p w14:paraId="7C795BFB" w14:textId="24F5A4AB" w:rsidR="00C13653" w:rsidRPr="00497728" w:rsidRDefault="00C13653" w:rsidP="00C13653">
            <w:pPr>
              <w:pStyle w:val="TableText"/>
            </w:pPr>
            <w:r w:rsidRPr="00497728">
              <w:t>MLA</w:t>
            </w:r>
          </w:p>
        </w:tc>
        <w:tc>
          <w:tcPr>
            <w:tcW w:w="3754" w:type="pct"/>
            <w:tcMar>
              <w:left w:w="108" w:type="dxa"/>
              <w:right w:w="108" w:type="dxa"/>
            </w:tcMar>
            <w:vAlign w:val="center"/>
          </w:tcPr>
          <w:p w14:paraId="56CAA976" w14:textId="7EBAFD06" w:rsidR="00C13653" w:rsidRPr="00497728" w:rsidRDefault="00C13653" w:rsidP="00C13653">
            <w:pPr>
              <w:pStyle w:val="TableText"/>
            </w:pPr>
            <w:r w:rsidRPr="00497728">
              <w:t>Meat and Livestock Australia</w:t>
            </w:r>
          </w:p>
        </w:tc>
      </w:tr>
      <w:tr w:rsidR="00C751FB" w:rsidRPr="00497728" w14:paraId="04F407E5" w14:textId="77777777" w:rsidTr="00C35833">
        <w:tc>
          <w:tcPr>
            <w:tcW w:w="1246" w:type="pct"/>
            <w:tcMar>
              <w:left w:w="108" w:type="dxa"/>
              <w:right w:w="108" w:type="dxa"/>
            </w:tcMar>
            <w:vAlign w:val="center"/>
          </w:tcPr>
          <w:p w14:paraId="0A861123" w14:textId="6689C544" w:rsidR="00C13653" w:rsidRPr="00497728" w:rsidRDefault="00C13653" w:rsidP="00C13653">
            <w:pPr>
              <w:pStyle w:val="TableText"/>
            </w:pPr>
            <w:r w:rsidRPr="00497728">
              <w:t>NFF</w:t>
            </w:r>
          </w:p>
        </w:tc>
        <w:tc>
          <w:tcPr>
            <w:tcW w:w="3754" w:type="pct"/>
            <w:tcMar>
              <w:left w:w="108" w:type="dxa"/>
              <w:right w:w="108" w:type="dxa"/>
            </w:tcMar>
            <w:vAlign w:val="center"/>
          </w:tcPr>
          <w:p w14:paraId="544C0F4E" w14:textId="4E61A5BB" w:rsidR="00C13653" w:rsidRPr="00497728" w:rsidRDefault="00C13653" w:rsidP="00C13653">
            <w:pPr>
              <w:pStyle w:val="TableText"/>
            </w:pPr>
            <w:r w:rsidRPr="00497728">
              <w:t>National Farmers’ Federation</w:t>
            </w:r>
          </w:p>
        </w:tc>
      </w:tr>
      <w:tr w:rsidR="00C751FB" w:rsidRPr="00497728" w14:paraId="13DFC34A" w14:textId="77777777" w:rsidTr="00C35833">
        <w:tc>
          <w:tcPr>
            <w:tcW w:w="1246" w:type="pct"/>
            <w:tcMar>
              <w:left w:w="108" w:type="dxa"/>
              <w:right w:w="108" w:type="dxa"/>
            </w:tcMar>
            <w:vAlign w:val="center"/>
          </w:tcPr>
          <w:p w14:paraId="2C74227A" w14:textId="131FE395" w:rsidR="00C13653" w:rsidRPr="00497728" w:rsidRDefault="00C13653" w:rsidP="00C13653">
            <w:pPr>
              <w:pStyle w:val="TableText"/>
            </w:pPr>
            <w:r w:rsidRPr="00497728">
              <w:t>NGO</w:t>
            </w:r>
          </w:p>
        </w:tc>
        <w:tc>
          <w:tcPr>
            <w:tcW w:w="3754" w:type="pct"/>
            <w:tcMar>
              <w:left w:w="108" w:type="dxa"/>
              <w:right w:w="108" w:type="dxa"/>
            </w:tcMar>
            <w:vAlign w:val="center"/>
          </w:tcPr>
          <w:p w14:paraId="7E5B6933" w14:textId="1E2375D0" w:rsidR="00C13653" w:rsidRPr="00497728" w:rsidRDefault="00C13653" w:rsidP="00C13653">
            <w:pPr>
              <w:pStyle w:val="TableText"/>
            </w:pPr>
            <w:r w:rsidRPr="00497728">
              <w:t>non-government organisation</w:t>
            </w:r>
          </w:p>
        </w:tc>
      </w:tr>
      <w:tr w:rsidR="00497728" w:rsidRPr="00497728" w14:paraId="56C40B59" w14:textId="77777777" w:rsidTr="00C35833">
        <w:tc>
          <w:tcPr>
            <w:tcW w:w="1246" w:type="pct"/>
            <w:tcMar>
              <w:left w:w="108" w:type="dxa"/>
              <w:right w:w="108" w:type="dxa"/>
            </w:tcMar>
          </w:tcPr>
          <w:p w14:paraId="4C026BCD" w14:textId="6B4AF414" w:rsidR="00BD40AE" w:rsidRPr="00497728" w:rsidRDefault="00BD40AE" w:rsidP="00BD40AE">
            <w:pPr>
              <w:pStyle w:val="TableText"/>
            </w:pPr>
            <w:r w:rsidRPr="00497728">
              <w:t>principle</w:t>
            </w:r>
          </w:p>
        </w:tc>
        <w:tc>
          <w:tcPr>
            <w:tcW w:w="3754" w:type="pct"/>
            <w:tcMar>
              <w:left w:w="108" w:type="dxa"/>
              <w:right w:w="108" w:type="dxa"/>
            </w:tcMar>
          </w:tcPr>
          <w:p w14:paraId="13EE73B6" w14:textId="35828AF8" w:rsidR="00BD40AE" w:rsidRPr="00497728" w:rsidRDefault="00BD40AE" w:rsidP="00BD40AE">
            <w:pPr>
              <w:pStyle w:val="TableText"/>
            </w:pPr>
            <w:r w:rsidRPr="00497728">
              <w:t>The fundamental statement about a desired outcome.</w:t>
            </w:r>
          </w:p>
        </w:tc>
      </w:tr>
      <w:tr w:rsidR="00C751FB" w:rsidRPr="00497728" w14:paraId="01BB9017" w14:textId="77777777" w:rsidTr="00C35833">
        <w:tc>
          <w:tcPr>
            <w:tcW w:w="1246" w:type="pct"/>
            <w:tcMar>
              <w:left w:w="108" w:type="dxa"/>
              <w:right w:w="108" w:type="dxa"/>
            </w:tcMar>
            <w:vAlign w:val="center"/>
          </w:tcPr>
          <w:p w14:paraId="562FA763" w14:textId="46FB06B2" w:rsidR="00BD40AE" w:rsidRPr="00497728" w:rsidRDefault="00BD40AE" w:rsidP="00BD40AE">
            <w:pPr>
              <w:pStyle w:val="TableText"/>
            </w:pPr>
            <w:r w:rsidRPr="00497728">
              <w:t>SAI</w:t>
            </w:r>
          </w:p>
        </w:tc>
        <w:tc>
          <w:tcPr>
            <w:tcW w:w="3754" w:type="pct"/>
            <w:tcMar>
              <w:left w:w="108" w:type="dxa"/>
              <w:right w:w="108" w:type="dxa"/>
            </w:tcMar>
            <w:vAlign w:val="center"/>
          </w:tcPr>
          <w:p w14:paraId="7D3552EF" w14:textId="3F155ED6" w:rsidR="00BD40AE" w:rsidRPr="00497728" w:rsidRDefault="00BD40AE" w:rsidP="00BD40AE">
            <w:pPr>
              <w:pStyle w:val="TableText"/>
            </w:pPr>
            <w:r w:rsidRPr="00497728">
              <w:t>Sustainable Agriculture Initiative (platform)</w:t>
            </w:r>
          </w:p>
        </w:tc>
      </w:tr>
      <w:tr w:rsidR="00C751FB" w:rsidRPr="00497728" w14:paraId="5613F140" w14:textId="77777777" w:rsidTr="00C35833">
        <w:tc>
          <w:tcPr>
            <w:tcW w:w="1246" w:type="pct"/>
            <w:tcMar>
              <w:left w:w="108" w:type="dxa"/>
              <w:right w:w="108" w:type="dxa"/>
            </w:tcMar>
            <w:vAlign w:val="center"/>
          </w:tcPr>
          <w:p w14:paraId="33A0F1EE" w14:textId="54725DF6" w:rsidR="00BD40AE" w:rsidRPr="00497728" w:rsidRDefault="00BD40AE" w:rsidP="00BD40AE">
            <w:pPr>
              <w:pStyle w:val="TableText"/>
            </w:pPr>
            <w:r w:rsidRPr="00497728">
              <w:t>SDGs</w:t>
            </w:r>
          </w:p>
        </w:tc>
        <w:tc>
          <w:tcPr>
            <w:tcW w:w="3754" w:type="pct"/>
            <w:tcMar>
              <w:left w:w="108" w:type="dxa"/>
              <w:right w:w="108" w:type="dxa"/>
            </w:tcMar>
            <w:vAlign w:val="center"/>
          </w:tcPr>
          <w:p w14:paraId="406DF9C6" w14:textId="20EE1EAF" w:rsidR="00BD40AE" w:rsidRPr="00497728" w:rsidRDefault="00BD40AE" w:rsidP="00BD40AE">
            <w:pPr>
              <w:pStyle w:val="TableText"/>
            </w:pPr>
            <w:r w:rsidRPr="00497728">
              <w:t xml:space="preserve">The United Nation’s </w:t>
            </w:r>
            <w:hyperlink r:id="rId24" w:history="1">
              <w:r w:rsidRPr="00497728">
                <w:rPr>
                  <w:rStyle w:val="Hyperlink"/>
                </w:rPr>
                <w:t>17 Sustainable Development Goals</w:t>
              </w:r>
            </w:hyperlink>
            <w:r w:rsidRPr="00497728">
              <w:rPr>
                <w:rStyle w:val="Hyperlink"/>
              </w:rPr>
              <w:t>.</w:t>
            </w:r>
          </w:p>
        </w:tc>
      </w:tr>
      <w:tr w:rsidR="00C751FB" w:rsidRPr="00497728" w14:paraId="24281C26" w14:textId="77777777" w:rsidTr="00C35833">
        <w:tc>
          <w:tcPr>
            <w:tcW w:w="1246" w:type="pct"/>
            <w:tcMar>
              <w:left w:w="108" w:type="dxa"/>
              <w:right w:w="108" w:type="dxa"/>
            </w:tcMar>
            <w:vAlign w:val="center"/>
          </w:tcPr>
          <w:p w14:paraId="7DF7D8E9" w14:textId="78B4E04E" w:rsidR="00BD40AE" w:rsidRPr="00497728" w:rsidRDefault="00BD40AE" w:rsidP="00BD40AE">
            <w:pPr>
              <w:pStyle w:val="TableText"/>
            </w:pPr>
            <w:r w:rsidRPr="00497728">
              <w:t>SEC</w:t>
            </w:r>
          </w:p>
        </w:tc>
        <w:tc>
          <w:tcPr>
            <w:tcW w:w="3754" w:type="pct"/>
            <w:tcMar>
              <w:left w:w="108" w:type="dxa"/>
              <w:right w:w="108" w:type="dxa"/>
            </w:tcMar>
            <w:vAlign w:val="center"/>
          </w:tcPr>
          <w:p w14:paraId="28496EB0" w14:textId="6A1BE6FB" w:rsidR="00BD40AE" w:rsidRPr="00497728" w:rsidRDefault="00BD40AE" w:rsidP="00BD40AE">
            <w:pPr>
              <w:pStyle w:val="TableText"/>
            </w:pPr>
            <w:r w:rsidRPr="00497728">
              <w:t>United States Securities and Exchange Commission</w:t>
            </w:r>
          </w:p>
        </w:tc>
      </w:tr>
      <w:tr w:rsidR="00497728" w:rsidRPr="00497728" w14:paraId="785169F2" w14:textId="77777777" w:rsidTr="00C35833">
        <w:tc>
          <w:tcPr>
            <w:tcW w:w="1246" w:type="pct"/>
            <w:tcMar>
              <w:left w:w="108" w:type="dxa"/>
              <w:right w:w="108" w:type="dxa"/>
            </w:tcMar>
          </w:tcPr>
          <w:p w14:paraId="115BEAB4" w14:textId="18E5631F" w:rsidR="00C35833" w:rsidRPr="00497728" w:rsidRDefault="00C35833" w:rsidP="00C35833">
            <w:pPr>
              <w:pStyle w:val="TableText"/>
            </w:pPr>
            <w:r w:rsidRPr="00497728">
              <w:lastRenderedPageBreak/>
              <w:t>standard</w:t>
            </w:r>
          </w:p>
        </w:tc>
        <w:tc>
          <w:tcPr>
            <w:tcW w:w="3754" w:type="pct"/>
            <w:tcMar>
              <w:left w:w="108" w:type="dxa"/>
              <w:right w:w="108" w:type="dxa"/>
            </w:tcMar>
          </w:tcPr>
          <w:p w14:paraId="0E47AB93" w14:textId="331862D8" w:rsidR="00C35833" w:rsidRPr="00497728" w:rsidDel="00EC77B1" w:rsidRDefault="00C35833" w:rsidP="00C35833">
            <w:pPr>
              <w:pStyle w:val="TableText"/>
            </w:pPr>
            <w:r w:rsidRPr="00497728">
              <w:rPr>
                <w:lang w:val="en-GB"/>
              </w:rPr>
              <w:t xml:space="preserve">A document that provides requirements, specifications, guidelines or characteristics that can be used consistently to ensure that materials, products, processes and services are fit for their purpose. </w:t>
            </w:r>
            <w:r w:rsidRPr="00497728">
              <w:rPr>
                <w:i/>
                <w:iCs/>
                <w:lang w:val="en-GB"/>
              </w:rPr>
              <w:t>Source: ISO.</w:t>
            </w:r>
          </w:p>
        </w:tc>
      </w:tr>
      <w:tr w:rsidR="00497728" w:rsidRPr="00497728" w14:paraId="11488013" w14:textId="77777777" w:rsidTr="003A13AA">
        <w:tc>
          <w:tcPr>
            <w:tcW w:w="1246" w:type="pct"/>
            <w:tcMar>
              <w:left w:w="108" w:type="dxa"/>
              <w:right w:w="108" w:type="dxa"/>
            </w:tcMar>
          </w:tcPr>
          <w:p w14:paraId="1C176F76" w14:textId="5DB51656" w:rsidR="00C35833" w:rsidRPr="00497728" w:rsidRDefault="00C35833" w:rsidP="00C35833">
            <w:pPr>
              <w:pStyle w:val="TableText"/>
            </w:pPr>
            <w:r w:rsidRPr="00497728">
              <w:t>standards development organisations</w:t>
            </w:r>
          </w:p>
        </w:tc>
        <w:tc>
          <w:tcPr>
            <w:tcW w:w="3754" w:type="pct"/>
            <w:tcMar>
              <w:left w:w="108" w:type="dxa"/>
              <w:right w:w="108" w:type="dxa"/>
            </w:tcMar>
          </w:tcPr>
          <w:p w14:paraId="4A1BBB1D" w14:textId="0726C86C" w:rsidR="00C35833" w:rsidRPr="00497728" w:rsidDel="00EC77B1" w:rsidRDefault="00C35833" w:rsidP="00C35833">
            <w:pPr>
              <w:pStyle w:val="TableText"/>
            </w:pPr>
            <w:r w:rsidRPr="00497728">
              <w:t xml:space="preserve">Industry- or sector-based standards organisations that develop and publish industry specific standards. </w:t>
            </w:r>
            <w:r w:rsidRPr="00497728">
              <w:rPr>
                <w:i/>
                <w:iCs/>
              </w:rPr>
              <w:t>Source: Standards Australia.</w:t>
            </w:r>
          </w:p>
        </w:tc>
      </w:tr>
      <w:tr w:rsidR="00497728" w:rsidRPr="00497728" w14:paraId="70381C31" w14:textId="77777777" w:rsidTr="003A13AA">
        <w:tc>
          <w:tcPr>
            <w:tcW w:w="1246" w:type="pct"/>
            <w:tcMar>
              <w:left w:w="108" w:type="dxa"/>
              <w:right w:w="108" w:type="dxa"/>
            </w:tcMar>
          </w:tcPr>
          <w:p w14:paraId="571CDF60" w14:textId="66D7A859" w:rsidR="00C35833" w:rsidRPr="00497728" w:rsidRDefault="00C35833" w:rsidP="00C35833">
            <w:pPr>
              <w:pStyle w:val="TableText"/>
            </w:pPr>
            <w:r w:rsidRPr="00497728">
              <w:t>sustainability</w:t>
            </w:r>
          </w:p>
        </w:tc>
        <w:tc>
          <w:tcPr>
            <w:tcW w:w="3754" w:type="pct"/>
            <w:tcMar>
              <w:left w:w="108" w:type="dxa"/>
              <w:right w:w="108" w:type="dxa"/>
            </w:tcMar>
          </w:tcPr>
          <w:p w14:paraId="09B23EAB" w14:textId="7A624175" w:rsidR="00C35833" w:rsidRPr="00497728" w:rsidRDefault="00C35833" w:rsidP="00C35833">
            <w:pPr>
              <w:pStyle w:val="TableText"/>
            </w:pPr>
            <w:r w:rsidRPr="00497728">
              <w:t xml:space="preserve">Maintenance of ecosystem components and functions for future generations, to address economic efficiency, social issues and environmental preservation. </w:t>
            </w:r>
          </w:p>
        </w:tc>
      </w:tr>
      <w:tr w:rsidR="00497728" w:rsidRPr="00497728" w14:paraId="6CD3EC20" w14:textId="77777777" w:rsidTr="003A13AA">
        <w:tc>
          <w:tcPr>
            <w:tcW w:w="1246" w:type="pct"/>
            <w:tcMar>
              <w:left w:w="108" w:type="dxa"/>
              <w:right w:w="108" w:type="dxa"/>
            </w:tcMar>
          </w:tcPr>
          <w:p w14:paraId="140384D5" w14:textId="2676319F" w:rsidR="00C35833" w:rsidRPr="00497728" w:rsidRDefault="00C35833" w:rsidP="00C35833">
            <w:pPr>
              <w:pStyle w:val="TableText"/>
            </w:pPr>
            <w:r w:rsidRPr="00497728">
              <w:t>system</w:t>
            </w:r>
          </w:p>
        </w:tc>
        <w:tc>
          <w:tcPr>
            <w:tcW w:w="3754" w:type="pct"/>
            <w:tcMar>
              <w:left w:w="108" w:type="dxa"/>
              <w:right w:w="108" w:type="dxa"/>
            </w:tcMar>
          </w:tcPr>
          <w:p w14:paraId="660BAB94" w14:textId="1F5A6E04" w:rsidR="00C35833" w:rsidRPr="00497728" w:rsidRDefault="00C35833" w:rsidP="00C35833">
            <w:pPr>
              <w:pStyle w:val="TableText"/>
            </w:pPr>
            <w:r w:rsidRPr="00497728">
              <w:t xml:space="preserve">Set of interrelated or interacting elements. </w:t>
            </w:r>
            <w:r w:rsidRPr="00497728">
              <w:rPr>
                <w:i/>
                <w:iCs/>
              </w:rPr>
              <w:t>Source: ISO 9000:2015 – Quality management systems – Fundamentals and vocabulary.</w:t>
            </w:r>
          </w:p>
        </w:tc>
      </w:tr>
      <w:tr w:rsidR="00497728" w:rsidRPr="00497728" w14:paraId="0C8FCA88" w14:textId="77777777" w:rsidTr="003A13AA">
        <w:tc>
          <w:tcPr>
            <w:tcW w:w="1246" w:type="pct"/>
            <w:tcMar>
              <w:left w:w="108" w:type="dxa"/>
              <w:right w:w="108" w:type="dxa"/>
            </w:tcMar>
          </w:tcPr>
          <w:p w14:paraId="2FA0AEAC" w14:textId="4802F2F8" w:rsidR="00C35833" w:rsidRPr="00497728" w:rsidRDefault="00C35833" w:rsidP="00C35833">
            <w:pPr>
              <w:pStyle w:val="TableText"/>
            </w:pPr>
            <w:r w:rsidRPr="00497728">
              <w:t>traceability</w:t>
            </w:r>
          </w:p>
        </w:tc>
        <w:tc>
          <w:tcPr>
            <w:tcW w:w="3754" w:type="pct"/>
            <w:tcMar>
              <w:left w:w="108" w:type="dxa"/>
              <w:right w:w="108" w:type="dxa"/>
            </w:tcMar>
          </w:tcPr>
          <w:p w14:paraId="34300071" w14:textId="77777777" w:rsidR="00C35833" w:rsidRPr="00497728" w:rsidRDefault="00C35833" w:rsidP="00C35833">
            <w:pPr>
              <w:pStyle w:val="TableText"/>
            </w:pPr>
            <w:r w:rsidRPr="00497728">
              <w:t xml:space="preserve">The ability to trace the history, application or location of an item. </w:t>
            </w:r>
            <w:r w:rsidRPr="00497728">
              <w:rPr>
                <w:i/>
                <w:iCs/>
              </w:rPr>
              <w:t>Source: ISO 9000:2015 – Quality management systems – Fundamentals and vocabulary.</w:t>
            </w:r>
          </w:p>
          <w:p w14:paraId="4259CC22" w14:textId="308DBB8E" w:rsidR="00C35833" w:rsidRPr="00497728" w:rsidRDefault="00C35833" w:rsidP="00C35833">
            <w:pPr>
              <w:pStyle w:val="TableText"/>
            </w:pPr>
            <w:r w:rsidRPr="00497728">
              <w:t>NOTE: When considering a product or a service traceability can relate to the origin of materials and parts; the processing history; or the distribution and location of the product or service after delivery.</w:t>
            </w:r>
          </w:p>
        </w:tc>
      </w:tr>
      <w:tr w:rsidR="00497728" w:rsidRPr="00497728" w14:paraId="7A801C80" w14:textId="77777777" w:rsidTr="003A13AA">
        <w:tc>
          <w:tcPr>
            <w:tcW w:w="1246" w:type="pct"/>
            <w:tcMar>
              <w:left w:w="108" w:type="dxa"/>
              <w:right w:w="108" w:type="dxa"/>
            </w:tcMar>
          </w:tcPr>
          <w:p w14:paraId="32DB60E5" w14:textId="4860FB85" w:rsidR="00C35833" w:rsidRPr="00497728" w:rsidRDefault="00C35833" w:rsidP="00C35833">
            <w:pPr>
              <w:pStyle w:val="TableText"/>
            </w:pPr>
            <w:r w:rsidRPr="00497728">
              <w:t>traceability system</w:t>
            </w:r>
          </w:p>
        </w:tc>
        <w:tc>
          <w:tcPr>
            <w:tcW w:w="3754" w:type="pct"/>
            <w:tcMar>
              <w:left w:w="108" w:type="dxa"/>
              <w:right w:w="108" w:type="dxa"/>
            </w:tcMar>
          </w:tcPr>
          <w:p w14:paraId="25210736" w14:textId="4B9DFB5A" w:rsidR="00C35833" w:rsidRPr="00497728" w:rsidRDefault="00C35833" w:rsidP="00C35833">
            <w:pPr>
              <w:pStyle w:val="TableText"/>
            </w:pPr>
            <w:r w:rsidRPr="00497728">
              <w:t xml:space="preserve">Totality of data and operations that is capable of maintaining desired information about a product and its components through all or part of its production and utilisation chain. </w:t>
            </w:r>
            <w:r w:rsidRPr="00497728">
              <w:rPr>
                <w:i/>
                <w:iCs/>
              </w:rPr>
              <w:t>Source: ISO 22005: 2007 – Traceability in the feed and food chain – General principles and basic requirements for system design and implementation.</w:t>
            </w:r>
          </w:p>
        </w:tc>
      </w:tr>
      <w:tr w:rsidR="00497728" w:rsidRPr="00497728" w14:paraId="2659E9E1" w14:textId="77777777" w:rsidTr="003A13AA">
        <w:tc>
          <w:tcPr>
            <w:tcW w:w="1246" w:type="pct"/>
            <w:tcMar>
              <w:left w:w="108" w:type="dxa"/>
              <w:right w:w="108" w:type="dxa"/>
            </w:tcMar>
          </w:tcPr>
          <w:p w14:paraId="3393F6F1" w14:textId="06C083F7" w:rsidR="00C35833" w:rsidRPr="00497728" w:rsidRDefault="00C35833" w:rsidP="00C35833">
            <w:pPr>
              <w:pStyle w:val="TableText"/>
            </w:pPr>
            <w:r w:rsidRPr="00497728">
              <w:t>third-party attestation</w:t>
            </w:r>
          </w:p>
        </w:tc>
        <w:tc>
          <w:tcPr>
            <w:tcW w:w="3754" w:type="pct"/>
            <w:tcMar>
              <w:left w:w="108" w:type="dxa"/>
              <w:right w:w="108" w:type="dxa"/>
            </w:tcMar>
          </w:tcPr>
          <w:p w14:paraId="4E7539E4" w14:textId="22934D29" w:rsidR="00C35833" w:rsidRPr="00497728" w:rsidRDefault="00C35833" w:rsidP="00C35833">
            <w:pPr>
              <w:pStyle w:val="TableText"/>
            </w:pPr>
            <w:r w:rsidRPr="00497728">
              <w:t xml:space="preserve">Certification in which a third-party issues a statement (e.g. a certificate) of conformity. Source: </w:t>
            </w:r>
            <w:r w:rsidRPr="00497728">
              <w:rPr>
                <w:i/>
                <w:iCs/>
              </w:rPr>
              <w:t>The ISO Council Committee on Conformity Assessment (CASCO).</w:t>
            </w:r>
          </w:p>
        </w:tc>
      </w:tr>
      <w:tr w:rsidR="00C751FB" w:rsidRPr="00497728" w14:paraId="54C01AFF" w14:textId="77777777" w:rsidTr="00C35833">
        <w:tc>
          <w:tcPr>
            <w:tcW w:w="1246" w:type="pct"/>
            <w:tcMar>
              <w:left w:w="108" w:type="dxa"/>
              <w:right w:w="108" w:type="dxa"/>
            </w:tcMar>
            <w:vAlign w:val="center"/>
          </w:tcPr>
          <w:p w14:paraId="14F238B0" w14:textId="16D9F435" w:rsidR="00C35833" w:rsidRPr="00497728" w:rsidRDefault="00C35833" w:rsidP="00C35833">
            <w:pPr>
              <w:pStyle w:val="TableText"/>
            </w:pPr>
            <w:r w:rsidRPr="00497728">
              <w:t>UFLPA</w:t>
            </w:r>
          </w:p>
        </w:tc>
        <w:tc>
          <w:tcPr>
            <w:tcW w:w="3754" w:type="pct"/>
            <w:tcMar>
              <w:left w:w="108" w:type="dxa"/>
              <w:right w:w="108" w:type="dxa"/>
            </w:tcMar>
            <w:vAlign w:val="center"/>
          </w:tcPr>
          <w:p w14:paraId="2B75796D" w14:textId="107EBB7E" w:rsidR="00C35833" w:rsidRPr="00497728" w:rsidRDefault="00C35833" w:rsidP="00C35833">
            <w:pPr>
              <w:pStyle w:val="TableText"/>
            </w:pPr>
            <w:r w:rsidRPr="00497728">
              <w:t>Uyghur Forced Labor Prevention Act</w:t>
            </w:r>
          </w:p>
        </w:tc>
      </w:tr>
      <w:tr w:rsidR="0073659D" w:rsidRPr="00497728" w14:paraId="166ECCE2" w14:textId="77777777" w:rsidTr="003A13AA">
        <w:tc>
          <w:tcPr>
            <w:tcW w:w="1246" w:type="pct"/>
            <w:tcMar>
              <w:left w:w="108" w:type="dxa"/>
              <w:right w:w="108" w:type="dxa"/>
            </w:tcMar>
          </w:tcPr>
          <w:p w14:paraId="221758EA" w14:textId="4452824E" w:rsidR="00C35833" w:rsidRPr="00497728" w:rsidRDefault="00C35833" w:rsidP="00C35833">
            <w:pPr>
              <w:pStyle w:val="TableText"/>
            </w:pPr>
            <w:r w:rsidRPr="00497728">
              <w:t>verifiable credential</w:t>
            </w:r>
          </w:p>
        </w:tc>
        <w:tc>
          <w:tcPr>
            <w:tcW w:w="3754" w:type="pct"/>
            <w:tcMar>
              <w:left w:w="108" w:type="dxa"/>
              <w:right w:w="108" w:type="dxa"/>
            </w:tcMar>
          </w:tcPr>
          <w:p w14:paraId="74BACF96" w14:textId="2C5DBDCF" w:rsidR="00C35833" w:rsidRPr="00497728" w:rsidRDefault="00C35833" w:rsidP="00C35833">
            <w:pPr>
              <w:pStyle w:val="TableText"/>
            </w:pPr>
            <w:r w:rsidRPr="00497728">
              <w:t>A tamper-evident credential that has authorship that can be cryptographically verified. Verifiable credentials can be used to build verifiable presentations, which can also be cryptographically verified. The claims in a credential can be about different subjects. Source: W3C 2024a</w:t>
            </w:r>
          </w:p>
        </w:tc>
      </w:tr>
      <w:tr w:rsidR="0073659D" w:rsidRPr="00497728" w14:paraId="32869C2E" w14:textId="77777777" w:rsidTr="003A13AA">
        <w:tc>
          <w:tcPr>
            <w:tcW w:w="1246" w:type="pct"/>
            <w:tcMar>
              <w:left w:w="108" w:type="dxa"/>
              <w:right w:w="108" w:type="dxa"/>
            </w:tcMar>
          </w:tcPr>
          <w:p w14:paraId="7ED35B84" w14:textId="23476F04" w:rsidR="00C35833" w:rsidRPr="00497728" w:rsidRDefault="00C35833" w:rsidP="00C35833">
            <w:pPr>
              <w:pStyle w:val="TableText"/>
            </w:pPr>
            <w:r w:rsidRPr="00497728">
              <w:t>verification</w:t>
            </w:r>
          </w:p>
        </w:tc>
        <w:tc>
          <w:tcPr>
            <w:tcW w:w="3754" w:type="pct"/>
            <w:tcMar>
              <w:left w:w="108" w:type="dxa"/>
              <w:right w:w="108" w:type="dxa"/>
            </w:tcMar>
          </w:tcPr>
          <w:p w14:paraId="067AA481" w14:textId="77777777" w:rsidR="00C35833" w:rsidRPr="00497728" w:rsidRDefault="00C35833" w:rsidP="00C35833">
            <w:pPr>
              <w:pStyle w:val="TableText"/>
            </w:pPr>
            <w:r w:rsidRPr="00497728">
              <w:t xml:space="preserve">Confirmation, through the provision of </w:t>
            </w:r>
            <w:hyperlink r:id="rId25" w:anchor="iso:std:iso:9000:ed-4:v1:en:term:3.8.3" w:history="1">
              <w:r w:rsidRPr="00497728">
                <w:t>objective evidence</w:t>
              </w:r>
            </w:hyperlink>
            <w:r w:rsidRPr="00497728">
              <w:t xml:space="preserve">, that specified </w:t>
            </w:r>
            <w:hyperlink r:id="rId26" w:anchor="iso:std:iso:9000:ed-4:v1:en:term:3.6.4" w:history="1">
              <w:r w:rsidRPr="00497728">
                <w:t xml:space="preserve">requirements </w:t>
              </w:r>
            </w:hyperlink>
            <w:r w:rsidRPr="00497728">
              <w:t>have been fulfilled</w:t>
            </w:r>
            <w:r w:rsidRPr="00497728">
              <w:rPr>
                <w:i/>
                <w:iCs/>
              </w:rPr>
              <w:t>. Source: ISO 9000:2015 – Quality management systems – Fundamentals and vocabulary.</w:t>
            </w:r>
          </w:p>
          <w:p w14:paraId="2A05973F" w14:textId="77777777" w:rsidR="00C35833" w:rsidRPr="00497728" w:rsidRDefault="00C35833" w:rsidP="00C35833">
            <w:pPr>
              <w:pStyle w:val="TableText"/>
            </w:pPr>
            <w:r w:rsidRPr="00497728">
              <w:t>Note 1: The objective evidence needed for a verification can be the result of an inspection or of other forms of determination such as performing alternative calculations or reviewing documents.</w:t>
            </w:r>
          </w:p>
          <w:p w14:paraId="33881013" w14:textId="77777777" w:rsidR="00C35833" w:rsidRPr="00497728" w:rsidRDefault="00C35833" w:rsidP="00C35833">
            <w:pPr>
              <w:pStyle w:val="TableText"/>
            </w:pPr>
            <w:r w:rsidRPr="00497728">
              <w:t>Note 2: The activities carried out for verification are sometimes called a qualification process.</w:t>
            </w:r>
          </w:p>
          <w:p w14:paraId="0D6AD5F6" w14:textId="05DD679F" w:rsidR="00C35833" w:rsidRPr="00497728" w:rsidRDefault="00C35833" w:rsidP="00C35833">
            <w:pPr>
              <w:pStyle w:val="TableText"/>
            </w:pPr>
            <w:r w:rsidRPr="00497728">
              <w:t>Note 3: The word ‘verified’ is used to designate the corresponding status.</w:t>
            </w:r>
          </w:p>
        </w:tc>
      </w:tr>
      <w:tr w:rsidR="0073659D" w:rsidRPr="00497728" w14:paraId="23B67CDA" w14:textId="77777777" w:rsidTr="003A13AA">
        <w:tc>
          <w:tcPr>
            <w:tcW w:w="1246" w:type="pct"/>
            <w:tcMar>
              <w:left w:w="108" w:type="dxa"/>
              <w:right w:w="108" w:type="dxa"/>
            </w:tcMar>
          </w:tcPr>
          <w:p w14:paraId="2E166587" w14:textId="19DCF384" w:rsidR="00C35833" w:rsidRPr="00497728" w:rsidRDefault="00C35833" w:rsidP="00C35833">
            <w:pPr>
              <w:pStyle w:val="TableText"/>
            </w:pPr>
            <w:r w:rsidRPr="00497728">
              <w:t>validation</w:t>
            </w:r>
          </w:p>
        </w:tc>
        <w:tc>
          <w:tcPr>
            <w:tcW w:w="3754" w:type="pct"/>
            <w:tcMar>
              <w:left w:w="108" w:type="dxa"/>
              <w:right w:w="108" w:type="dxa"/>
            </w:tcMar>
          </w:tcPr>
          <w:p w14:paraId="4C76BDA2" w14:textId="756D0ED7" w:rsidR="00C35833" w:rsidRPr="00497728" w:rsidRDefault="00C35833" w:rsidP="00C35833">
            <w:pPr>
              <w:pStyle w:val="TableText"/>
            </w:pPr>
            <w:r w:rsidRPr="00497728">
              <w:t xml:space="preserve">Confirmation, through the provision of </w:t>
            </w:r>
            <w:hyperlink r:id="rId27" w:anchor="iso:std:iso:9000:ed-4:v1:en:term:3.8.3" w:history="1">
              <w:r w:rsidRPr="00497728">
                <w:rPr>
                  <w:rStyle w:val="Hyperlink"/>
                </w:rPr>
                <w:t>objective evidence</w:t>
              </w:r>
            </w:hyperlink>
            <w:r w:rsidRPr="00497728">
              <w:t xml:space="preserve">, that the </w:t>
            </w:r>
            <w:hyperlink r:id="rId28" w:anchor="iso:std:iso:9000:ed-4:v1:en:term:3.6.4" w:history="1">
              <w:r w:rsidRPr="00497728">
                <w:rPr>
                  <w:rStyle w:val="Hyperlink"/>
                </w:rPr>
                <w:t>requirements</w:t>
              </w:r>
            </w:hyperlink>
            <w:r w:rsidRPr="00497728">
              <w:t xml:space="preserve"> for a specific intended use or application have been fulfilled. </w:t>
            </w:r>
            <w:r w:rsidRPr="00497728">
              <w:rPr>
                <w:i/>
                <w:iCs/>
              </w:rPr>
              <w:t>Source: ISO 9000:2015 – Quality management systems – Fundamentals and vocabulary.</w:t>
            </w:r>
          </w:p>
          <w:p w14:paraId="0255CFEA" w14:textId="77777777" w:rsidR="00C35833" w:rsidRPr="00497728" w:rsidRDefault="00C35833" w:rsidP="00C35833">
            <w:pPr>
              <w:pStyle w:val="TableText"/>
            </w:pPr>
            <w:r w:rsidRPr="00497728">
              <w:t>Note 1: The objective evidence needed for a validation is the result of a test or other form of determination such as performing alternative calculations or reviewing documents.</w:t>
            </w:r>
          </w:p>
          <w:p w14:paraId="3115F23D" w14:textId="77777777" w:rsidR="00C35833" w:rsidRPr="00497728" w:rsidRDefault="00C35833" w:rsidP="00C35833">
            <w:pPr>
              <w:pStyle w:val="TableText"/>
            </w:pPr>
            <w:r w:rsidRPr="00497728">
              <w:t>Note 2: The word ‘validated’ is used to designate the corresponding status.</w:t>
            </w:r>
          </w:p>
          <w:p w14:paraId="2C41B7DF" w14:textId="31FAEAC6" w:rsidR="00C35833" w:rsidRPr="00497728" w:rsidRDefault="00C35833" w:rsidP="00C35833">
            <w:pPr>
              <w:pStyle w:val="TableText"/>
            </w:pPr>
            <w:r w:rsidRPr="00497728">
              <w:t>Note 3: The use conditions for validation can be real or simulated.</w:t>
            </w:r>
          </w:p>
        </w:tc>
      </w:tr>
    </w:tbl>
    <w:p w14:paraId="496C9D97" w14:textId="3D6AB891" w:rsidR="00F83CC6" w:rsidRPr="00497728" w:rsidRDefault="00AE54C4" w:rsidP="00E860E0">
      <w:pPr>
        <w:pStyle w:val="Heading2"/>
        <w:numPr>
          <w:ilvl w:val="0"/>
          <w:numId w:val="0"/>
        </w:numPr>
        <w:ind w:left="720" w:hanging="720"/>
      </w:pPr>
      <w:bookmarkStart w:id="67" w:name="Title_Glossary"/>
      <w:bookmarkStart w:id="68" w:name="_Appendix_B:_References"/>
      <w:bookmarkStart w:id="69" w:name="_References"/>
      <w:bookmarkStart w:id="70" w:name="_Toc183182243"/>
      <w:bookmarkEnd w:id="67"/>
      <w:bookmarkEnd w:id="68"/>
      <w:bookmarkEnd w:id="69"/>
      <w:r w:rsidRPr="00497728">
        <w:lastRenderedPageBreak/>
        <w:t>References</w:t>
      </w:r>
      <w:bookmarkEnd w:id="70"/>
    </w:p>
    <w:p w14:paraId="23FAE0EA" w14:textId="0B6C170A" w:rsidR="00E0030E" w:rsidRPr="00497728" w:rsidRDefault="00403243" w:rsidP="000D6778">
      <w:r w:rsidRPr="00497728">
        <w:t>DFAT</w:t>
      </w:r>
      <w:r w:rsidR="00224E71" w:rsidRPr="00497728">
        <w:t xml:space="preserve"> </w:t>
      </w:r>
      <w:r w:rsidR="006F61A6">
        <w:t>20</w:t>
      </w:r>
      <w:r w:rsidR="00F85098">
        <w:t>10</w:t>
      </w:r>
      <w:r w:rsidR="00224E71" w:rsidRPr="00497728">
        <w:t>,</w:t>
      </w:r>
      <w:r w:rsidRPr="00497728">
        <w:t xml:space="preserve"> </w:t>
      </w:r>
      <w:hyperlink r:id="rId29" w:history="1">
        <w:r w:rsidR="004C339D">
          <w:rPr>
            <w:rStyle w:val="Hyperlink"/>
          </w:rPr>
          <w:t>Agreement Establishing the ASEAN-Australia-New Zealand Free Trade Area (AANZFTA)</w:t>
        </w:r>
      </w:hyperlink>
      <w:r w:rsidR="00B77B05" w:rsidRPr="00497728">
        <w:t>, Department of Foreign Affairs and Trade</w:t>
      </w:r>
      <w:r w:rsidR="00E47529">
        <w:t xml:space="preserve"> (DFAT)</w:t>
      </w:r>
      <w:r w:rsidR="00B77B05" w:rsidRPr="00497728">
        <w:t>, ac</w:t>
      </w:r>
      <w:r w:rsidR="00E0030E" w:rsidRPr="00497728">
        <w:t>cess</w:t>
      </w:r>
      <w:r w:rsidR="00B77B05" w:rsidRPr="00497728">
        <w:t>ed 11 November 2024.</w:t>
      </w:r>
    </w:p>
    <w:p w14:paraId="6A934932" w14:textId="21B0A092" w:rsidR="00E0030E" w:rsidRPr="00497728" w:rsidRDefault="00B77B05" w:rsidP="00C1095E">
      <w:r w:rsidRPr="00497728">
        <w:t xml:space="preserve">DFAT </w:t>
      </w:r>
      <w:r w:rsidR="002241E4">
        <w:t>2010</w:t>
      </w:r>
      <w:r w:rsidRPr="00497728">
        <w:t xml:space="preserve">, </w:t>
      </w:r>
      <w:hyperlink r:id="rId30" w:history="1">
        <w:r w:rsidR="004C339D">
          <w:rPr>
            <w:rStyle w:val="Hyperlink"/>
          </w:rPr>
          <w:t>ASEAN-Australia-New Zealand Free Trade Area (AANZFTA)</w:t>
        </w:r>
      </w:hyperlink>
      <w:r w:rsidRPr="00497728">
        <w:t>,</w:t>
      </w:r>
      <w:r w:rsidR="00E0030E" w:rsidRPr="00497728">
        <w:t xml:space="preserve"> </w:t>
      </w:r>
      <w:r w:rsidRPr="00497728">
        <w:t>Department of Foreign Affairs and Trade, accessed 11 November 2024.</w:t>
      </w:r>
    </w:p>
    <w:p w14:paraId="2F6BFB5A" w14:textId="51FD4568" w:rsidR="00E0030E" w:rsidRPr="00497728" w:rsidRDefault="00B77B05" w:rsidP="004038F2">
      <w:pPr>
        <w:rPr>
          <w:lang w:eastAsia="ja-JP"/>
        </w:rPr>
      </w:pPr>
      <w:r w:rsidRPr="00497728">
        <w:rPr>
          <w:lang w:eastAsia="ja-JP"/>
        </w:rPr>
        <w:t xml:space="preserve">APEC </w:t>
      </w:r>
      <w:r w:rsidR="00BA1002" w:rsidRPr="00497728">
        <w:rPr>
          <w:lang w:eastAsia="ja-JP"/>
        </w:rPr>
        <w:t>2023</w:t>
      </w:r>
      <w:r w:rsidRPr="00497728">
        <w:t xml:space="preserve">, </w:t>
      </w:r>
      <w:hyperlink r:id="rId31" w:history="1">
        <w:r w:rsidR="004C339D">
          <w:rPr>
            <w:rStyle w:val="Hyperlink"/>
            <w:lang w:eastAsia="ja-JP"/>
          </w:rPr>
          <w:t>Sustainable development, Asia-Pacific Economic Cooperation (APEC)</w:t>
        </w:r>
      </w:hyperlink>
      <w:r w:rsidRPr="00497728">
        <w:rPr>
          <w:lang w:eastAsia="ja-JP"/>
        </w:rPr>
        <w:t>, a</w:t>
      </w:r>
      <w:r w:rsidR="00E0030E" w:rsidRPr="00497728">
        <w:rPr>
          <w:lang w:eastAsia="ja-JP"/>
        </w:rPr>
        <w:t>ccess</w:t>
      </w:r>
      <w:r w:rsidRPr="00497728">
        <w:rPr>
          <w:lang w:eastAsia="ja-JP"/>
        </w:rPr>
        <w:t>ed 11</w:t>
      </w:r>
      <w:r w:rsidR="00E36280" w:rsidRPr="00497728">
        <w:rPr>
          <w:lang w:eastAsia="ja-JP"/>
        </w:rPr>
        <w:t> </w:t>
      </w:r>
      <w:r w:rsidRPr="00497728">
        <w:rPr>
          <w:lang w:eastAsia="ja-JP"/>
        </w:rPr>
        <w:t>November</w:t>
      </w:r>
      <w:r w:rsidR="00E36280" w:rsidRPr="00497728">
        <w:rPr>
          <w:lang w:eastAsia="ja-JP"/>
        </w:rPr>
        <w:t> </w:t>
      </w:r>
      <w:r w:rsidRPr="00497728">
        <w:rPr>
          <w:lang w:eastAsia="ja-JP"/>
        </w:rPr>
        <w:t>2024</w:t>
      </w:r>
      <w:r w:rsidR="00E36280" w:rsidRPr="00497728">
        <w:rPr>
          <w:lang w:eastAsia="ja-JP"/>
        </w:rPr>
        <w:t>.</w:t>
      </w:r>
    </w:p>
    <w:p w14:paraId="5C966CA8" w14:textId="4C75BEA1" w:rsidR="00E0030E" w:rsidRPr="00497728" w:rsidRDefault="00E36280" w:rsidP="00C1095E">
      <w:r w:rsidRPr="00497728">
        <w:t xml:space="preserve">DFAT </w:t>
      </w:r>
      <w:r w:rsidR="00E47529">
        <w:t>2020</w:t>
      </w:r>
      <w:r w:rsidRPr="00497728">
        <w:t xml:space="preserve">, </w:t>
      </w:r>
      <w:hyperlink r:id="rId32" w:history="1">
        <w:r w:rsidR="00E47529">
          <w:rPr>
            <w:rStyle w:val="Hyperlink"/>
          </w:rPr>
          <w:t>Australia-Hong Kong Free Trade Agreement (A-HKFTA)</w:t>
        </w:r>
      </w:hyperlink>
      <w:r w:rsidR="00697F14" w:rsidRPr="00497728">
        <w:t>,</w:t>
      </w:r>
      <w:r w:rsidR="00E0030E" w:rsidRPr="00497728">
        <w:t xml:space="preserve"> </w:t>
      </w:r>
      <w:r w:rsidR="00697F14" w:rsidRPr="00497728">
        <w:t xml:space="preserve">Department of Foreign Affairs and Trade, </w:t>
      </w:r>
      <w:r w:rsidRPr="00497728">
        <w:rPr>
          <w:lang w:eastAsia="ja-JP"/>
        </w:rPr>
        <w:t>accessed 11 November 2024.</w:t>
      </w:r>
    </w:p>
    <w:p w14:paraId="11D35561" w14:textId="66833314" w:rsidR="00E0030E" w:rsidRPr="00497728" w:rsidRDefault="00697F14" w:rsidP="00C1095E">
      <w:r w:rsidRPr="00497728">
        <w:t xml:space="preserve">DFAT </w:t>
      </w:r>
      <w:r w:rsidR="00C86229">
        <w:t>2022</w:t>
      </w:r>
      <w:r w:rsidRPr="00497728">
        <w:t xml:space="preserve">, </w:t>
      </w:r>
      <w:hyperlink r:id="rId33" w:history="1">
        <w:r w:rsidR="00C86229">
          <w:rPr>
            <w:rStyle w:val="Hyperlink"/>
          </w:rPr>
          <w:t>Australia-India Economic Cooperation and Trade Agreement (ECTA)</w:t>
        </w:r>
      </w:hyperlink>
      <w:r w:rsidRPr="00497728">
        <w:t>,</w:t>
      </w:r>
      <w:r w:rsidR="00E0030E" w:rsidRPr="00497728">
        <w:t xml:space="preserve"> </w:t>
      </w:r>
      <w:r w:rsidRPr="00497728">
        <w:t xml:space="preserve">Department of Foreign Affairs and Trade, </w:t>
      </w:r>
      <w:r w:rsidRPr="00497728">
        <w:rPr>
          <w:lang w:eastAsia="ja-JP"/>
        </w:rPr>
        <w:t>accessed 11 November 2024.</w:t>
      </w:r>
    </w:p>
    <w:p w14:paraId="737F36BD" w14:textId="44D42EFF" w:rsidR="00E0030E" w:rsidRPr="00497728" w:rsidRDefault="00507F54" w:rsidP="00697F14">
      <w:r w:rsidRPr="00497728">
        <w:t xml:space="preserve">NFF </w:t>
      </w:r>
      <w:r w:rsidR="002B6AA4">
        <w:t>2024</w:t>
      </w:r>
      <w:r w:rsidRPr="00497728">
        <w:t xml:space="preserve">, </w:t>
      </w:r>
      <w:r w:rsidR="00E0030E" w:rsidRPr="00497728">
        <w:rPr>
          <w:i/>
          <w:iCs/>
        </w:rPr>
        <w:t>Materiality Assessment Outcomes</w:t>
      </w:r>
      <w:r w:rsidR="00043EB4">
        <w:rPr>
          <w:i/>
          <w:iCs/>
        </w:rPr>
        <w:t>:</w:t>
      </w:r>
      <w:r w:rsidR="00E0030E" w:rsidRPr="00497728">
        <w:rPr>
          <w:i/>
          <w:iCs/>
        </w:rPr>
        <w:t xml:space="preserve"> Final Report</w:t>
      </w:r>
      <w:r w:rsidR="00EC1606" w:rsidRPr="00497728">
        <w:rPr>
          <w:i/>
          <w:iCs/>
        </w:rPr>
        <w:t xml:space="preserve"> 2024</w:t>
      </w:r>
      <w:r w:rsidR="00EC1606" w:rsidRPr="00497728">
        <w:t xml:space="preserve">, </w:t>
      </w:r>
      <w:r w:rsidR="0009150D" w:rsidRPr="00497728">
        <w:t xml:space="preserve">internal report to </w:t>
      </w:r>
      <w:r w:rsidR="00EC1606" w:rsidRPr="00497728">
        <w:t>National Farmers’ Federation</w:t>
      </w:r>
      <w:r w:rsidR="0009150D" w:rsidRPr="00497728">
        <w:t>, Canberra. Unpublished.</w:t>
      </w:r>
    </w:p>
    <w:p w14:paraId="7263DBF4" w14:textId="0A08EC7E" w:rsidR="00E0030E" w:rsidRPr="00497728" w:rsidRDefault="004B682D" w:rsidP="00224E71">
      <w:bookmarkStart w:id="71" w:name="_Appendix_F:_Traceability"/>
      <w:bookmarkStart w:id="72" w:name="_Appendix_G:_Relevant"/>
      <w:bookmarkStart w:id="73" w:name="_Appendix_J:_Verifiable"/>
      <w:bookmarkEnd w:id="71"/>
      <w:bookmarkEnd w:id="72"/>
      <w:bookmarkEnd w:id="73"/>
      <w:r w:rsidRPr="00497728">
        <w:t xml:space="preserve">MLA </w:t>
      </w:r>
      <w:r w:rsidR="0064259C" w:rsidRPr="00497728">
        <w:t>2024</w:t>
      </w:r>
      <w:r w:rsidRPr="00497728">
        <w:t xml:space="preserve">, </w:t>
      </w:r>
      <w:hyperlink r:id="rId34" w:history="1">
        <w:r w:rsidR="00E0030E" w:rsidRPr="00497728">
          <w:rPr>
            <w:rStyle w:val="Hyperlink"/>
          </w:rPr>
          <w:t>Australian Beef Sustainability Framework</w:t>
        </w:r>
        <w:r w:rsidR="00A4403D" w:rsidRPr="00497728">
          <w:rPr>
            <w:rStyle w:val="Hyperlink"/>
          </w:rPr>
          <w:t xml:space="preserve"> 2024</w:t>
        </w:r>
        <w:r w:rsidR="00E0030E" w:rsidRPr="00497728">
          <w:rPr>
            <w:rStyle w:val="Hyperlink"/>
          </w:rPr>
          <w:t xml:space="preserve"> Annual Update</w:t>
        </w:r>
      </w:hyperlink>
      <w:r w:rsidR="00E0030E" w:rsidRPr="00497728">
        <w:t xml:space="preserve">, </w:t>
      </w:r>
      <w:r w:rsidRPr="00497728">
        <w:t>Meat and Livestock Australia</w:t>
      </w:r>
      <w:r w:rsidR="00C86229">
        <w:t xml:space="preserve"> (MLA)</w:t>
      </w:r>
      <w:r w:rsidRPr="00497728">
        <w:t>, a</w:t>
      </w:r>
      <w:r w:rsidR="00E0030E" w:rsidRPr="00497728">
        <w:t>ccess</w:t>
      </w:r>
      <w:r w:rsidRPr="00497728">
        <w:t>ed 11 November 2024.</w:t>
      </w:r>
    </w:p>
    <w:p w14:paraId="7BFA2409" w14:textId="5E9A1CE8" w:rsidR="00E0030E" w:rsidRPr="00497728" w:rsidRDefault="009A6759" w:rsidP="0031638D">
      <w:r w:rsidRPr="00497728">
        <w:t xml:space="preserve">CRDC 2024, </w:t>
      </w:r>
      <w:hyperlink r:id="rId35" w:history="1">
        <w:r w:rsidR="00E0030E" w:rsidRPr="00497728">
          <w:rPr>
            <w:rStyle w:val="Hyperlink"/>
          </w:rPr>
          <w:t>Australian Cotton Sustainability Update 2023</w:t>
        </w:r>
      </w:hyperlink>
      <w:r w:rsidRPr="00497728">
        <w:t xml:space="preserve">, </w:t>
      </w:r>
      <w:r w:rsidR="003D0781" w:rsidRPr="00497728">
        <w:t>Cotton Research and Development Corporation</w:t>
      </w:r>
      <w:r w:rsidR="00C86229">
        <w:t xml:space="preserve"> (CRDC)</w:t>
      </w:r>
      <w:r w:rsidR="00BD5519" w:rsidRPr="00497728">
        <w:t>, accessed 11 November 2024.</w:t>
      </w:r>
    </w:p>
    <w:p w14:paraId="46456BF9" w14:textId="6230BFEF" w:rsidR="00E0030E" w:rsidRPr="00497728" w:rsidRDefault="00E603E0" w:rsidP="0031638D">
      <w:r w:rsidRPr="00497728">
        <w:t>Dairy Australia</w:t>
      </w:r>
      <w:r w:rsidR="00B426BB" w:rsidRPr="00497728">
        <w:t xml:space="preserve"> </w:t>
      </w:r>
      <w:r w:rsidRPr="00497728">
        <w:t>2024</w:t>
      </w:r>
      <w:r w:rsidR="00250C8D" w:rsidRPr="00497728">
        <w:t xml:space="preserve">, </w:t>
      </w:r>
      <w:hyperlink r:id="rId36" w:history="1">
        <w:r w:rsidR="00E0030E" w:rsidRPr="00497728">
          <w:rPr>
            <w:rStyle w:val="Hyperlink"/>
          </w:rPr>
          <w:t xml:space="preserve">Australian Dairy Sustainability Framework </w:t>
        </w:r>
        <w:r w:rsidRPr="00497728">
          <w:rPr>
            <w:rStyle w:val="Hyperlink"/>
          </w:rPr>
          <w:t>–</w:t>
        </w:r>
        <w:r w:rsidR="00E0030E" w:rsidRPr="00497728">
          <w:rPr>
            <w:rStyle w:val="Hyperlink"/>
          </w:rPr>
          <w:t xml:space="preserve"> Material</w:t>
        </w:r>
        <w:r w:rsidRPr="00497728">
          <w:rPr>
            <w:rStyle w:val="Hyperlink"/>
          </w:rPr>
          <w:t xml:space="preserve"> issues</w:t>
        </w:r>
      </w:hyperlink>
      <w:r w:rsidR="00B426BB" w:rsidRPr="00497728">
        <w:t xml:space="preserve">, </w:t>
      </w:r>
      <w:r w:rsidRPr="00497728">
        <w:t>Dairy Australia,</w:t>
      </w:r>
      <w:r w:rsidR="00E0030E" w:rsidRPr="00497728">
        <w:t xml:space="preserve"> </w:t>
      </w:r>
      <w:r w:rsidR="00B426BB" w:rsidRPr="00497728">
        <w:t>accessed 11 November 2024.</w:t>
      </w:r>
    </w:p>
    <w:p w14:paraId="704C0F4A" w14:textId="4FFED272" w:rsidR="00E0030E" w:rsidRPr="00497728" w:rsidRDefault="00BD566F" w:rsidP="000D6778">
      <w:r w:rsidRPr="00497728">
        <w:t xml:space="preserve">DCCEEW </w:t>
      </w:r>
      <w:r w:rsidR="005A104B">
        <w:t>2022</w:t>
      </w:r>
      <w:r w:rsidRPr="00497728">
        <w:t xml:space="preserve">, </w:t>
      </w:r>
      <w:hyperlink r:id="rId37" w:history="1">
        <w:r w:rsidR="00E0030E" w:rsidRPr="00497728">
          <w:rPr>
            <w:rStyle w:val="Hyperlink"/>
          </w:rPr>
          <w:t>A New Global Biodiversity Framework: Kunming-Montreal Global Biodiversity Framework</w:t>
        </w:r>
      </w:hyperlink>
      <w:r w:rsidR="00150BF8" w:rsidRPr="00497728">
        <w:t>,</w:t>
      </w:r>
      <w:r w:rsidR="00E0030E" w:rsidRPr="00497728">
        <w:t xml:space="preserve"> </w:t>
      </w:r>
      <w:r w:rsidRPr="00497728">
        <w:t>Department of Climate Change, Energy, the Environment and Water</w:t>
      </w:r>
      <w:r w:rsidR="005A104B">
        <w:t xml:space="preserve"> (DCCEEW)</w:t>
      </w:r>
      <w:r w:rsidRPr="00497728">
        <w:t>, a</w:t>
      </w:r>
      <w:r w:rsidR="00E0030E" w:rsidRPr="00497728">
        <w:t>ccess</w:t>
      </w:r>
      <w:r w:rsidRPr="00497728">
        <w:t>ed 11 November 2024.</w:t>
      </w:r>
    </w:p>
    <w:p w14:paraId="30F36FF0" w14:textId="485CA18A" w:rsidR="00E0030E" w:rsidRPr="00497728" w:rsidRDefault="00697F14" w:rsidP="002452F6">
      <w:pPr>
        <w:rPr>
          <w:lang w:eastAsia="ja-JP"/>
        </w:rPr>
      </w:pPr>
      <w:r w:rsidRPr="00497728">
        <w:t xml:space="preserve">DFAT </w:t>
      </w:r>
      <w:r w:rsidR="007E021C">
        <w:t>2022</w:t>
      </w:r>
      <w:r w:rsidRPr="00497728">
        <w:t>,</w:t>
      </w:r>
      <w:r w:rsidR="00E0030E" w:rsidRPr="00497728">
        <w:t xml:space="preserve"> </w:t>
      </w:r>
      <w:hyperlink r:id="rId38" w:history="1">
        <w:r w:rsidR="007E021C">
          <w:rPr>
            <w:rStyle w:val="Hyperlink"/>
          </w:rPr>
          <w:t>Indo-Pacific Economic Framework (IPEF)</w:t>
        </w:r>
      </w:hyperlink>
      <w:r w:rsidR="002C7942" w:rsidRPr="00497728">
        <w:t>,</w:t>
      </w:r>
      <w:r w:rsidR="00E0030E" w:rsidRPr="00497728">
        <w:rPr>
          <w:lang w:eastAsia="ja-JP"/>
        </w:rPr>
        <w:t xml:space="preserve"> </w:t>
      </w:r>
      <w:r w:rsidRPr="00497728">
        <w:t xml:space="preserve">Department of Foreign Affairs and Trade, </w:t>
      </w:r>
      <w:r w:rsidRPr="00497728">
        <w:rPr>
          <w:lang w:eastAsia="ja-JP"/>
        </w:rPr>
        <w:t>accessed 11 November 2024.</w:t>
      </w:r>
    </w:p>
    <w:p w14:paraId="061A0CF4" w14:textId="4607CC7D" w:rsidR="00E0030E" w:rsidRPr="00497728" w:rsidRDefault="0082141F" w:rsidP="00F85E9B">
      <w:r w:rsidRPr="00497728">
        <w:t xml:space="preserve">AWSS </w:t>
      </w:r>
      <w:r w:rsidR="001072A1">
        <w:t>2015</w:t>
      </w:r>
      <w:r w:rsidRPr="00497728">
        <w:t xml:space="preserve">, </w:t>
      </w:r>
      <w:hyperlink r:id="rId39" w:history="1">
        <w:r w:rsidR="001072A1">
          <w:rPr>
            <w:rStyle w:val="Hyperlink"/>
          </w:rPr>
          <w:t>About the Australian Wool Sustainability Scheme (AWSS)</w:t>
        </w:r>
      </w:hyperlink>
      <w:r w:rsidR="004A6D41" w:rsidRPr="00497728">
        <w:t>, Australian Wool Sustainability Scheme, accessed 11 November 2024.</w:t>
      </w:r>
    </w:p>
    <w:p w14:paraId="306F9A0C" w14:textId="19585E72" w:rsidR="00E0030E" w:rsidRPr="00497728" w:rsidRDefault="00697F14" w:rsidP="000D6778">
      <w:r w:rsidRPr="00497728">
        <w:t xml:space="preserve">DFAT </w:t>
      </w:r>
      <w:r w:rsidR="00F651B9">
        <w:t>2022</w:t>
      </w:r>
      <w:r w:rsidRPr="00497728">
        <w:t xml:space="preserve">, </w:t>
      </w:r>
      <w:hyperlink r:id="rId40" w:history="1">
        <w:r w:rsidR="00F651B9">
          <w:rPr>
            <w:rStyle w:val="Hyperlink"/>
          </w:rPr>
          <w:t>Singapore-Australia Green Economy Agreement (GEA)</w:t>
        </w:r>
      </w:hyperlink>
      <w:r w:rsidR="008525F7" w:rsidRPr="00497728">
        <w:t>,</w:t>
      </w:r>
      <w:r w:rsidR="00E0030E" w:rsidRPr="00497728">
        <w:t xml:space="preserve"> </w:t>
      </w:r>
      <w:r w:rsidRPr="00497728">
        <w:t xml:space="preserve">Department of Foreign Affairs and Trade, </w:t>
      </w:r>
      <w:r w:rsidRPr="00497728">
        <w:rPr>
          <w:lang w:eastAsia="ja-JP"/>
        </w:rPr>
        <w:t>accessed 11 November 2024.</w:t>
      </w:r>
    </w:p>
    <w:p w14:paraId="44759B0C" w14:textId="285CE852" w:rsidR="00E0030E" w:rsidRPr="00497728" w:rsidRDefault="00697F14" w:rsidP="00C1095E">
      <w:r w:rsidRPr="00497728">
        <w:t xml:space="preserve">DFAT </w:t>
      </w:r>
      <w:r w:rsidR="00EA751D">
        <w:t>2023</w:t>
      </w:r>
      <w:r w:rsidRPr="00497728">
        <w:t xml:space="preserve">, </w:t>
      </w:r>
      <w:hyperlink r:id="rId41" w:history="1">
        <w:r w:rsidR="00EA751D">
          <w:rPr>
            <w:rStyle w:val="Hyperlink"/>
          </w:rPr>
          <w:t>Australia-United Kingdom Free Trade Agreement (A-UKFTA)</w:t>
        </w:r>
      </w:hyperlink>
      <w:r w:rsidR="008525F7" w:rsidRPr="00497728">
        <w:t>,</w:t>
      </w:r>
      <w:r w:rsidR="00E0030E" w:rsidRPr="00497728">
        <w:t xml:space="preserve"> </w:t>
      </w:r>
      <w:r w:rsidRPr="00497728">
        <w:t xml:space="preserve">Department of Foreign Affairs and Trade, </w:t>
      </w:r>
      <w:r w:rsidRPr="00497728">
        <w:rPr>
          <w:lang w:eastAsia="ja-JP"/>
        </w:rPr>
        <w:t>accessed 11 November 2024.</w:t>
      </w:r>
      <w:hyperlink r:id="rId42" w:history="1"/>
    </w:p>
    <w:p w14:paraId="6EC9E948" w14:textId="65664CEA" w:rsidR="00E0030E" w:rsidRPr="00497728" w:rsidRDefault="00697F14" w:rsidP="00C1095E">
      <w:r w:rsidRPr="00497728">
        <w:t xml:space="preserve">DFAT </w:t>
      </w:r>
      <w:r w:rsidR="003F0169">
        <w:t>2005</w:t>
      </w:r>
      <w:r w:rsidRPr="00497728">
        <w:t xml:space="preserve">, </w:t>
      </w:r>
      <w:hyperlink r:id="rId43" w:history="1">
        <w:r w:rsidR="003F0169">
          <w:rPr>
            <w:rStyle w:val="Hyperlink"/>
          </w:rPr>
          <w:t>Australia-United States Free Trade Agreement (AUSFTA)</w:t>
        </w:r>
      </w:hyperlink>
      <w:r w:rsidR="00533609" w:rsidRPr="00497728">
        <w:t>,</w:t>
      </w:r>
      <w:r w:rsidR="00E0030E" w:rsidRPr="00497728">
        <w:t xml:space="preserve"> </w:t>
      </w:r>
      <w:r w:rsidRPr="00497728">
        <w:t xml:space="preserve">Department of Foreign Affairs and Trade, </w:t>
      </w:r>
      <w:r w:rsidRPr="00497728">
        <w:rPr>
          <w:lang w:eastAsia="ja-JP"/>
        </w:rPr>
        <w:t>accessed 11 November 2024.</w:t>
      </w:r>
    </w:p>
    <w:p w14:paraId="53076BC3" w14:textId="103CCD8D" w:rsidR="00E0030E" w:rsidRPr="00497728" w:rsidRDefault="00424D5B" w:rsidP="00F85E9B">
      <w:r>
        <w:t>BCI</w:t>
      </w:r>
      <w:r w:rsidR="00AA4C16" w:rsidRPr="00497728">
        <w:t xml:space="preserve"> </w:t>
      </w:r>
      <w:r w:rsidR="00220C95">
        <w:t>2023</w:t>
      </w:r>
      <w:r w:rsidR="00AA4C16" w:rsidRPr="00497728">
        <w:t xml:space="preserve">, </w:t>
      </w:r>
      <w:hyperlink r:id="rId44" w:history="1">
        <w:r w:rsidR="00220C95">
          <w:rPr>
            <w:rStyle w:val="Hyperlink"/>
          </w:rPr>
          <w:t>Better Cotton Traceability</w:t>
        </w:r>
      </w:hyperlink>
      <w:r w:rsidR="00AA2254" w:rsidRPr="00497728">
        <w:t>, Better Cotton</w:t>
      </w:r>
      <w:r w:rsidR="00AC3BF1">
        <w:t xml:space="preserve"> Initiative (B</w:t>
      </w:r>
      <w:r>
        <w:t>CI</w:t>
      </w:r>
      <w:r w:rsidR="00AC3BF1">
        <w:t>)</w:t>
      </w:r>
      <w:r w:rsidR="00AA2254" w:rsidRPr="00497728">
        <w:t>, accessed 11 November 2024.</w:t>
      </w:r>
    </w:p>
    <w:p w14:paraId="5EBDF460" w14:textId="1F155705" w:rsidR="00E0030E" w:rsidRPr="00497728" w:rsidRDefault="00697F14" w:rsidP="00C1095E">
      <w:r w:rsidRPr="00497728">
        <w:lastRenderedPageBreak/>
        <w:t xml:space="preserve">DFAT </w:t>
      </w:r>
      <w:r w:rsidR="00115A16">
        <w:t>2015</w:t>
      </w:r>
      <w:r w:rsidRPr="00497728">
        <w:t xml:space="preserve">, </w:t>
      </w:r>
      <w:hyperlink r:id="rId45" w:history="1">
        <w:r w:rsidR="000F423F">
          <w:rPr>
            <w:rStyle w:val="Hyperlink"/>
          </w:rPr>
          <w:t>China-Australia Free Trade Agreement (ChAFTA)</w:t>
        </w:r>
      </w:hyperlink>
      <w:r w:rsidR="00BB7ADA" w:rsidRPr="00497728">
        <w:t>,</w:t>
      </w:r>
      <w:r w:rsidR="00E0030E" w:rsidRPr="00497728">
        <w:t xml:space="preserve"> </w:t>
      </w:r>
      <w:r w:rsidRPr="00497728">
        <w:t xml:space="preserve">Department of Foreign Affairs and Trade, </w:t>
      </w:r>
      <w:r w:rsidRPr="00497728">
        <w:rPr>
          <w:lang w:eastAsia="ja-JP"/>
        </w:rPr>
        <w:t>accessed 11 November 2024.</w:t>
      </w:r>
    </w:p>
    <w:p w14:paraId="3854ED3A" w14:textId="1A5B299D" w:rsidR="00E0030E" w:rsidRPr="00497728" w:rsidRDefault="00697F14" w:rsidP="000D6778">
      <w:r w:rsidRPr="00497728">
        <w:t xml:space="preserve">DFAT </w:t>
      </w:r>
      <w:r w:rsidR="00F0250E">
        <w:t>2018</w:t>
      </w:r>
      <w:r w:rsidRPr="00497728">
        <w:t xml:space="preserve">, </w:t>
      </w:r>
      <w:hyperlink r:id="rId46" w:history="1">
        <w:r w:rsidR="00115A16">
          <w:rPr>
            <w:rStyle w:val="Hyperlink"/>
          </w:rPr>
          <w:t>Comprehensive and Progressive Agreement for Trans-Pacific Partnership (CPTPP)</w:t>
        </w:r>
      </w:hyperlink>
      <w:r w:rsidR="0045765D" w:rsidRPr="00497728">
        <w:t>,</w:t>
      </w:r>
      <w:r w:rsidR="00E0030E" w:rsidRPr="00497728">
        <w:t xml:space="preserve"> </w:t>
      </w:r>
      <w:r w:rsidRPr="00497728">
        <w:t xml:space="preserve">Department of Foreign Affairs and Trade, </w:t>
      </w:r>
      <w:r w:rsidRPr="00497728">
        <w:rPr>
          <w:lang w:eastAsia="ja-JP"/>
        </w:rPr>
        <w:t>accessed 11 November 2024.</w:t>
      </w:r>
    </w:p>
    <w:p w14:paraId="65D82B4C" w14:textId="4BD0962A" w:rsidR="00E0030E" w:rsidRPr="00497728" w:rsidRDefault="004C128B" w:rsidP="002452F6">
      <w:pPr>
        <w:rPr>
          <w:lang w:eastAsia="ja-JP"/>
        </w:rPr>
      </w:pPr>
      <w:r w:rsidRPr="00497728">
        <w:t>EC</w:t>
      </w:r>
      <w:r w:rsidR="005B2FBD" w:rsidRPr="00497728">
        <w:t xml:space="preserve"> </w:t>
      </w:r>
      <w:r w:rsidR="00936DC3">
        <w:t>2023</w:t>
      </w:r>
      <w:r w:rsidR="005B2FBD" w:rsidRPr="00497728">
        <w:t>,</w:t>
      </w:r>
      <w:r w:rsidR="00E0030E" w:rsidRPr="00497728">
        <w:t xml:space="preserve"> </w:t>
      </w:r>
      <w:hyperlink r:id="rId47" w:history="1">
        <w:r w:rsidR="00CE38AF" w:rsidRPr="00497728">
          <w:rPr>
            <w:rStyle w:val="Hyperlink"/>
          </w:rPr>
          <w:t>Carbon Border Adjustment Mechanism</w:t>
        </w:r>
      </w:hyperlink>
      <w:r w:rsidR="005B2FBD" w:rsidRPr="00497728">
        <w:t>,</w:t>
      </w:r>
      <w:r w:rsidR="00E0030E" w:rsidRPr="00497728">
        <w:rPr>
          <w:lang w:eastAsia="ja-JP"/>
        </w:rPr>
        <w:t xml:space="preserve"> </w:t>
      </w:r>
      <w:r w:rsidR="005B2FBD" w:rsidRPr="00497728">
        <w:rPr>
          <w:lang w:eastAsia="ja-JP"/>
        </w:rPr>
        <w:t>European Commission</w:t>
      </w:r>
      <w:r w:rsidR="00F0250E">
        <w:rPr>
          <w:lang w:eastAsia="ja-JP"/>
        </w:rPr>
        <w:t xml:space="preserve"> (EC)</w:t>
      </w:r>
      <w:r w:rsidR="005B2FBD" w:rsidRPr="00497728">
        <w:rPr>
          <w:lang w:eastAsia="ja-JP"/>
        </w:rPr>
        <w:t>, accessed 11</w:t>
      </w:r>
      <w:r w:rsidR="000339C0" w:rsidRPr="00497728">
        <w:rPr>
          <w:lang w:eastAsia="ja-JP"/>
        </w:rPr>
        <w:t> </w:t>
      </w:r>
      <w:r w:rsidR="005B2FBD" w:rsidRPr="00497728">
        <w:rPr>
          <w:lang w:eastAsia="ja-JP"/>
        </w:rPr>
        <w:t>November</w:t>
      </w:r>
      <w:r w:rsidR="000339C0" w:rsidRPr="00497728">
        <w:rPr>
          <w:lang w:eastAsia="ja-JP"/>
        </w:rPr>
        <w:t> </w:t>
      </w:r>
      <w:r w:rsidR="005B2FBD" w:rsidRPr="00497728">
        <w:rPr>
          <w:lang w:eastAsia="ja-JP"/>
        </w:rPr>
        <w:t>2024.</w:t>
      </w:r>
    </w:p>
    <w:p w14:paraId="3101E90A" w14:textId="68BB4CC4" w:rsidR="00E0030E" w:rsidRPr="00497728" w:rsidRDefault="005B2FBD" w:rsidP="000339C0">
      <w:pPr>
        <w:rPr>
          <w:lang w:eastAsia="ja-JP"/>
        </w:rPr>
      </w:pPr>
      <w:r w:rsidRPr="00497728">
        <w:t xml:space="preserve">EC </w:t>
      </w:r>
      <w:r w:rsidR="00936DC3">
        <w:t>2023</w:t>
      </w:r>
      <w:r w:rsidRPr="00497728">
        <w:t xml:space="preserve">, </w:t>
      </w:r>
      <w:hyperlink r:id="rId48" w:history="1">
        <w:r w:rsidR="00E0030E" w:rsidRPr="00497728">
          <w:rPr>
            <w:rStyle w:val="Hyperlink"/>
          </w:rPr>
          <w:t>Corporate sustainability reporting</w:t>
        </w:r>
      </w:hyperlink>
      <w:r w:rsidR="000339C0" w:rsidRPr="00497728">
        <w:t>,</w:t>
      </w:r>
      <w:r w:rsidR="00E0030E" w:rsidRPr="00497728">
        <w:t xml:space="preserve"> </w:t>
      </w:r>
      <w:r w:rsidR="000339C0" w:rsidRPr="00497728">
        <w:t xml:space="preserve">European Commission, </w:t>
      </w:r>
      <w:r w:rsidR="000339C0" w:rsidRPr="00497728">
        <w:rPr>
          <w:lang w:eastAsia="ja-JP"/>
        </w:rPr>
        <w:t>accessed 11 November 2024</w:t>
      </w:r>
      <w:r w:rsidR="000339C0" w:rsidRPr="00497728">
        <w:t>.</w:t>
      </w:r>
    </w:p>
    <w:p w14:paraId="3155E3B9" w14:textId="26A1B004" w:rsidR="00E0030E" w:rsidRPr="00497728" w:rsidRDefault="000339C0" w:rsidP="002452F6">
      <w:pPr>
        <w:rPr>
          <w:lang w:eastAsia="ja-JP"/>
        </w:rPr>
      </w:pPr>
      <w:r w:rsidRPr="00497728">
        <w:t xml:space="preserve">EC </w:t>
      </w:r>
      <w:r w:rsidR="0025000E">
        <w:t>2020</w:t>
      </w:r>
      <w:r w:rsidRPr="00497728">
        <w:rPr>
          <w:lang w:eastAsia="ja-JP"/>
        </w:rPr>
        <w:t>,</w:t>
      </w:r>
      <w:r w:rsidR="00E0030E" w:rsidRPr="00497728">
        <w:rPr>
          <w:lang w:eastAsia="ja-JP"/>
        </w:rPr>
        <w:t xml:space="preserve"> </w:t>
      </w:r>
      <w:hyperlink r:id="rId49" w:history="1">
        <w:r w:rsidR="00CE38AF" w:rsidRPr="00497728">
          <w:rPr>
            <w:rStyle w:val="Hyperlink"/>
          </w:rPr>
          <w:t>Farm to Fork strategy</w:t>
        </w:r>
      </w:hyperlink>
      <w:r w:rsidR="00D43143" w:rsidRPr="00497728">
        <w:t>,</w:t>
      </w:r>
      <w:r w:rsidR="00E0030E" w:rsidRPr="00497728">
        <w:t xml:space="preserve"> </w:t>
      </w:r>
      <w:r w:rsidR="00D43143" w:rsidRPr="00497728">
        <w:rPr>
          <w:lang w:eastAsia="ja-JP"/>
        </w:rPr>
        <w:t>European Commission,</w:t>
      </w:r>
      <w:r w:rsidR="00D43143" w:rsidRPr="00497728">
        <w:t xml:space="preserve"> </w:t>
      </w:r>
      <w:r w:rsidR="00D43143" w:rsidRPr="00497728">
        <w:rPr>
          <w:lang w:eastAsia="ja-JP"/>
        </w:rPr>
        <w:t>accessed 11 November 2024.</w:t>
      </w:r>
    </w:p>
    <w:p w14:paraId="470E07CC" w14:textId="2B124B4F" w:rsidR="00E0030E" w:rsidRPr="00497728" w:rsidRDefault="000339C0" w:rsidP="002452F6">
      <w:pPr>
        <w:rPr>
          <w:lang w:eastAsia="ja-JP"/>
        </w:rPr>
      </w:pPr>
      <w:r w:rsidRPr="00497728">
        <w:t xml:space="preserve">EC </w:t>
      </w:r>
      <w:r w:rsidR="00487E96">
        <w:t>2023</w:t>
      </w:r>
      <w:r w:rsidRPr="00497728">
        <w:t>,</w:t>
      </w:r>
      <w:r w:rsidR="00D43143" w:rsidRPr="00497728">
        <w:t xml:space="preserve"> </w:t>
      </w:r>
      <w:hyperlink r:id="rId50" w:history="1">
        <w:r w:rsidR="00CE38AF" w:rsidRPr="00497728">
          <w:rPr>
            <w:rStyle w:val="Hyperlink"/>
          </w:rPr>
          <w:t>Regulation on Deforestation-free Products</w:t>
        </w:r>
      </w:hyperlink>
      <w:r w:rsidR="006A3E30" w:rsidRPr="00497728">
        <w:t>,</w:t>
      </w:r>
      <w:r w:rsidR="00E0030E" w:rsidRPr="00497728">
        <w:t xml:space="preserve"> </w:t>
      </w:r>
      <w:r w:rsidR="00D43143" w:rsidRPr="00497728">
        <w:t xml:space="preserve">European Commission, </w:t>
      </w:r>
      <w:r w:rsidR="00D43143" w:rsidRPr="00497728">
        <w:rPr>
          <w:lang w:eastAsia="ja-JP"/>
        </w:rPr>
        <w:t>accessed 11 November 2024.</w:t>
      </w:r>
    </w:p>
    <w:p w14:paraId="004E03EA" w14:textId="15885C8A" w:rsidR="00E0030E" w:rsidRPr="00497728" w:rsidRDefault="000339C0" w:rsidP="002452F6">
      <w:pPr>
        <w:rPr>
          <w:lang w:eastAsia="ja-JP"/>
        </w:rPr>
      </w:pPr>
      <w:r w:rsidRPr="00497728">
        <w:t xml:space="preserve">EC </w:t>
      </w:r>
      <w:r w:rsidR="007A4316">
        <w:t>2019</w:t>
      </w:r>
      <w:r w:rsidRPr="00497728">
        <w:t>,</w:t>
      </w:r>
      <w:r w:rsidR="00E0030E" w:rsidRPr="00497728">
        <w:t xml:space="preserve"> </w:t>
      </w:r>
      <w:hyperlink r:id="rId51" w:history="1">
        <w:r w:rsidR="00E0030E" w:rsidRPr="00497728">
          <w:rPr>
            <w:rStyle w:val="Hyperlink"/>
          </w:rPr>
          <w:t>The European Green Deal</w:t>
        </w:r>
      </w:hyperlink>
      <w:r w:rsidR="008635B6" w:rsidRPr="00497728">
        <w:t>,</w:t>
      </w:r>
      <w:r w:rsidR="00E0030E" w:rsidRPr="00497728">
        <w:t xml:space="preserve"> </w:t>
      </w:r>
      <w:r w:rsidR="006A3E30" w:rsidRPr="00497728">
        <w:t xml:space="preserve">European Commission, </w:t>
      </w:r>
      <w:r w:rsidR="006A3E30" w:rsidRPr="00497728">
        <w:rPr>
          <w:lang w:eastAsia="ja-JP"/>
        </w:rPr>
        <w:t>accessed 11 November 2024.</w:t>
      </w:r>
    </w:p>
    <w:p w14:paraId="4BF8E393" w14:textId="41BAAA20" w:rsidR="00E0030E" w:rsidRPr="00497728" w:rsidRDefault="000643FA" w:rsidP="00F85E9B">
      <w:r w:rsidRPr="00497728">
        <w:t xml:space="preserve">Fairtrade International </w:t>
      </w:r>
      <w:r w:rsidR="00B94170">
        <w:t>1997</w:t>
      </w:r>
      <w:r w:rsidRPr="00497728">
        <w:t xml:space="preserve">, </w:t>
      </w:r>
      <w:hyperlink r:id="rId52" w:history="1">
        <w:r w:rsidR="00A330D0">
          <w:rPr>
            <w:rStyle w:val="Hyperlink"/>
          </w:rPr>
          <w:t>What is Fairtrade?</w:t>
        </w:r>
      </w:hyperlink>
      <w:r w:rsidRPr="00497728">
        <w:t xml:space="preserve">, </w:t>
      </w:r>
      <w:r w:rsidR="00E0030E" w:rsidRPr="00497728">
        <w:t>Fair</w:t>
      </w:r>
      <w:r w:rsidRPr="00497728">
        <w:t>t</w:t>
      </w:r>
      <w:r w:rsidR="00E0030E" w:rsidRPr="00497728">
        <w:t>rade International</w:t>
      </w:r>
      <w:r w:rsidRPr="00497728">
        <w:t>,</w:t>
      </w:r>
      <w:r w:rsidR="00E0030E" w:rsidRPr="00497728">
        <w:t xml:space="preserve"> </w:t>
      </w:r>
      <w:r w:rsidRPr="00497728">
        <w:rPr>
          <w:lang w:eastAsia="ja-JP"/>
        </w:rPr>
        <w:t>accessed 11 November 2024.</w:t>
      </w:r>
    </w:p>
    <w:p w14:paraId="263F67C1" w14:textId="34D6B673" w:rsidR="00E0030E" w:rsidRPr="00497728" w:rsidRDefault="00E0030E" w:rsidP="000D6778">
      <w:proofErr w:type="spellStart"/>
      <w:r w:rsidRPr="00497728">
        <w:t>GlobalG.A.P</w:t>
      </w:r>
      <w:proofErr w:type="spellEnd"/>
      <w:r w:rsidRPr="00497728">
        <w:t xml:space="preserve">. </w:t>
      </w:r>
      <w:r w:rsidR="002361C9">
        <w:t>2007</w:t>
      </w:r>
      <w:r w:rsidR="00A875BC" w:rsidRPr="00497728">
        <w:t xml:space="preserve">, </w:t>
      </w:r>
      <w:hyperlink r:id="rId53" w:history="1">
        <w:r w:rsidR="006B2EBB">
          <w:rPr>
            <w:rStyle w:val="Hyperlink"/>
          </w:rPr>
          <w:t xml:space="preserve">About </w:t>
        </w:r>
        <w:proofErr w:type="spellStart"/>
        <w:r w:rsidR="006B2EBB">
          <w:rPr>
            <w:rStyle w:val="Hyperlink"/>
          </w:rPr>
          <w:t>GlobalG.A.P</w:t>
        </w:r>
        <w:proofErr w:type="spellEnd"/>
        <w:r w:rsidR="006B2EBB">
          <w:rPr>
            <w:rStyle w:val="Hyperlink"/>
          </w:rPr>
          <w:t>.</w:t>
        </w:r>
      </w:hyperlink>
      <w:r w:rsidR="00A875BC" w:rsidRPr="00497728">
        <w:t xml:space="preserve">, </w:t>
      </w:r>
      <w:proofErr w:type="spellStart"/>
      <w:r w:rsidR="00A875BC" w:rsidRPr="00497728">
        <w:t>GlobalG.A.P</w:t>
      </w:r>
      <w:proofErr w:type="spellEnd"/>
      <w:r w:rsidR="00A875BC" w:rsidRPr="00497728">
        <w:t>.,</w:t>
      </w:r>
      <w:r w:rsidR="00AB4C56" w:rsidRPr="00497728">
        <w:t xml:space="preserve"> </w:t>
      </w:r>
      <w:r w:rsidR="00AB4C56" w:rsidRPr="00497728">
        <w:rPr>
          <w:lang w:eastAsia="ja-JP"/>
        </w:rPr>
        <w:t>accessed 11 November 2024.</w:t>
      </w:r>
    </w:p>
    <w:p w14:paraId="697C27CF" w14:textId="209BF2B3" w:rsidR="00E0030E" w:rsidRPr="00497728" w:rsidRDefault="00E0030E" w:rsidP="0031638D">
      <w:r w:rsidRPr="00497728">
        <w:t>GrainGrowers</w:t>
      </w:r>
      <w:r w:rsidR="00063958" w:rsidRPr="00497728">
        <w:t xml:space="preserve"> </w:t>
      </w:r>
      <w:r w:rsidR="007E6981">
        <w:t>2019</w:t>
      </w:r>
      <w:r w:rsidR="00063958" w:rsidRPr="00497728">
        <w:t>,</w:t>
      </w:r>
      <w:r w:rsidRPr="00497728">
        <w:t xml:space="preserve"> </w:t>
      </w:r>
      <w:hyperlink r:id="rId54" w:history="1">
        <w:r w:rsidRPr="00497728">
          <w:rPr>
            <w:rStyle w:val="Hyperlink"/>
          </w:rPr>
          <w:t>Australian Grain Sustainability Framework</w:t>
        </w:r>
      </w:hyperlink>
      <w:r w:rsidR="00063958" w:rsidRPr="00497728">
        <w:t>,</w:t>
      </w:r>
      <w:r w:rsidRPr="00497728">
        <w:t xml:space="preserve"> </w:t>
      </w:r>
      <w:r w:rsidR="00063958" w:rsidRPr="00497728">
        <w:t>GrainGrowers</w:t>
      </w:r>
      <w:r w:rsidR="00AB4C56" w:rsidRPr="00497728">
        <w:t xml:space="preserve">, </w:t>
      </w:r>
      <w:r w:rsidR="00AB4C56" w:rsidRPr="00497728">
        <w:rPr>
          <w:lang w:eastAsia="ja-JP"/>
        </w:rPr>
        <w:t>accessed 11 November 2024.</w:t>
      </w:r>
    </w:p>
    <w:p w14:paraId="5B102217" w14:textId="5424F824" w:rsidR="00E0030E" w:rsidRPr="00497728" w:rsidRDefault="00150D1D" w:rsidP="002452F6">
      <w:pPr>
        <w:rPr>
          <w:lang w:eastAsia="ja-JP"/>
        </w:rPr>
      </w:pPr>
      <w:r w:rsidRPr="00497728">
        <w:t xml:space="preserve">Library of Congress </w:t>
      </w:r>
      <w:r w:rsidR="006178A5">
        <w:t>2022</w:t>
      </w:r>
      <w:r w:rsidRPr="00497728">
        <w:t xml:space="preserve">, </w:t>
      </w:r>
      <w:hyperlink r:id="rId55" w:history="1">
        <w:r w:rsidR="00E0030E" w:rsidRPr="00497728">
          <w:rPr>
            <w:rStyle w:val="Hyperlink"/>
          </w:rPr>
          <w:t>Uyghur Forced Labor Prevention Act</w:t>
        </w:r>
      </w:hyperlink>
      <w:r w:rsidR="004F48D4" w:rsidRPr="00497728">
        <w:t>,</w:t>
      </w:r>
      <w:r w:rsidR="00E0030E" w:rsidRPr="00497728">
        <w:t xml:space="preserve"> </w:t>
      </w:r>
      <w:r w:rsidRPr="00497728">
        <w:t>Library of Congress</w:t>
      </w:r>
      <w:r w:rsidR="00AB4C56" w:rsidRPr="00497728">
        <w:t xml:space="preserve">, </w:t>
      </w:r>
      <w:r w:rsidR="00AB4C56" w:rsidRPr="00497728">
        <w:rPr>
          <w:lang w:eastAsia="ja-JP"/>
        </w:rPr>
        <w:t>accessed 11 November 2024.</w:t>
      </w:r>
    </w:p>
    <w:p w14:paraId="14F8A9CB" w14:textId="07B730D7" w:rsidR="00E0030E" w:rsidRPr="00497728" w:rsidRDefault="00CC1FD4" w:rsidP="0031638D">
      <w:r w:rsidRPr="00497728">
        <w:t xml:space="preserve">Hort Innovation 2023, </w:t>
      </w:r>
      <w:hyperlink r:id="rId56" w:history="1">
        <w:r w:rsidRPr="00497728">
          <w:rPr>
            <w:rStyle w:val="Hyperlink"/>
          </w:rPr>
          <w:t>2023/24 Australian-grown Horticulture Sustainability Framework</w:t>
        </w:r>
      </w:hyperlink>
      <w:r w:rsidRPr="00497728">
        <w:t>, Hort Innovation</w:t>
      </w:r>
      <w:r w:rsidR="00AB4C56" w:rsidRPr="00497728">
        <w:t xml:space="preserve">, </w:t>
      </w:r>
      <w:r w:rsidR="00AB4C56" w:rsidRPr="00497728">
        <w:rPr>
          <w:lang w:eastAsia="ja-JP"/>
        </w:rPr>
        <w:t>accessed 11 November 2024.</w:t>
      </w:r>
    </w:p>
    <w:p w14:paraId="229697A1" w14:textId="520764A6" w:rsidR="00E0030E" w:rsidRPr="00497728" w:rsidRDefault="00697F14" w:rsidP="00C1095E">
      <w:r w:rsidRPr="00497728">
        <w:t xml:space="preserve">DFAT </w:t>
      </w:r>
      <w:r w:rsidR="004467BD">
        <w:t>2020</w:t>
      </w:r>
      <w:r w:rsidRPr="00497728">
        <w:t xml:space="preserve">, </w:t>
      </w:r>
      <w:hyperlink r:id="rId57" w:history="1">
        <w:r w:rsidR="006178A5">
          <w:rPr>
            <w:rStyle w:val="Hyperlink"/>
          </w:rPr>
          <w:t>Indonesia-Australia Comprehensive Economic Partnership Agreement (IA-CEPA)</w:t>
        </w:r>
      </w:hyperlink>
      <w:r w:rsidR="00BD566F" w:rsidRPr="00497728">
        <w:t>,</w:t>
      </w:r>
      <w:r w:rsidR="00E0030E" w:rsidRPr="00497728">
        <w:t xml:space="preserve"> </w:t>
      </w:r>
      <w:r w:rsidRPr="00497728">
        <w:t xml:space="preserve">Department of Foreign Affairs and Trade, </w:t>
      </w:r>
      <w:r w:rsidRPr="00497728">
        <w:rPr>
          <w:lang w:eastAsia="ja-JP"/>
        </w:rPr>
        <w:t>accessed 11 November 2024.</w:t>
      </w:r>
    </w:p>
    <w:p w14:paraId="0643CEE3" w14:textId="60D26CD3" w:rsidR="00E0030E" w:rsidRPr="00497728" w:rsidRDefault="00E505C7" w:rsidP="00F85E9B">
      <w:r w:rsidRPr="00497728">
        <w:t xml:space="preserve">ISCC </w:t>
      </w:r>
      <w:r w:rsidR="007309CB">
        <w:t>2010</w:t>
      </w:r>
      <w:r w:rsidRPr="00497728">
        <w:t xml:space="preserve">, </w:t>
      </w:r>
      <w:hyperlink r:id="rId58" w:history="1">
        <w:r w:rsidR="005831D9">
          <w:rPr>
            <w:rStyle w:val="Hyperlink"/>
          </w:rPr>
          <w:t>International Sustainability and Carbon Certification (ISCC) Schemes</w:t>
        </w:r>
      </w:hyperlink>
      <w:r w:rsidRPr="00497728">
        <w:t xml:space="preserve">, International Sustainability and Carbon Certification, </w:t>
      </w:r>
      <w:r w:rsidRPr="00497728">
        <w:rPr>
          <w:lang w:eastAsia="ja-JP"/>
        </w:rPr>
        <w:t>accessed 11 November 2024.</w:t>
      </w:r>
    </w:p>
    <w:p w14:paraId="0F5843FB" w14:textId="0F6E7AD3" w:rsidR="0088600D" w:rsidRDefault="00E505C7" w:rsidP="00C1095E">
      <w:r w:rsidRPr="00497728">
        <w:t xml:space="preserve">DFAT </w:t>
      </w:r>
      <w:r w:rsidR="00433040">
        <w:t>2015</w:t>
      </w:r>
      <w:r w:rsidRPr="00497728">
        <w:t xml:space="preserve">, </w:t>
      </w:r>
      <w:hyperlink r:id="rId59" w:history="1">
        <w:r w:rsidR="00433040">
          <w:rPr>
            <w:rStyle w:val="Hyperlink"/>
          </w:rPr>
          <w:t>Japan-Australia Economic Partnership Agreement (JAEPA)</w:t>
        </w:r>
      </w:hyperlink>
      <w:r w:rsidRPr="00497728">
        <w:t>,</w:t>
      </w:r>
      <w:r w:rsidR="00E0030E" w:rsidRPr="00497728">
        <w:t xml:space="preserve"> </w:t>
      </w:r>
      <w:r w:rsidRPr="00497728">
        <w:t xml:space="preserve">Department of Foreign Affairs and Trade, </w:t>
      </w:r>
      <w:r w:rsidRPr="00497728">
        <w:rPr>
          <w:lang w:eastAsia="ja-JP"/>
        </w:rPr>
        <w:t>accessed 11 November 2024.</w:t>
      </w:r>
    </w:p>
    <w:p w14:paraId="179A7D3C" w14:textId="210AA705" w:rsidR="00E0030E" w:rsidRPr="00497728" w:rsidRDefault="00E505C7" w:rsidP="00C1095E">
      <w:r w:rsidRPr="00497728">
        <w:t xml:space="preserve">DFAT </w:t>
      </w:r>
      <w:r w:rsidR="00433040">
        <w:t>2014</w:t>
      </w:r>
      <w:r w:rsidRPr="00497728">
        <w:t xml:space="preserve">, </w:t>
      </w:r>
      <w:hyperlink r:id="rId60" w:history="1">
        <w:r w:rsidR="00433040">
          <w:rPr>
            <w:rStyle w:val="Hyperlink"/>
          </w:rPr>
          <w:t>Korea-Australia Free Trade Agreement (KAFTA)</w:t>
        </w:r>
      </w:hyperlink>
      <w:r w:rsidRPr="00497728">
        <w:t>,</w:t>
      </w:r>
      <w:r w:rsidR="00E0030E" w:rsidRPr="00497728">
        <w:t xml:space="preserve"> </w:t>
      </w:r>
      <w:r w:rsidRPr="00497728">
        <w:t xml:space="preserve">Department of Foreign Affairs and Trade, </w:t>
      </w:r>
      <w:r w:rsidRPr="00497728">
        <w:rPr>
          <w:lang w:eastAsia="ja-JP"/>
        </w:rPr>
        <w:t>accessed 11 November 2024.</w:t>
      </w:r>
    </w:p>
    <w:p w14:paraId="1CC314E1" w14:textId="2F2AE18D" w:rsidR="00E0030E" w:rsidRPr="00497728" w:rsidRDefault="004D5F5D" w:rsidP="000D6778">
      <w:r w:rsidRPr="00497728">
        <w:t xml:space="preserve">MSC </w:t>
      </w:r>
      <w:r w:rsidR="009D716B">
        <w:t>2024</w:t>
      </w:r>
      <w:r w:rsidRPr="00497728">
        <w:t xml:space="preserve">, </w:t>
      </w:r>
      <w:hyperlink r:id="rId61" w:history="1">
        <w:r w:rsidR="004B1D53">
          <w:rPr>
            <w:rStyle w:val="Hyperlink"/>
          </w:rPr>
          <w:t>Why get your business MSC certified?</w:t>
        </w:r>
      </w:hyperlink>
      <w:r w:rsidRPr="00497728">
        <w:t xml:space="preserve">, </w:t>
      </w:r>
      <w:r w:rsidR="00E0030E" w:rsidRPr="00497728">
        <w:t>Marine Stewardship Council</w:t>
      </w:r>
      <w:r w:rsidR="00433040">
        <w:t xml:space="preserve"> (MSC)</w:t>
      </w:r>
      <w:r w:rsidRPr="00497728">
        <w:t xml:space="preserve">, </w:t>
      </w:r>
      <w:r w:rsidRPr="00497728">
        <w:rPr>
          <w:lang w:eastAsia="ja-JP"/>
        </w:rPr>
        <w:t>11 November 2024.</w:t>
      </w:r>
    </w:p>
    <w:p w14:paraId="0304CA6B" w14:textId="24B0EA13" w:rsidR="00E0030E" w:rsidRPr="00497728" w:rsidRDefault="00665FF7" w:rsidP="0031638D">
      <w:r w:rsidRPr="00497728">
        <w:t xml:space="preserve">Ministry of Agriculture, Forestry and Fisheries </w:t>
      </w:r>
      <w:r w:rsidR="00166CC2">
        <w:t>2022</w:t>
      </w:r>
      <w:r w:rsidRPr="00497728">
        <w:t xml:space="preserve">, </w:t>
      </w:r>
      <w:hyperlink r:id="rId62" w:history="1">
        <w:r w:rsidRPr="00497728">
          <w:rPr>
            <w:rStyle w:val="Hyperlink"/>
          </w:rPr>
          <w:t>Japanese Agricultural Standards</w:t>
        </w:r>
      </w:hyperlink>
      <w:r w:rsidRPr="00497728">
        <w:t xml:space="preserve">, </w:t>
      </w:r>
      <w:r w:rsidR="00E0030E" w:rsidRPr="00497728">
        <w:t>Ministry of Agriculture, Forestry and Fisheries</w:t>
      </w:r>
      <w:r w:rsidRPr="00497728">
        <w:t>,</w:t>
      </w:r>
      <w:r w:rsidR="00E0030E" w:rsidRPr="00497728">
        <w:t xml:space="preserve"> </w:t>
      </w:r>
      <w:r w:rsidR="00E505C7" w:rsidRPr="00497728">
        <w:rPr>
          <w:lang w:eastAsia="ja-JP"/>
        </w:rPr>
        <w:t>accessed 11 November 2024.</w:t>
      </w:r>
    </w:p>
    <w:p w14:paraId="69D613B4" w14:textId="0A80FC60" w:rsidR="00E0030E" w:rsidRPr="00497728" w:rsidRDefault="00E90007" w:rsidP="00F85E9B">
      <w:proofErr w:type="spellStart"/>
      <w:r>
        <w:t>m</w:t>
      </w:r>
      <w:r w:rsidR="001725A9" w:rsidRPr="00497728">
        <w:t>yBMP</w:t>
      </w:r>
      <w:proofErr w:type="spellEnd"/>
      <w:r w:rsidR="001725A9" w:rsidRPr="00497728">
        <w:t xml:space="preserve"> </w:t>
      </w:r>
      <w:r>
        <w:t>1997</w:t>
      </w:r>
      <w:r w:rsidR="001725A9" w:rsidRPr="00497728">
        <w:t xml:space="preserve">, </w:t>
      </w:r>
      <w:hyperlink r:id="rId63" w:history="1">
        <w:r w:rsidR="00166CC2">
          <w:rPr>
            <w:rStyle w:val="Hyperlink"/>
          </w:rPr>
          <w:t xml:space="preserve">About </w:t>
        </w:r>
        <w:proofErr w:type="spellStart"/>
        <w:r w:rsidR="00166CC2">
          <w:rPr>
            <w:rStyle w:val="Hyperlink"/>
          </w:rPr>
          <w:t>myBMP</w:t>
        </w:r>
        <w:proofErr w:type="spellEnd"/>
      </w:hyperlink>
      <w:r w:rsidR="001725A9" w:rsidRPr="00497728">
        <w:t xml:space="preserve">, </w:t>
      </w:r>
      <w:proofErr w:type="spellStart"/>
      <w:r>
        <w:t>m</w:t>
      </w:r>
      <w:r w:rsidR="00E0030E" w:rsidRPr="00497728">
        <w:t>yBMP</w:t>
      </w:r>
      <w:proofErr w:type="spellEnd"/>
      <w:r w:rsidR="001725A9" w:rsidRPr="00497728">
        <w:t>,</w:t>
      </w:r>
      <w:r w:rsidR="00E0030E" w:rsidRPr="00497728">
        <w:t xml:space="preserve"> </w:t>
      </w:r>
      <w:r w:rsidR="00E505C7" w:rsidRPr="00497728">
        <w:rPr>
          <w:lang w:eastAsia="ja-JP"/>
        </w:rPr>
        <w:t>accessed 11 November 2024.</w:t>
      </w:r>
    </w:p>
    <w:p w14:paraId="54BEE05F" w14:textId="125E4914" w:rsidR="00E0030E" w:rsidRPr="00497728" w:rsidRDefault="00241C63" w:rsidP="00F85E9B">
      <w:proofErr w:type="spellStart"/>
      <w:r>
        <w:lastRenderedPageBreak/>
        <w:t>r</w:t>
      </w:r>
      <w:r w:rsidR="0004332B" w:rsidRPr="00497728">
        <w:t>egenagri</w:t>
      </w:r>
      <w:proofErr w:type="spellEnd"/>
      <w:r w:rsidR="0004332B" w:rsidRPr="00497728">
        <w:t xml:space="preserve"> </w:t>
      </w:r>
      <w:r w:rsidR="003600D1">
        <w:t>2020</w:t>
      </w:r>
      <w:r w:rsidR="0004332B" w:rsidRPr="00497728">
        <w:t xml:space="preserve">, </w:t>
      </w:r>
      <w:hyperlink r:id="rId64" w:history="1">
        <w:r>
          <w:rPr>
            <w:rStyle w:val="Hyperlink"/>
          </w:rPr>
          <w:t xml:space="preserve">About </w:t>
        </w:r>
        <w:proofErr w:type="spellStart"/>
        <w:r>
          <w:rPr>
            <w:rStyle w:val="Hyperlink"/>
          </w:rPr>
          <w:t>regenagri</w:t>
        </w:r>
        <w:proofErr w:type="spellEnd"/>
      </w:hyperlink>
      <w:r w:rsidR="0004332B" w:rsidRPr="00497728">
        <w:t xml:space="preserve">, </w:t>
      </w:r>
      <w:proofErr w:type="spellStart"/>
      <w:r>
        <w:t>r</w:t>
      </w:r>
      <w:r w:rsidR="00E0030E" w:rsidRPr="00497728">
        <w:t>egenagri</w:t>
      </w:r>
      <w:proofErr w:type="spellEnd"/>
      <w:r w:rsidR="0004332B" w:rsidRPr="00497728">
        <w:t>,</w:t>
      </w:r>
      <w:r w:rsidR="00E0030E" w:rsidRPr="00497728">
        <w:t xml:space="preserve"> </w:t>
      </w:r>
      <w:r w:rsidR="00E505C7" w:rsidRPr="00497728">
        <w:rPr>
          <w:lang w:eastAsia="ja-JP"/>
        </w:rPr>
        <w:t>accessed 11 November 2024</w:t>
      </w:r>
      <w:r w:rsidR="00C276EC" w:rsidRPr="00497728">
        <w:t>.</w:t>
      </w:r>
    </w:p>
    <w:p w14:paraId="39B27048" w14:textId="3EADEC87" w:rsidR="00E0030E" w:rsidRPr="00497728" w:rsidRDefault="00E0030E" w:rsidP="00C276EC">
      <w:pPr>
        <w:jc w:val="both"/>
      </w:pPr>
      <w:proofErr w:type="spellStart"/>
      <w:r w:rsidRPr="00497728">
        <w:t>S</w:t>
      </w:r>
      <w:r w:rsidR="009C7BEB" w:rsidRPr="00497728">
        <w:t>edex</w:t>
      </w:r>
      <w:proofErr w:type="spellEnd"/>
      <w:r w:rsidR="009C7BEB" w:rsidRPr="00497728">
        <w:t xml:space="preserve"> </w:t>
      </w:r>
      <w:r w:rsidR="002D144F">
        <w:t>2004</w:t>
      </w:r>
      <w:r w:rsidR="009C7BEB" w:rsidRPr="00497728">
        <w:t xml:space="preserve">, </w:t>
      </w:r>
      <w:hyperlink r:id="rId65" w:history="1">
        <w:r w:rsidR="00A63D0D">
          <w:rPr>
            <w:rStyle w:val="Hyperlink"/>
          </w:rPr>
          <w:t xml:space="preserve">What we do at </w:t>
        </w:r>
        <w:proofErr w:type="spellStart"/>
        <w:r w:rsidR="00A63D0D">
          <w:rPr>
            <w:rStyle w:val="Hyperlink"/>
          </w:rPr>
          <w:t>Sedex</w:t>
        </w:r>
        <w:proofErr w:type="spellEnd"/>
      </w:hyperlink>
      <w:r w:rsidR="009C7BEB" w:rsidRPr="00497728">
        <w:t xml:space="preserve">, </w:t>
      </w:r>
      <w:proofErr w:type="spellStart"/>
      <w:r w:rsidR="009C7BEB" w:rsidRPr="00497728">
        <w:t>Sedex</w:t>
      </w:r>
      <w:proofErr w:type="spellEnd"/>
      <w:r w:rsidR="00C276EC" w:rsidRPr="00497728">
        <w:t>,</w:t>
      </w:r>
      <w:r w:rsidRPr="00497728">
        <w:t xml:space="preserve"> </w:t>
      </w:r>
      <w:r w:rsidR="00E505C7" w:rsidRPr="00497728">
        <w:rPr>
          <w:lang w:eastAsia="ja-JP"/>
        </w:rPr>
        <w:t>accessed 11 November 2024</w:t>
      </w:r>
      <w:r w:rsidR="00C276EC" w:rsidRPr="00497728">
        <w:t>.</w:t>
      </w:r>
    </w:p>
    <w:p w14:paraId="0D8A56D9" w14:textId="3BF454D9" w:rsidR="00E0030E" w:rsidRPr="00497728" w:rsidRDefault="0065751A" w:rsidP="0031638D">
      <w:r w:rsidRPr="00497728">
        <w:t xml:space="preserve">MLA 2024, </w:t>
      </w:r>
      <w:hyperlink r:id="rId66" w:history="1">
        <w:r w:rsidR="00E0030E" w:rsidRPr="00497728">
          <w:rPr>
            <w:rStyle w:val="Hyperlink"/>
          </w:rPr>
          <w:t>Sheep Sustainability Framework Annual Report 2024</w:t>
        </w:r>
      </w:hyperlink>
      <w:r w:rsidRPr="00497728">
        <w:t>, Meat and Livestock Australia</w:t>
      </w:r>
      <w:r w:rsidR="000A2B8F">
        <w:t xml:space="preserve"> (MLA)</w:t>
      </w:r>
      <w:r w:rsidRPr="00497728">
        <w:t>,</w:t>
      </w:r>
      <w:r w:rsidR="00E0030E" w:rsidRPr="00497728">
        <w:t xml:space="preserve"> </w:t>
      </w:r>
      <w:r w:rsidR="00E505C7" w:rsidRPr="00497728">
        <w:rPr>
          <w:lang w:eastAsia="ja-JP"/>
        </w:rPr>
        <w:t>accessed 11 November 2024</w:t>
      </w:r>
      <w:r w:rsidRPr="00497728">
        <w:rPr>
          <w:lang w:eastAsia="ja-JP"/>
        </w:rPr>
        <w:t>.</w:t>
      </w:r>
    </w:p>
    <w:p w14:paraId="0F326A66" w14:textId="2DC07EEC" w:rsidR="00E0030E" w:rsidRPr="00497728" w:rsidRDefault="00E505C7" w:rsidP="000D6778">
      <w:pPr>
        <w:rPr>
          <w:rStyle w:val="Hyperlink"/>
        </w:rPr>
      </w:pPr>
      <w:r w:rsidRPr="00497728">
        <w:t xml:space="preserve">DFAT </w:t>
      </w:r>
      <w:r w:rsidR="000A2B8F">
        <w:t>2003</w:t>
      </w:r>
      <w:r w:rsidRPr="00497728">
        <w:t xml:space="preserve">, </w:t>
      </w:r>
      <w:hyperlink r:id="rId67" w:history="1">
        <w:r w:rsidR="000A2B8F">
          <w:rPr>
            <w:rStyle w:val="Hyperlink"/>
          </w:rPr>
          <w:t>Singapore-Australia Free Trade Agreement (SAFTA)</w:t>
        </w:r>
      </w:hyperlink>
      <w:r w:rsidR="00D41386" w:rsidRPr="00497728">
        <w:t>,</w:t>
      </w:r>
      <w:r w:rsidR="00E0030E" w:rsidRPr="00497728">
        <w:t xml:space="preserve"> </w:t>
      </w:r>
      <w:r w:rsidRPr="00497728">
        <w:t xml:space="preserve">Department of Foreign Affairs and Trade, </w:t>
      </w:r>
      <w:r w:rsidRPr="00497728">
        <w:rPr>
          <w:lang w:eastAsia="ja-JP"/>
        </w:rPr>
        <w:t>accessed 11 November 2024</w:t>
      </w:r>
      <w:r w:rsidR="00D41386" w:rsidRPr="00497728">
        <w:t>.</w:t>
      </w:r>
    </w:p>
    <w:p w14:paraId="5800FF49" w14:textId="7B4F16B7" w:rsidR="00E0030E" w:rsidRPr="00497728" w:rsidRDefault="00D41386" w:rsidP="000D6778">
      <w:r w:rsidRPr="00497728">
        <w:t xml:space="preserve">SAI Platform </w:t>
      </w:r>
      <w:r w:rsidR="00DB7D5B">
        <w:t>2002</w:t>
      </w:r>
      <w:r w:rsidRPr="00497728">
        <w:t xml:space="preserve">, </w:t>
      </w:r>
      <w:hyperlink r:id="rId68" w:history="1">
        <w:r w:rsidR="009A0B99">
          <w:rPr>
            <w:rStyle w:val="Hyperlink"/>
          </w:rPr>
          <w:t>Who we are</w:t>
        </w:r>
      </w:hyperlink>
      <w:r w:rsidR="002214C3" w:rsidRPr="00497728">
        <w:t xml:space="preserve">, SAI </w:t>
      </w:r>
      <w:r w:rsidR="00E0030E" w:rsidRPr="00497728">
        <w:t>Sustainable Agricultural Initiative</w:t>
      </w:r>
      <w:r w:rsidR="002214C3" w:rsidRPr="00497728">
        <w:t xml:space="preserve"> Platform</w:t>
      </w:r>
      <w:r w:rsidRPr="00497728">
        <w:t xml:space="preserve">, </w:t>
      </w:r>
      <w:r w:rsidR="00E505C7" w:rsidRPr="00497728">
        <w:rPr>
          <w:lang w:eastAsia="ja-JP"/>
        </w:rPr>
        <w:t>accessed 11 November 2024</w:t>
      </w:r>
      <w:r w:rsidR="002214C3" w:rsidRPr="00497728">
        <w:t>.</w:t>
      </w:r>
    </w:p>
    <w:p w14:paraId="394E72E7" w14:textId="0DA38267" w:rsidR="00E0030E" w:rsidRPr="00497728" w:rsidRDefault="00E2661C" w:rsidP="0031638D">
      <w:r w:rsidRPr="00497728">
        <w:t>UN</w:t>
      </w:r>
      <w:r w:rsidR="008179FA" w:rsidRPr="00497728">
        <w:t>FCCC</w:t>
      </w:r>
      <w:r w:rsidRPr="00497728">
        <w:t xml:space="preserve"> </w:t>
      </w:r>
      <w:r w:rsidR="00EB5C8C">
        <w:t>2015</w:t>
      </w:r>
      <w:r w:rsidRPr="00497728">
        <w:t xml:space="preserve">, </w:t>
      </w:r>
      <w:hyperlink r:id="rId69" w:history="1">
        <w:r w:rsidR="00E0030E" w:rsidRPr="00497728">
          <w:rPr>
            <w:rStyle w:val="Hyperlink"/>
          </w:rPr>
          <w:t>The Paris Agreement</w:t>
        </w:r>
      </w:hyperlink>
      <w:r w:rsidRPr="00497728">
        <w:t xml:space="preserve">, </w:t>
      </w:r>
      <w:r w:rsidR="007968C6" w:rsidRPr="00497728">
        <w:t>United Nations Framework Convention on Climate Change</w:t>
      </w:r>
      <w:r w:rsidRPr="00497728">
        <w:t>,</w:t>
      </w:r>
      <w:r w:rsidR="00E0030E" w:rsidRPr="00497728">
        <w:t xml:space="preserve"> </w:t>
      </w:r>
      <w:r w:rsidR="00E505C7" w:rsidRPr="00497728">
        <w:rPr>
          <w:lang w:eastAsia="ja-JP"/>
        </w:rPr>
        <w:t>accessed 11 November 2024</w:t>
      </w:r>
      <w:r w:rsidRPr="00497728">
        <w:t>.</w:t>
      </w:r>
    </w:p>
    <w:p w14:paraId="119AEA87" w14:textId="3AFC561A" w:rsidR="00E0030E" w:rsidRPr="00497728" w:rsidRDefault="00E0030E" w:rsidP="000D6778">
      <w:pPr>
        <w:rPr>
          <w:rStyle w:val="Hyperlink"/>
        </w:rPr>
      </w:pPr>
      <w:r w:rsidRPr="00497728">
        <w:t>US Customs and Border Protection</w:t>
      </w:r>
      <w:r w:rsidR="008179FA" w:rsidRPr="00497728">
        <w:t xml:space="preserve"> </w:t>
      </w:r>
      <w:r w:rsidR="00EB5C8C">
        <w:t>2022</w:t>
      </w:r>
      <w:r w:rsidR="008179FA" w:rsidRPr="00497728">
        <w:t>,</w:t>
      </w:r>
      <w:r w:rsidRPr="00497728">
        <w:t xml:space="preserve"> </w:t>
      </w:r>
      <w:hyperlink r:id="rId70" w:history="1">
        <w:r w:rsidRPr="00497728">
          <w:rPr>
            <w:rStyle w:val="Hyperlink"/>
          </w:rPr>
          <w:t>Green Trade Strategy</w:t>
        </w:r>
      </w:hyperlink>
      <w:r w:rsidR="008179FA" w:rsidRPr="00497728">
        <w:t>, US Customs and Border Protection,</w:t>
      </w:r>
      <w:r w:rsidRPr="00497728">
        <w:t xml:space="preserve"> </w:t>
      </w:r>
      <w:r w:rsidR="00E505C7" w:rsidRPr="00497728">
        <w:rPr>
          <w:lang w:eastAsia="ja-JP"/>
        </w:rPr>
        <w:t>accessed 11 November 2024</w:t>
      </w:r>
      <w:r w:rsidR="00B43318" w:rsidRPr="00497728">
        <w:t>.</w:t>
      </w:r>
    </w:p>
    <w:p w14:paraId="7F23F204" w14:textId="335BB41C" w:rsidR="00E0030E" w:rsidRPr="00401049" w:rsidRDefault="00E0030E" w:rsidP="00401049">
      <w:pPr>
        <w:rPr>
          <w:rStyle w:val="Hyperlink"/>
        </w:rPr>
      </w:pPr>
      <w:r w:rsidRPr="00497728">
        <w:rPr>
          <w:rStyle w:val="Hyperlink"/>
          <w:color w:val="auto"/>
          <w:u w:val="none"/>
        </w:rPr>
        <w:t>US Securities and Exchange Commission</w:t>
      </w:r>
      <w:r w:rsidR="001B53A0" w:rsidRPr="00497728">
        <w:rPr>
          <w:rStyle w:val="Hyperlink"/>
          <w:color w:val="auto"/>
          <w:u w:val="none"/>
        </w:rPr>
        <w:t xml:space="preserve"> </w:t>
      </w:r>
      <w:r w:rsidR="00AF62E6">
        <w:rPr>
          <w:rStyle w:val="Hyperlink"/>
          <w:color w:val="auto"/>
          <w:u w:val="none"/>
        </w:rPr>
        <w:t>2024</w:t>
      </w:r>
      <w:r w:rsidR="001B53A0" w:rsidRPr="00497728">
        <w:rPr>
          <w:rStyle w:val="Hyperlink"/>
          <w:color w:val="auto"/>
          <w:u w:val="none"/>
        </w:rPr>
        <w:t xml:space="preserve">, </w:t>
      </w:r>
      <w:hyperlink r:id="rId71" w:history="1">
        <w:r w:rsidRPr="00497728">
          <w:rPr>
            <w:rStyle w:val="Hyperlink"/>
          </w:rPr>
          <w:t>Fact Sheet: The Enhancement and Standardization of Climate-Related Disclosures: Final Rules</w:t>
        </w:r>
        <w:r w:rsidR="001056D6" w:rsidRPr="00497728">
          <w:rPr>
            <w:rStyle w:val="Hyperlink"/>
          </w:rPr>
          <w:t xml:space="preserve"> (PDF</w:t>
        </w:r>
        <w:r w:rsidR="00ED746D" w:rsidRPr="00497728">
          <w:rPr>
            <w:rStyle w:val="Hyperlink"/>
          </w:rPr>
          <w:t xml:space="preserve"> </w:t>
        </w:r>
        <w:r w:rsidR="003335FF" w:rsidRPr="00497728">
          <w:rPr>
            <w:rStyle w:val="Hyperlink"/>
          </w:rPr>
          <w:t>287</w:t>
        </w:r>
        <w:r w:rsidR="00ED746D" w:rsidRPr="00497728">
          <w:rPr>
            <w:rStyle w:val="Hyperlink"/>
          </w:rPr>
          <w:t>KB</w:t>
        </w:r>
        <w:r w:rsidR="001056D6" w:rsidRPr="00497728">
          <w:rPr>
            <w:rStyle w:val="Hyperlink"/>
          </w:rPr>
          <w:t>)</w:t>
        </w:r>
      </w:hyperlink>
      <w:r w:rsidR="00AC7247" w:rsidRPr="00497728">
        <w:t>,</w:t>
      </w:r>
      <w:r w:rsidRPr="00497728">
        <w:t xml:space="preserve"> </w:t>
      </w:r>
      <w:r w:rsidR="00E505C7" w:rsidRPr="00497728">
        <w:rPr>
          <w:lang w:eastAsia="ja-JP"/>
        </w:rPr>
        <w:t>accessed 11 November 2024</w:t>
      </w:r>
      <w:r w:rsidR="00AC7247" w:rsidRPr="00497728">
        <w:rPr>
          <w:rStyle w:val="Hyperlink"/>
          <w:color w:val="auto"/>
          <w:u w:val="none"/>
        </w:rPr>
        <w:t>.</w:t>
      </w:r>
    </w:p>
    <w:sectPr w:rsidR="00E0030E" w:rsidRPr="00401049" w:rsidSect="00C22DED">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16E00" w14:textId="77777777" w:rsidR="002754DB" w:rsidRDefault="002754DB">
      <w:r>
        <w:separator/>
      </w:r>
    </w:p>
    <w:p w14:paraId="7075B529" w14:textId="77777777" w:rsidR="002754DB" w:rsidRDefault="002754DB"/>
    <w:p w14:paraId="6EB3EAD1" w14:textId="77777777" w:rsidR="002754DB" w:rsidRDefault="002754DB"/>
  </w:endnote>
  <w:endnote w:type="continuationSeparator" w:id="0">
    <w:p w14:paraId="5EF57A6E" w14:textId="77777777" w:rsidR="002754DB" w:rsidRDefault="002754DB">
      <w:r>
        <w:continuationSeparator/>
      </w:r>
    </w:p>
    <w:p w14:paraId="0A66B285" w14:textId="77777777" w:rsidR="002754DB" w:rsidRDefault="002754DB"/>
    <w:p w14:paraId="20DB42A7" w14:textId="77777777" w:rsidR="002754DB" w:rsidRDefault="002754DB"/>
  </w:endnote>
  <w:endnote w:type="continuationNotice" w:id="1">
    <w:p w14:paraId="7EDE7799" w14:textId="77777777" w:rsidR="002754DB" w:rsidRDefault="002754DB">
      <w:pPr>
        <w:pStyle w:val="Footer"/>
      </w:pPr>
    </w:p>
    <w:p w14:paraId="379F15D4" w14:textId="77777777" w:rsidR="002754DB" w:rsidRDefault="002754DB"/>
    <w:p w14:paraId="6D15398F" w14:textId="77777777" w:rsidR="002754DB" w:rsidRDefault="0027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C54E" w14:textId="6EFF3C7D" w:rsidR="0073652F" w:rsidRDefault="0073652F">
    <w:pPr>
      <w:pStyle w:val="Footer"/>
    </w:pPr>
    <w:r>
      <w:rPr>
        <w:noProof/>
      </w:rPr>
      <mc:AlternateContent>
        <mc:Choice Requires="wps">
          <w:drawing>
            <wp:anchor distT="0" distB="0" distL="0" distR="0" simplePos="0" relativeHeight="251657216" behindDoc="0" locked="0" layoutInCell="1" allowOverlap="1" wp14:anchorId="50C075DB" wp14:editId="4914A22F">
              <wp:simplePos x="635" y="635"/>
              <wp:positionH relativeFrom="page">
                <wp:align>center</wp:align>
              </wp:positionH>
              <wp:positionV relativeFrom="page">
                <wp:align>bottom</wp:align>
              </wp:positionV>
              <wp:extent cx="443865" cy="443865"/>
              <wp:effectExtent l="0" t="0" r="635" b="0"/>
              <wp:wrapNone/>
              <wp:docPr id="21050313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01D65" w14:textId="61E485D2" w:rsidR="0073652F" w:rsidRPr="0073652F" w:rsidRDefault="0073652F" w:rsidP="0073652F">
                          <w:pPr>
                            <w:spacing w:after="0"/>
                            <w:rPr>
                              <w:rFonts w:ascii="Calibri" w:eastAsia="Calibri" w:hAnsi="Calibri" w:cs="Calibri"/>
                              <w:noProof/>
                              <w:color w:val="FF0000"/>
                              <w:sz w:val="24"/>
                              <w:szCs w:val="24"/>
                            </w:rPr>
                          </w:pPr>
                          <w:r w:rsidRPr="007365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075DB"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301D65" w14:textId="61E485D2" w:rsidR="0073652F" w:rsidRPr="0073652F" w:rsidRDefault="0073652F" w:rsidP="0073652F">
                    <w:pPr>
                      <w:spacing w:after="0"/>
                      <w:rPr>
                        <w:rFonts w:ascii="Calibri" w:eastAsia="Calibri" w:hAnsi="Calibri" w:cs="Calibri"/>
                        <w:noProof/>
                        <w:color w:val="FF0000"/>
                        <w:sz w:val="24"/>
                        <w:szCs w:val="24"/>
                      </w:rPr>
                    </w:pPr>
                    <w:r w:rsidRPr="0073652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57B7" w14:textId="5C2F347C" w:rsidR="00B861B4" w:rsidRDefault="00DE0AAE">
    <w:pPr>
      <w:pStyle w:val="Footer"/>
    </w:pPr>
    <w:r w:rsidRPr="00DE0AAE">
      <w:t>Department of Agriculture, Fisheries and Forestry</w:t>
    </w:r>
    <w:r w:rsidR="00610CE7">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8D35" w14:textId="77777777" w:rsidR="002754DB" w:rsidRDefault="002754DB">
      <w:r>
        <w:separator/>
      </w:r>
    </w:p>
  </w:footnote>
  <w:footnote w:type="continuationSeparator" w:id="0">
    <w:p w14:paraId="76C0AE92" w14:textId="77777777" w:rsidR="002754DB" w:rsidRDefault="002754DB">
      <w:r>
        <w:continuationSeparator/>
      </w:r>
    </w:p>
    <w:p w14:paraId="58F60781" w14:textId="77777777" w:rsidR="002754DB" w:rsidRDefault="002754DB"/>
    <w:p w14:paraId="718AD26D" w14:textId="77777777" w:rsidR="002754DB" w:rsidRDefault="002754DB"/>
  </w:footnote>
  <w:footnote w:type="continuationNotice" w:id="1">
    <w:p w14:paraId="1EEABF20" w14:textId="77777777" w:rsidR="002754DB" w:rsidRDefault="002754DB">
      <w:pPr>
        <w:pStyle w:val="Footer"/>
      </w:pPr>
    </w:p>
    <w:p w14:paraId="2EB2DF1B" w14:textId="77777777" w:rsidR="002754DB" w:rsidRDefault="002754DB"/>
    <w:p w14:paraId="1F25D64B" w14:textId="77777777" w:rsidR="002754DB" w:rsidRDefault="00275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802B" w14:textId="6A7E3B3D" w:rsidR="00B861B4" w:rsidRDefault="0073652F">
    <w:pPr>
      <w:pStyle w:val="Header"/>
    </w:pPr>
    <w:r>
      <w:rPr>
        <w:noProof/>
        <w:lang w:val="en-US"/>
      </w:rPr>
      <mc:AlternateContent>
        <mc:Choice Requires="wps">
          <w:drawing>
            <wp:anchor distT="0" distB="0" distL="0" distR="0" simplePos="0" relativeHeight="251656192" behindDoc="0" locked="0" layoutInCell="1" allowOverlap="1" wp14:anchorId="741E4935" wp14:editId="5A73863F">
              <wp:simplePos x="635" y="635"/>
              <wp:positionH relativeFrom="page">
                <wp:align>center</wp:align>
              </wp:positionH>
              <wp:positionV relativeFrom="page">
                <wp:align>top</wp:align>
              </wp:positionV>
              <wp:extent cx="443865" cy="443865"/>
              <wp:effectExtent l="0" t="0" r="635" b="14605"/>
              <wp:wrapNone/>
              <wp:docPr id="3940314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EC95E" w14:textId="7E2026E3" w:rsidR="0073652F" w:rsidRPr="0073652F" w:rsidRDefault="0073652F" w:rsidP="0073652F">
                          <w:pPr>
                            <w:spacing w:after="0"/>
                            <w:rPr>
                              <w:rFonts w:ascii="Calibri" w:eastAsia="Calibri" w:hAnsi="Calibri" w:cs="Calibri"/>
                              <w:noProof/>
                              <w:color w:val="FF0000"/>
                              <w:sz w:val="24"/>
                              <w:szCs w:val="24"/>
                            </w:rPr>
                          </w:pPr>
                          <w:r w:rsidRPr="007365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E493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1EC95E" w14:textId="7E2026E3" w:rsidR="0073652F" w:rsidRPr="0073652F" w:rsidRDefault="0073652F" w:rsidP="0073652F">
                    <w:pPr>
                      <w:spacing w:after="0"/>
                      <w:rPr>
                        <w:rFonts w:ascii="Calibri" w:eastAsia="Calibri" w:hAnsi="Calibri" w:cs="Calibri"/>
                        <w:noProof/>
                        <w:color w:val="FF0000"/>
                        <w:sz w:val="24"/>
                        <w:szCs w:val="24"/>
                      </w:rPr>
                    </w:pPr>
                    <w:r w:rsidRPr="0073652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66CD" w14:textId="147458D1" w:rsidR="00B861B4" w:rsidRDefault="00610CE7" w:rsidP="00610CE7">
    <w:pPr>
      <w:pStyle w:val="Header"/>
      <w:spacing w:before="240"/>
    </w:pPr>
    <w:r>
      <w:rPr>
        <w:noProof/>
        <w:lang w:val="en-US"/>
      </w:rPr>
      <mc:AlternateContent>
        <mc:Choice Requires="wps">
          <w:drawing>
            <wp:anchor distT="0" distB="0" distL="0" distR="0" simplePos="0" relativeHeight="251658240" behindDoc="0" locked="0" layoutInCell="1" allowOverlap="1" wp14:anchorId="5C8C5E12" wp14:editId="2120371E">
              <wp:simplePos x="0" y="0"/>
              <wp:positionH relativeFrom="page">
                <wp:posOffset>3547745</wp:posOffset>
              </wp:positionH>
              <wp:positionV relativeFrom="page">
                <wp:posOffset>9194</wp:posOffset>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FCF96E" w14:textId="77777777" w:rsidR="00610CE7" w:rsidRPr="00057E37" w:rsidRDefault="00610CE7" w:rsidP="00610CE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C5E12" id="_x0000_t202" coordsize="21600,21600" o:spt="202" path="m,l,21600r21600,l21600,xe">
              <v:stroke joinstyle="miter"/>
              <v:path gradientshapeok="t" o:connecttype="rect"/>
            </v:shapetype>
            <v:shape id="Text Box 1" o:spid="_x0000_s1027" type="#_x0000_t202" alt="OFFICIAL" style="position:absolute;left:0;text-align:left;margin-left:279.35pt;margin-top:.7pt;width:43.45pt;height:31.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" filled="f" stroked="f">
              <v:textbox style="mso-fit-shape-to-text:t" inset="0,15pt,0,0">
                <w:txbxContent>
                  <w:p w14:paraId="78FCF96E" w14:textId="77777777" w:rsidR="00610CE7" w:rsidRPr="00057E37" w:rsidRDefault="00610CE7" w:rsidP="00610CE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EA3C73">
      <w:rPr>
        <w:noProof/>
        <w:lang w:val="en-US"/>
      </w:rPr>
      <w:t xml:space="preserve">Assuring agricultural sustainabilty claims: </w:t>
    </w:r>
    <w:r w:rsidR="00A56674">
      <w:rPr>
        <w:noProof/>
        <w:lang w:val="en-US"/>
      </w:rPr>
      <w:t>discussion</w:t>
    </w:r>
    <w:r w:rsidR="00EA3C73">
      <w:rPr>
        <w:noProof/>
        <w:lang w:val="en-US"/>
      </w:rPr>
      <w:t xml:space="preserv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31AA" w14:textId="1C813319" w:rsidR="00B861B4" w:rsidRDefault="001339FB">
    <w:pPr>
      <w:pStyle w:val="Header"/>
      <w:jc w:val="left"/>
    </w:pPr>
    <w:r>
      <w:rPr>
        <w:noProof/>
        <w:lang w:val="en-US"/>
      </w:rPr>
      <w:drawing>
        <wp:inline distT="0" distB="0" distL="0" distR="0" wp14:anchorId="2391FFC7" wp14:editId="330E49E3">
          <wp:extent cx="2438400" cy="708660"/>
          <wp:effectExtent l="0" t="0" r="0" b="0"/>
          <wp:docPr id="853730553" name="Picture 85373055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CC3C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CFC32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10EA9"/>
    <w:multiLevelType w:val="hybridMultilevel"/>
    <w:tmpl w:val="2E5AA3AC"/>
    <w:lvl w:ilvl="0" w:tplc="AF549780">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4"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5162198"/>
    <w:multiLevelType w:val="hybridMultilevel"/>
    <w:tmpl w:val="5CEA0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28324B"/>
    <w:multiLevelType w:val="hybridMultilevel"/>
    <w:tmpl w:val="6EB6D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03DE5"/>
    <w:multiLevelType w:val="hybridMultilevel"/>
    <w:tmpl w:val="5FB4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6800B4"/>
    <w:multiLevelType w:val="multilevel"/>
    <w:tmpl w:val="A0241B28"/>
    <w:numStyleLink w:val="List1"/>
  </w:abstractNum>
  <w:abstractNum w:abstractNumId="1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DD09C3"/>
    <w:multiLevelType w:val="hybridMultilevel"/>
    <w:tmpl w:val="19FA05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659F5E75"/>
    <w:multiLevelType w:val="hybridMultilevel"/>
    <w:tmpl w:val="C52495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4"/>
  </w:num>
  <w:num w:numId="2" w16cid:durableId="1639215797">
    <w:abstractNumId w:val="15"/>
  </w:num>
  <w:num w:numId="3" w16cid:durableId="1643265712">
    <w:abstractNumId w:val="6"/>
  </w:num>
  <w:num w:numId="4" w16cid:durableId="626202022">
    <w:abstractNumId w:val="11"/>
  </w:num>
  <w:num w:numId="5" w16cid:durableId="281765065">
    <w:abstractNumId w:val="13"/>
  </w:num>
  <w:num w:numId="6" w16cid:durableId="2092000146">
    <w:abstractNumId w:val="10"/>
  </w:num>
  <w:num w:numId="7" w16cid:durableId="1469322956">
    <w:abstractNumId w:val="14"/>
  </w:num>
  <w:num w:numId="8" w16cid:durableId="1341661948">
    <w:abstractNumId w:val="15"/>
  </w:num>
  <w:num w:numId="9" w16cid:durableId="1983389004">
    <w:abstractNumId w:val="4"/>
  </w:num>
  <w:num w:numId="10" w16cid:durableId="1385720017">
    <w:abstractNumId w:val="19"/>
  </w:num>
  <w:num w:numId="11" w16cid:durableId="1162770660">
    <w:abstractNumId w:val="5"/>
  </w:num>
  <w:num w:numId="12" w16cid:durableId="2089419829">
    <w:abstractNumId w:val="3"/>
  </w:num>
  <w:num w:numId="13" w16cid:durableId="1695225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683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33986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2297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3800838">
    <w:abstractNumId w:val="12"/>
  </w:num>
  <w:num w:numId="18" w16cid:durableId="1802654861">
    <w:abstractNumId w:val="16"/>
  </w:num>
  <w:num w:numId="19" w16cid:durableId="1694768777">
    <w:abstractNumId w:val="7"/>
  </w:num>
  <w:num w:numId="20" w16cid:durableId="288752175">
    <w:abstractNumId w:val="6"/>
  </w:num>
  <w:num w:numId="21" w16cid:durableId="1529022404">
    <w:abstractNumId w:val="6"/>
  </w:num>
  <w:num w:numId="22" w16cid:durableId="934283785">
    <w:abstractNumId w:val="8"/>
  </w:num>
  <w:num w:numId="23" w16cid:durableId="1791433256">
    <w:abstractNumId w:val="3"/>
  </w:num>
  <w:num w:numId="24" w16cid:durableId="156895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908900">
    <w:abstractNumId w:val="6"/>
    <w:lvlOverride w:ilvl="0">
      <w:lvl w:ilvl="0">
        <w:start w:val="1"/>
        <w:numFmt w:val="decimal"/>
        <w:pStyle w:val="Heading2"/>
        <w:lvlText w:val="%1"/>
        <w:lvlJc w:val="left"/>
        <w:pPr>
          <w:ind w:left="720" w:hanging="720"/>
        </w:pPr>
        <w:rPr>
          <w:color w:val="auto"/>
        </w:rPr>
      </w:lvl>
    </w:lvlOverride>
  </w:num>
  <w:num w:numId="26" w16cid:durableId="435951209">
    <w:abstractNumId w:val="17"/>
  </w:num>
  <w:num w:numId="27" w16cid:durableId="1361395064">
    <w:abstractNumId w:val="18"/>
  </w:num>
  <w:num w:numId="28" w16cid:durableId="2119637520">
    <w:abstractNumId w:val="2"/>
  </w:num>
  <w:num w:numId="29" w16cid:durableId="1572811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2274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1340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1332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1596500">
    <w:abstractNumId w:val="15"/>
  </w:num>
  <w:num w:numId="34" w16cid:durableId="1286153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032884">
    <w:abstractNumId w:val="15"/>
  </w:num>
  <w:num w:numId="36" w16cid:durableId="257062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2047048">
    <w:abstractNumId w:val="15"/>
  </w:num>
  <w:num w:numId="38" w16cid:durableId="458496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676042">
    <w:abstractNumId w:val="15"/>
  </w:num>
  <w:num w:numId="40" w16cid:durableId="1667366951">
    <w:abstractNumId w:val="15"/>
  </w:num>
  <w:num w:numId="41" w16cid:durableId="425535365">
    <w:abstractNumId w:val="15"/>
  </w:num>
  <w:num w:numId="42" w16cid:durableId="1775903734">
    <w:abstractNumId w:val="15"/>
  </w:num>
  <w:num w:numId="43" w16cid:durableId="1118914651">
    <w:abstractNumId w:val="0"/>
  </w:num>
  <w:num w:numId="44" w16cid:durableId="141123081">
    <w:abstractNumId w:val="15"/>
  </w:num>
  <w:num w:numId="45" w16cid:durableId="832260650">
    <w:abstractNumId w:val="15"/>
  </w:num>
  <w:num w:numId="46" w16cid:durableId="511409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7299501">
    <w:abstractNumId w:val="15"/>
  </w:num>
  <w:num w:numId="48" w16cid:durableId="542206140">
    <w:abstractNumId w:val="15"/>
  </w:num>
  <w:num w:numId="49" w16cid:durableId="2062367284">
    <w:abstractNumId w:val="15"/>
  </w:num>
  <w:num w:numId="50" w16cid:durableId="692653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0140839">
    <w:abstractNumId w:val="15"/>
  </w:num>
  <w:num w:numId="52" w16cid:durableId="442043220">
    <w:abstractNumId w:val="15"/>
  </w:num>
  <w:num w:numId="53" w16cid:durableId="1927227628">
    <w:abstractNumId w:val="15"/>
  </w:num>
  <w:num w:numId="54" w16cid:durableId="798649718">
    <w:abstractNumId w:val="15"/>
  </w:num>
  <w:num w:numId="55" w16cid:durableId="1523205003">
    <w:abstractNumId w:val="15"/>
  </w:num>
  <w:num w:numId="56" w16cid:durableId="859706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977915">
    <w:abstractNumId w:val="15"/>
  </w:num>
  <w:num w:numId="58" w16cid:durableId="9971462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86616206">
    <w:abstractNumId w:val="15"/>
  </w:num>
  <w:num w:numId="60" w16cid:durableId="1351684250">
    <w:abstractNumId w:val="15"/>
  </w:num>
  <w:num w:numId="61" w16cid:durableId="1230918084">
    <w:abstractNumId w:val="15"/>
  </w:num>
  <w:num w:numId="62" w16cid:durableId="147015407">
    <w:abstractNumId w:val="15"/>
  </w:num>
  <w:num w:numId="63" w16cid:durableId="1610432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508472">
    <w:abstractNumId w:val="15"/>
  </w:num>
  <w:num w:numId="65" w16cid:durableId="1881353365">
    <w:abstractNumId w:val="15"/>
  </w:num>
  <w:num w:numId="66" w16cid:durableId="1859730375">
    <w:abstractNumId w:val="1"/>
  </w:num>
  <w:num w:numId="67" w16cid:durableId="1086345353">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linkStyle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2F"/>
    <w:rsid w:val="000016E3"/>
    <w:rsid w:val="00001753"/>
    <w:rsid w:val="00002080"/>
    <w:rsid w:val="0000326E"/>
    <w:rsid w:val="000032AD"/>
    <w:rsid w:val="000045B0"/>
    <w:rsid w:val="00004B54"/>
    <w:rsid w:val="00006B16"/>
    <w:rsid w:val="00006D71"/>
    <w:rsid w:val="000108C9"/>
    <w:rsid w:val="00011E76"/>
    <w:rsid w:val="000125F6"/>
    <w:rsid w:val="00012DF5"/>
    <w:rsid w:val="00013A46"/>
    <w:rsid w:val="00013EB0"/>
    <w:rsid w:val="00014106"/>
    <w:rsid w:val="00014259"/>
    <w:rsid w:val="00015968"/>
    <w:rsid w:val="000162BE"/>
    <w:rsid w:val="00016537"/>
    <w:rsid w:val="00016DF7"/>
    <w:rsid w:val="00016E3F"/>
    <w:rsid w:val="00017085"/>
    <w:rsid w:val="00017F90"/>
    <w:rsid w:val="00020B21"/>
    <w:rsid w:val="00020DB9"/>
    <w:rsid w:val="00020FCA"/>
    <w:rsid w:val="000211EA"/>
    <w:rsid w:val="0002202D"/>
    <w:rsid w:val="00022E3A"/>
    <w:rsid w:val="000236CF"/>
    <w:rsid w:val="00023D5C"/>
    <w:rsid w:val="0002466A"/>
    <w:rsid w:val="00024696"/>
    <w:rsid w:val="00024C0E"/>
    <w:rsid w:val="00025C2B"/>
    <w:rsid w:val="0002653A"/>
    <w:rsid w:val="00027607"/>
    <w:rsid w:val="00027BFD"/>
    <w:rsid w:val="0003085B"/>
    <w:rsid w:val="00030D30"/>
    <w:rsid w:val="000319D8"/>
    <w:rsid w:val="00032207"/>
    <w:rsid w:val="00032DD3"/>
    <w:rsid w:val="000334E8"/>
    <w:rsid w:val="000339C0"/>
    <w:rsid w:val="00034664"/>
    <w:rsid w:val="000346DC"/>
    <w:rsid w:val="00035DB5"/>
    <w:rsid w:val="00037591"/>
    <w:rsid w:val="00037687"/>
    <w:rsid w:val="00040312"/>
    <w:rsid w:val="00040EB0"/>
    <w:rsid w:val="00041C12"/>
    <w:rsid w:val="0004332B"/>
    <w:rsid w:val="00043D85"/>
    <w:rsid w:val="00043EB4"/>
    <w:rsid w:val="00044345"/>
    <w:rsid w:val="00044FA4"/>
    <w:rsid w:val="00045E22"/>
    <w:rsid w:val="00045FD5"/>
    <w:rsid w:val="0004635D"/>
    <w:rsid w:val="00047114"/>
    <w:rsid w:val="000471E2"/>
    <w:rsid w:val="00047D8E"/>
    <w:rsid w:val="00051867"/>
    <w:rsid w:val="00051E72"/>
    <w:rsid w:val="00051FCD"/>
    <w:rsid w:val="000542FF"/>
    <w:rsid w:val="000544B4"/>
    <w:rsid w:val="00054AEA"/>
    <w:rsid w:val="00054D07"/>
    <w:rsid w:val="000551DC"/>
    <w:rsid w:val="0005604B"/>
    <w:rsid w:val="000566CA"/>
    <w:rsid w:val="000577EE"/>
    <w:rsid w:val="0006120B"/>
    <w:rsid w:val="00063958"/>
    <w:rsid w:val="00063CE3"/>
    <w:rsid w:val="000643FA"/>
    <w:rsid w:val="00064560"/>
    <w:rsid w:val="00065AF9"/>
    <w:rsid w:val="00070249"/>
    <w:rsid w:val="000702F3"/>
    <w:rsid w:val="00070D9C"/>
    <w:rsid w:val="00071420"/>
    <w:rsid w:val="00072B22"/>
    <w:rsid w:val="00072CE8"/>
    <w:rsid w:val="0007327F"/>
    <w:rsid w:val="00073422"/>
    <w:rsid w:val="0007347F"/>
    <w:rsid w:val="000739D1"/>
    <w:rsid w:val="000745BB"/>
    <w:rsid w:val="000755C6"/>
    <w:rsid w:val="00075BBD"/>
    <w:rsid w:val="000763A8"/>
    <w:rsid w:val="00076F00"/>
    <w:rsid w:val="00076F5A"/>
    <w:rsid w:val="0007794C"/>
    <w:rsid w:val="000801D7"/>
    <w:rsid w:val="000803E8"/>
    <w:rsid w:val="00080738"/>
    <w:rsid w:val="00081554"/>
    <w:rsid w:val="000826C5"/>
    <w:rsid w:val="000830EE"/>
    <w:rsid w:val="00083191"/>
    <w:rsid w:val="00083435"/>
    <w:rsid w:val="00083EB6"/>
    <w:rsid w:val="00084702"/>
    <w:rsid w:val="00084F48"/>
    <w:rsid w:val="00085641"/>
    <w:rsid w:val="00086691"/>
    <w:rsid w:val="0008698F"/>
    <w:rsid w:val="000869AB"/>
    <w:rsid w:val="000870F7"/>
    <w:rsid w:val="000902C5"/>
    <w:rsid w:val="0009081B"/>
    <w:rsid w:val="0009109D"/>
    <w:rsid w:val="000911B9"/>
    <w:rsid w:val="0009150D"/>
    <w:rsid w:val="000917C3"/>
    <w:rsid w:val="00092358"/>
    <w:rsid w:val="0009375C"/>
    <w:rsid w:val="00093A21"/>
    <w:rsid w:val="000942EE"/>
    <w:rsid w:val="0009477B"/>
    <w:rsid w:val="00094F52"/>
    <w:rsid w:val="0009592B"/>
    <w:rsid w:val="00095CCF"/>
    <w:rsid w:val="0009611D"/>
    <w:rsid w:val="00097FA8"/>
    <w:rsid w:val="000A1447"/>
    <w:rsid w:val="000A1E92"/>
    <w:rsid w:val="000A1ECD"/>
    <w:rsid w:val="000A2B8F"/>
    <w:rsid w:val="000A2F46"/>
    <w:rsid w:val="000A305F"/>
    <w:rsid w:val="000A306D"/>
    <w:rsid w:val="000A3182"/>
    <w:rsid w:val="000A3610"/>
    <w:rsid w:val="000A4B2C"/>
    <w:rsid w:val="000A4D7F"/>
    <w:rsid w:val="000A5519"/>
    <w:rsid w:val="000A57DB"/>
    <w:rsid w:val="000A60CF"/>
    <w:rsid w:val="000A65C2"/>
    <w:rsid w:val="000A67BE"/>
    <w:rsid w:val="000A6C7C"/>
    <w:rsid w:val="000A6E54"/>
    <w:rsid w:val="000A79DF"/>
    <w:rsid w:val="000A7AAF"/>
    <w:rsid w:val="000B09A3"/>
    <w:rsid w:val="000B1A00"/>
    <w:rsid w:val="000B4014"/>
    <w:rsid w:val="000B45F7"/>
    <w:rsid w:val="000B4B40"/>
    <w:rsid w:val="000B5895"/>
    <w:rsid w:val="000B5FA0"/>
    <w:rsid w:val="000B6531"/>
    <w:rsid w:val="000B68FC"/>
    <w:rsid w:val="000B711A"/>
    <w:rsid w:val="000B7464"/>
    <w:rsid w:val="000C0A5B"/>
    <w:rsid w:val="000C0D53"/>
    <w:rsid w:val="000C13DA"/>
    <w:rsid w:val="000C1946"/>
    <w:rsid w:val="000C4AF0"/>
    <w:rsid w:val="000C68BE"/>
    <w:rsid w:val="000C6A2F"/>
    <w:rsid w:val="000C6AE5"/>
    <w:rsid w:val="000C6D02"/>
    <w:rsid w:val="000C7599"/>
    <w:rsid w:val="000C7C0C"/>
    <w:rsid w:val="000C7EC3"/>
    <w:rsid w:val="000C7F75"/>
    <w:rsid w:val="000D1461"/>
    <w:rsid w:val="000D1887"/>
    <w:rsid w:val="000D1A8B"/>
    <w:rsid w:val="000D22B0"/>
    <w:rsid w:val="000D40A4"/>
    <w:rsid w:val="000D45FE"/>
    <w:rsid w:val="000D6778"/>
    <w:rsid w:val="000E1DEE"/>
    <w:rsid w:val="000E293C"/>
    <w:rsid w:val="000E2D37"/>
    <w:rsid w:val="000E2E7C"/>
    <w:rsid w:val="000E3638"/>
    <w:rsid w:val="000E47EF"/>
    <w:rsid w:val="000E570B"/>
    <w:rsid w:val="000E65D5"/>
    <w:rsid w:val="000E6717"/>
    <w:rsid w:val="000F0811"/>
    <w:rsid w:val="000F423F"/>
    <w:rsid w:val="000F4A20"/>
    <w:rsid w:val="000F4F2A"/>
    <w:rsid w:val="000F5CFF"/>
    <w:rsid w:val="000F5DCB"/>
    <w:rsid w:val="000F6A18"/>
    <w:rsid w:val="00100058"/>
    <w:rsid w:val="001013AD"/>
    <w:rsid w:val="00101A71"/>
    <w:rsid w:val="00102E0C"/>
    <w:rsid w:val="00103045"/>
    <w:rsid w:val="001044E9"/>
    <w:rsid w:val="00104639"/>
    <w:rsid w:val="00104F49"/>
    <w:rsid w:val="001056D6"/>
    <w:rsid w:val="001057A9"/>
    <w:rsid w:val="001069E6"/>
    <w:rsid w:val="00106F38"/>
    <w:rsid w:val="001071AE"/>
    <w:rsid w:val="001072A1"/>
    <w:rsid w:val="0010779C"/>
    <w:rsid w:val="001116C3"/>
    <w:rsid w:val="00111FF0"/>
    <w:rsid w:val="00114048"/>
    <w:rsid w:val="00114505"/>
    <w:rsid w:val="00114964"/>
    <w:rsid w:val="00115775"/>
    <w:rsid w:val="0011581A"/>
    <w:rsid w:val="00115A16"/>
    <w:rsid w:val="00115F8F"/>
    <w:rsid w:val="00117537"/>
    <w:rsid w:val="00117A37"/>
    <w:rsid w:val="001209D6"/>
    <w:rsid w:val="00120A5D"/>
    <w:rsid w:val="00120FBF"/>
    <w:rsid w:val="00121A6E"/>
    <w:rsid w:val="00121F4F"/>
    <w:rsid w:val="0012200A"/>
    <w:rsid w:val="001220B0"/>
    <w:rsid w:val="001232A4"/>
    <w:rsid w:val="0012407F"/>
    <w:rsid w:val="00125D37"/>
    <w:rsid w:val="00126916"/>
    <w:rsid w:val="00126AAC"/>
    <w:rsid w:val="00131428"/>
    <w:rsid w:val="00131429"/>
    <w:rsid w:val="00131468"/>
    <w:rsid w:val="001326A5"/>
    <w:rsid w:val="00132723"/>
    <w:rsid w:val="001333D5"/>
    <w:rsid w:val="001339FB"/>
    <w:rsid w:val="00133ED1"/>
    <w:rsid w:val="00134AF7"/>
    <w:rsid w:val="001350C6"/>
    <w:rsid w:val="00136323"/>
    <w:rsid w:val="001365EC"/>
    <w:rsid w:val="00141446"/>
    <w:rsid w:val="0014246D"/>
    <w:rsid w:val="001429CB"/>
    <w:rsid w:val="00145E99"/>
    <w:rsid w:val="00145F48"/>
    <w:rsid w:val="001462C1"/>
    <w:rsid w:val="00146622"/>
    <w:rsid w:val="00146A67"/>
    <w:rsid w:val="0015046F"/>
    <w:rsid w:val="00150599"/>
    <w:rsid w:val="00150BF8"/>
    <w:rsid w:val="00150D1D"/>
    <w:rsid w:val="001516E2"/>
    <w:rsid w:val="00153E96"/>
    <w:rsid w:val="00153FEA"/>
    <w:rsid w:val="0015402A"/>
    <w:rsid w:val="0015466F"/>
    <w:rsid w:val="001548F7"/>
    <w:rsid w:val="001549C1"/>
    <w:rsid w:val="001550F6"/>
    <w:rsid w:val="001562E2"/>
    <w:rsid w:val="00156B50"/>
    <w:rsid w:val="00160087"/>
    <w:rsid w:val="0016011F"/>
    <w:rsid w:val="00160E26"/>
    <w:rsid w:val="00160F3B"/>
    <w:rsid w:val="00160FE3"/>
    <w:rsid w:val="0016201B"/>
    <w:rsid w:val="001628C7"/>
    <w:rsid w:val="001641A3"/>
    <w:rsid w:val="00165215"/>
    <w:rsid w:val="001657CF"/>
    <w:rsid w:val="00166216"/>
    <w:rsid w:val="00166C7C"/>
    <w:rsid w:val="00166CC2"/>
    <w:rsid w:val="001704FA"/>
    <w:rsid w:val="00171676"/>
    <w:rsid w:val="00171C5E"/>
    <w:rsid w:val="0017203E"/>
    <w:rsid w:val="001725A9"/>
    <w:rsid w:val="001728AE"/>
    <w:rsid w:val="00173094"/>
    <w:rsid w:val="00174903"/>
    <w:rsid w:val="00174C98"/>
    <w:rsid w:val="001753BA"/>
    <w:rsid w:val="0017606A"/>
    <w:rsid w:val="00176594"/>
    <w:rsid w:val="0017699C"/>
    <w:rsid w:val="001769C4"/>
    <w:rsid w:val="00177AF1"/>
    <w:rsid w:val="001801C1"/>
    <w:rsid w:val="00180246"/>
    <w:rsid w:val="00181098"/>
    <w:rsid w:val="00184744"/>
    <w:rsid w:val="00185E0F"/>
    <w:rsid w:val="00185FCD"/>
    <w:rsid w:val="00186015"/>
    <w:rsid w:val="0018615C"/>
    <w:rsid w:val="001863DB"/>
    <w:rsid w:val="00187101"/>
    <w:rsid w:val="00187A26"/>
    <w:rsid w:val="001900BF"/>
    <w:rsid w:val="001907B8"/>
    <w:rsid w:val="001909C0"/>
    <w:rsid w:val="0019145E"/>
    <w:rsid w:val="0019147D"/>
    <w:rsid w:val="00192650"/>
    <w:rsid w:val="001932DE"/>
    <w:rsid w:val="00194DC8"/>
    <w:rsid w:val="00195207"/>
    <w:rsid w:val="00195738"/>
    <w:rsid w:val="00196749"/>
    <w:rsid w:val="0019794F"/>
    <w:rsid w:val="001A0956"/>
    <w:rsid w:val="001A1306"/>
    <w:rsid w:val="001A1845"/>
    <w:rsid w:val="001A1F60"/>
    <w:rsid w:val="001A3F4B"/>
    <w:rsid w:val="001A4A66"/>
    <w:rsid w:val="001A4D60"/>
    <w:rsid w:val="001A532C"/>
    <w:rsid w:val="001A5617"/>
    <w:rsid w:val="001A582C"/>
    <w:rsid w:val="001A628D"/>
    <w:rsid w:val="001B09AD"/>
    <w:rsid w:val="001B0E43"/>
    <w:rsid w:val="001B53A0"/>
    <w:rsid w:val="001B53F0"/>
    <w:rsid w:val="001B62D1"/>
    <w:rsid w:val="001C0732"/>
    <w:rsid w:val="001C1271"/>
    <w:rsid w:val="001C16CC"/>
    <w:rsid w:val="001C1865"/>
    <w:rsid w:val="001C1F57"/>
    <w:rsid w:val="001C334E"/>
    <w:rsid w:val="001C491F"/>
    <w:rsid w:val="001C4EE8"/>
    <w:rsid w:val="001C5317"/>
    <w:rsid w:val="001C578E"/>
    <w:rsid w:val="001C682E"/>
    <w:rsid w:val="001C6DCD"/>
    <w:rsid w:val="001C71A9"/>
    <w:rsid w:val="001C73AF"/>
    <w:rsid w:val="001C7591"/>
    <w:rsid w:val="001C782B"/>
    <w:rsid w:val="001D0374"/>
    <w:rsid w:val="001D0B73"/>
    <w:rsid w:val="001D0E1E"/>
    <w:rsid w:val="001D1E95"/>
    <w:rsid w:val="001D23BD"/>
    <w:rsid w:val="001D26E4"/>
    <w:rsid w:val="001D33BC"/>
    <w:rsid w:val="001D369B"/>
    <w:rsid w:val="001D373B"/>
    <w:rsid w:val="001D3B17"/>
    <w:rsid w:val="001D3C88"/>
    <w:rsid w:val="001D5527"/>
    <w:rsid w:val="001D7691"/>
    <w:rsid w:val="001D77F9"/>
    <w:rsid w:val="001E0B23"/>
    <w:rsid w:val="001E0C16"/>
    <w:rsid w:val="001E0DBA"/>
    <w:rsid w:val="001E1271"/>
    <w:rsid w:val="001E1E8C"/>
    <w:rsid w:val="001E2683"/>
    <w:rsid w:val="001E50C8"/>
    <w:rsid w:val="001E5C57"/>
    <w:rsid w:val="001E61CA"/>
    <w:rsid w:val="001E65F8"/>
    <w:rsid w:val="001F0808"/>
    <w:rsid w:val="001F1126"/>
    <w:rsid w:val="001F1730"/>
    <w:rsid w:val="001F292C"/>
    <w:rsid w:val="001F2C20"/>
    <w:rsid w:val="001F42EE"/>
    <w:rsid w:val="001F4E84"/>
    <w:rsid w:val="001F52BE"/>
    <w:rsid w:val="001F5F63"/>
    <w:rsid w:val="001F66D1"/>
    <w:rsid w:val="001F6E34"/>
    <w:rsid w:val="00200742"/>
    <w:rsid w:val="00200952"/>
    <w:rsid w:val="00200BC8"/>
    <w:rsid w:val="0020173B"/>
    <w:rsid w:val="00201774"/>
    <w:rsid w:val="00202309"/>
    <w:rsid w:val="002029DC"/>
    <w:rsid w:val="00202B6F"/>
    <w:rsid w:val="00202C8D"/>
    <w:rsid w:val="00203C23"/>
    <w:rsid w:val="0020474D"/>
    <w:rsid w:val="0020553E"/>
    <w:rsid w:val="00206C45"/>
    <w:rsid w:val="002073BE"/>
    <w:rsid w:val="002074DE"/>
    <w:rsid w:val="0021001D"/>
    <w:rsid w:val="00210148"/>
    <w:rsid w:val="00210DEF"/>
    <w:rsid w:val="00211A4E"/>
    <w:rsid w:val="0021352E"/>
    <w:rsid w:val="0021354C"/>
    <w:rsid w:val="00215970"/>
    <w:rsid w:val="00215A83"/>
    <w:rsid w:val="00215CF0"/>
    <w:rsid w:val="00215FB7"/>
    <w:rsid w:val="002162D3"/>
    <w:rsid w:val="0021649B"/>
    <w:rsid w:val="00217179"/>
    <w:rsid w:val="00217BF6"/>
    <w:rsid w:val="00220B15"/>
    <w:rsid w:val="00220C95"/>
    <w:rsid w:val="00221252"/>
    <w:rsid w:val="002214C3"/>
    <w:rsid w:val="002216AF"/>
    <w:rsid w:val="00221B70"/>
    <w:rsid w:val="00221DC4"/>
    <w:rsid w:val="00222137"/>
    <w:rsid w:val="0022260E"/>
    <w:rsid w:val="002231CD"/>
    <w:rsid w:val="002241E4"/>
    <w:rsid w:val="00224D4B"/>
    <w:rsid w:val="00224E71"/>
    <w:rsid w:val="00225911"/>
    <w:rsid w:val="0022634F"/>
    <w:rsid w:val="00226541"/>
    <w:rsid w:val="00226C96"/>
    <w:rsid w:val="00226D6E"/>
    <w:rsid w:val="002278F7"/>
    <w:rsid w:val="0023082C"/>
    <w:rsid w:val="00230E60"/>
    <w:rsid w:val="002312F3"/>
    <w:rsid w:val="00232798"/>
    <w:rsid w:val="00232878"/>
    <w:rsid w:val="00232F52"/>
    <w:rsid w:val="002334BC"/>
    <w:rsid w:val="00234038"/>
    <w:rsid w:val="00234F03"/>
    <w:rsid w:val="002361C9"/>
    <w:rsid w:val="00236EC6"/>
    <w:rsid w:val="00237513"/>
    <w:rsid w:val="00240D48"/>
    <w:rsid w:val="00241C63"/>
    <w:rsid w:val="00241C82"/>
    <w:rsid w:val="00242789"/>
    <w:rsid w:val="00243E99"/>
    <w:rsid w:val="002452F6"/>
    <w:rsid w:val="002453B6"/>
    <w:rsid w:val="00246977"/>
    <w:rsid w:val="00247EE0"/>
    <w:rsid w:val="0025000E"/>
    <w:rsid w:val="00250C8D"/>
    <w:rsid w:val="00251158"/>
    <w:rsid w:val="002516E6"/>
    <w:rsid w:val="00252EFF"/>
    <w:rsid w:val="00253184"/>
    <w:rsid w:val="00254868"/>
    <w:rsid w:val="002548D4"/>
    <w:rsid w:val="00254E23"/>
    <w:rsid w:val="002552A2"/>
    <w:rsid w:val="0025725F"/>
    <w:rsid w:val="002605CB"/>
    <w:rsid w:val="00261490"/>
    <w:rsid w:val="00262E4B"/>
    <w:rsid w:val="00262ECB"/>
    <w:rsid w:val="0026353F"/>
    <w:rsid w:val="00263CB6"/>
    <w:rsid w:val="00263DFA"/>
    <w:rsid w:val="00264AEB"/>
    <w:rsid w:val="00264F3F"/>
    <w:rsid w:val="00265097"/>
    <w:rsid w:val="00265ED7"/>
    <w:rsid w:val="00266B5E"/>
    <w:rsid w:val="00266C5A"/>
    <w:rsid w:val="00270806"/>
    <w:rsid w:val="00271346"/>
    <w:rsid w:val="002713A9"/>
    <w:rsid w:val="0027192C"/>
    <w:rsid w:val="002726A1"/>
    <w:rsid w:val="002728C0"/>
    <w:rsid w:val="002735E8"/>
    <w:rsid w:val="00274255"/>
    <w:rsid w:val="00274FFC"/>
    <w:rsid w:val="002754DB"/>
    <w:rsid w:val="00277C4C"/>
    <w:rsid w:val="00281101"/>
    <w:rsid w:val="00281BB6"/>
    <w:rsid w:val="00282F34"/>
    <w:rsid w:val="00284C5A"/>
    <w:rsid w:val="00284D14"/>
    <w:rsid w:val="00286307"/>
    <w:rsid w:val="00286371"/>
    <w:rsid w:val="002863A8"/>
    <w:rsid w:val="00286565"/>
    <w:rsid w:val="00286846"/>
    <w:rsid w:val="002878AC"/>
    <w:rsid w:val="00291048"/>
    <w:rsid w:val="002932D4"/>
    <w:rsid w:val="00294F81"/>
    <w:rsid w:val="002958A8"/>
    <w:rsid w:val="00297980"/>
    <w:rsid w:val="002A07FA"/>
    <w:rsid w:val="002A1639"/>
    <w:rsid w:val="002A17DE"/>
    <w:rsid w:val="002A26F2"/>
    <w:rsid w:val="002A2A65"/>
    <w:rsid w:val="002A3239"/>
    <w:rsid w:val="002A3292"/>
    <w:rsid w:val="002A3757"/>
    <w:rsid w:val="002A3A1A"/>
    <w:rsid w:val="002A4CF7"/>
    <w:rsid w:val="002A55B1"/>
    <w:rsid w:val="002A5EE4"/>
    <w:rsid w:val="002A650C"/>
    <w:rsid w:val="002A6544"/>
    <w:rsid w:val="002A7AA6"/>
    <w:rsid w:val="002B0341"/>
    <w:rsid w:val="002B20A4"/>
    <w:rsid w:val="002B336E"/>
    <w:rsid w:val="002B38FC"/>
    <w:rsid w:val="002B3CF9"/>
    <w:rsid w:val="002B535D"/>
    <w:rsid w:val="002B6AA4"/>
    <w:rsid w:val="002B7B0E"/>
    <w:rsid w:val="002C084D"/>
    <w:rsid w:val="002C3290"/>
    <w:rsid w:val="002C46D8"/>
    <w:rsid w:val="002C4F68"/>
    <w:rsid w:val="002C5E44"/>
    <w:rsid w:val="002C676E"/>
    <w:rsid w:val="002C7942"/>
    <w:rsid w:val="002D144F"/>
    <w:rsid w:val="002D2218"/>
    <w:rsid w:val="002D23D5"/>
    <w:rsid w:val="002D3DF0"/>
    <w:rsid w:val="002D5218"/>
    <w:rsid w:val="002D550C"/>
    <w:rsid w:val="002D5B0A"/>
    <w:rsid w:val="002D6107"/>
    <w:rsid w:val="002D67C2"/>
    <w:rsid w:val="002D6DA0"/>
    <w:rsid w:val="002D6FC4"/>
    <w:rsid w:val="002E04C4"/>
    <w:rsid w:val="002E1D8F"/>
    <w:rsid w:val="002E36F8"/>
    <w:rsid w:val="002E4303"/>
    <w:rsid w:val="002E4D1B"/>
    <w:rsid w:val="002E55DC"/>
    <w:rsid w:val="002E6030"/>
    <w:rsid w:val="002E628D"/>
    <w:rsid w:val="002E6416"/>
    <w:rsid w:val="002E689D"/>
    <w:rsid w:val="002E6D64"/>
    <w:rsid w:val="002F1457"/>
    <w:rsid w:val="002F26DD"/>
    <w:rsid w:val="002F64F2"/>
    <w:rsid w:val="002F6BF4"/>
    <w:rsid w:val="002F79AE"/>
    <w:rsid w:val="002F7F92"/>
    <w:rsid w:val="00300533"/>
    <w:rsid w:val="00300B48"/>
    <w:rsid w:val="0030124C"/>
    <w:rsid w:val="003016D9"/>
    <w:rsid w:val="00301C56"/>
    <w:rsid w:val="00301D73"/>
    <w:rsid w:val="003024BD"/>
    <w:rsid w:val="003028ED"/>
    <w:rsid w:val="003038DE"/>
    <w:rsid w:val="00304535"/>
    <w:rsid w:val="00304AB4"/>
    <w:rsid w:val="00305053"/>
    <w:rsid w:val="00305E7F"/>
    <w:rsid w:val="003060D4"/>
    <w:rsid w:val="00306444"/>
    <w:rsid w:val="00306CD7"/>
    <w:rsid w:val="0030707E"/>
    <w:rsid w:val="0030731E"/>
    <w:rsid w:val="00310DF3"/>
    <w:rsid w:val="003118EF"/>
    <w:rsid w:val="003122F7"/>
    <w:rsid w:val="00313868"/>
    <w:rsid w:val="00313B43"/>
    <w:rsid w:val="00314390"/>
    <w:rsid w:val="003146C6"/>
    <w:rsid w:val="00315A57"/>
    <w:rsid w:val="0031638D"/>
    <w:rsid w:val="0031677E"/>
    <w:rsid w:val="00317DC4"/>
    <w:rsid w:val="00320A04"/>
    <w:rsid w:val="003214B3"/>
    <w:rsid w:val="00322A03"/>
    <w:rsid w:val="003233DF"/>
    <w:rsid w:val="0032357B"/>
    <w:rsid w:val="00324B76"/>
    <w:rsid w:val="00324BD0"/>
    <w:rsid w:val="003253FF"/>
    <w:rsid w:val="00327947"/>
    <w:rsid w:val="00327F61"/>
    <w:rsid w:val="0033021E"/>
    <w:rsid w:val="00332F48"/>
    <w:rsid w:val="003335FF"/>
    <w:rsid w:val="00334629"/>
    <w:rsid w:val="003352A0"/>
    <w:rsid w:val="00335E7B"/>
    <w:rsid w:val="00337B41"/>
    <w:rsid w:val="00341111"/>
    <w:rsid w:val="00342364"/>
    <w:rsid w:val="00345D0D"/>
    <w:rsid w:val="003462E2"/>
    <w:rsid w:val="00347504"/>
    <w:rsid w:val="00347652"/>
    <w:rsid w:val="003505C0"/>
    <w:rsid w:val="00350D80"/>
    <w:rsid w:val="0035111E"/>
    <w:rsid w:val="00351361"/>
    <w:rsid w:val="00351CC9"/>
    <w:rsid w:val="00351ED8"/>
    <w:rsid w:val="003523BA"/>
    <w:rsid w:val="003526E2"/>
    <w:rsid w:val="003534E5"/>
    <w:rsid w:val="003537AD"/>
    <w:rsid w:val="00353945"/>
    <w:rsid w:val="00353ABF"/>
    <w:rsid w:val="003540F7"/>
    <w:rsid w:val="0035464C"/>
    <w:rsid w:val="00354C6A"/>
    <w:rsid w:val="00354E5B"/>
    <w:rsid w:val="00355001"/>
    <w:rsid w:val="003566B6"/>
    <w:rsid w:val="00356879"/>
    <w:rsid w:val="00360039"/>
    <w:rsid w:val="003600D1"/>
    <w:rsid w:val="00360B49"/>
    <w:rsid w:val="00361B85"/>
    <w:rsid w:val="003620CD"/>
    <w:rsid w:val="00363006"/>
    <w:rsid w:val="003645D6"/>
    <w:rsid w:val="00364A4A"/>
    <w:rsid w:val="00364E0B"/>
    <w:rsid w:val="003650C9"/>
    <w:rsid w:val="0036542A"/>
    <w:rsid w:val="003654AC"/>
    <w:rsid w:val="00365ADA"/>
    <w:rsid w:val="00365C79"/>
    <w:rsid w:val="00365D32"/>
    <w:rsid w:val="003661EE"/>
    <w:rsid w:val="00366231"/>
    <w:rsid w:val="003667D5"/>
    <w:rsid w:val="00366F56"/>
    <w:rsid w:val="0037073B"/>
    <w:rsid w:val="00370FF5"/>
    <w:rsid w:val="00372B18"/>
    <w:rsid w:val="00373632"/>
    <w:rsid w:val="00373A09"/>
    <w:rsid w:val="00373D1D"/>
    <w:rsid w:val="0037502E"/>
    <w:rsid w:val="00375EC2"/>
    <w:rsid w:val="003771A4"/>
    <w:rsid w:val="00380426"/>
    <w:rsid w:val="003808B2"/>
    <w:rsid w:val="003820D5"/>
    <w:rsid w:val="00382EE4"/>
    <w:rsid w:val="00383349"/>
    <w:rsid w:val="0038432E"/>
    <w:rsid w:val="00384C8C"/>
    <w:rsid w:val="003857AC"/>
    <w:rsid w:val="00387098"/>
    <w:rsid w:val="00387234"/>
    <w:rsid w:val="00387A71"/>
    <w:rsid w:val="00391E8B"/>
    <w:rsid w:val="00392211"/>
    <w:rsid w:val="00392E32"/>
    <w:rsid w:val="00394F14"/>
    <w:rsid w:val="00394F4A"/>
    <w:rsid w:val="00395407"/>
    <w:rsid w:val="003961A3"/>
    <w:rsid w:val="0039649E"/>
    <w:rsid w:val="00397E9A"/>
    <w:rsid w:val="003A0580"/>
    <w:rsid w:val="003A0661"/>
    <w:rsid w:val="003A0923"/>
    <w:rsid w:val="003A0F0B"/>
    <w:rsid w:val="003A1116"/>
    <w:rsid w:val="003A13AA"/>
    <w:rsid w:val="003A182B"/>
    <w:rsid w:val="003A20F3"/>
    <w:rsid w:val="003A2DD7"/>
    <w:rsid w:val="003A37EB"/>
    <w:rsid w:val="003A6F9D"/>
    <w:rsid w:val="003A7A66"/>
    <w:rsid w:val="003B03D4"/>
    <w:rsid w:val="003B1606"/>
    <w:rsid w:val="003B160B"/>
    <w:rsid w:val="003B1E29"/>
    <w:rsid w:val="003B53FC"/>
    <w:rsid w:val="003B6A65"/>
    <w:rsid w:val="003B7248"/>
    <w:rsid w:val="003B79B8"/>
    <w:rsid w:val="003C03DC"/>
    <w:rsid w:val="003C05ED"/>
    <w:rsid w:val="003C193E"/>
    <w:rsid w:val="003C1AF5"/>
    <w:rsid w:val="003C1FCE"/>
    <w:rsid w:val="003C2102"/>
    <w:rsid w:val="003C26FE"/>
    <w:rsid w:val="003C2AE2"/>
    <w:rsid w:val="003C3262"/>
    <w:rsid w:val="003C4E7D"/>
    <w:rsid w:val="003C6A5F"/>
    <w:rsid w:val="003C6F4F"/>
    <w:rsid w:val="003C72CF"/>
    <w:rsid w:val="003C79BD"/>
    <w:rsid w:val="003D0781"/>
    <w:rsid w:val="003D1048"/>
    <w:rsid w:val="003D1873"/>
    <w:rsid w:val="003D22D0"/>
    <w:rsid w:val="003D3004"/>
    <w:rsid w:val="003D3107"/>
    <w:rsid w:val="003D3244"/>
    <w:rsid w:val="003D3542"/>
    <w:rsid w:val="003D4492"/>
    <w:rsid w:val="003D4A0B"/>
    <w:rsid w:val="003D4E0D"/>
    <w:rsid w:val="003D5D83"/>
    <w:rsid w:val="003D62BB"/>
    <w:rsid w:val="003D6718"/>
    <w:rsid w:val="003D788F"/>
    <w:rsid w:val="003D7C5C"/>
    <w:rsid w:val="003D7D9E"/>
    <w:rsid w:val="003D7F22"/>
    <w:rsid w:val="003E2EE3"/>
    <w:rsid w:val="003E2F17"/>
    <w:rsid w:val="003E3856"/>
    <w:rsid w:val="003E50AF"/>
    <w:rsid w:val="003E5435"/>
    <w:rsid w:val="003E7336"/>
    <w:rsid w:val="003E7451"/>
    <w:rsid w:val="003E7E76"/>
    <w:rsid w:val="003F0169"/>
    <w:rsid w:val="003F09BE"/>
    <w:rsid w:val="003F0EDC"/>
    <w:rsid w:val="003F1D23"/>
    <w:rsid w:val="003F1D6A"/>
    <w:rsid w:val="003F2672"/>
    <w:rsid w:val="003F35EA"/>
    <w:rsid w:val="003F404B"/>
    <w:rsid w:val="003F46BC"/>
    <w:rsid w:val="003F583B"/>
    <w:rsid w:val="003F58F8"/>
    <w:rsid w:val="003F606E"/>
    <w:rsid w:val="003F775D"/>
    <w:rsid w:val="00401049"/>
    <w:rsid w:val="00401274"/>
    <w:rsid w:val="00401FD8"/>
    <w:rsid w:val="0040307A"/>
    <w:rsid w:val="00403243"/>
    <w:rsid w:val="004032B2"/>
    <w:rsid w:val="004038F2"/>
    <w:rsid w:val="00404145"/>
    <w:rsid w:val="00404216"/>
    <w:rsid w:val="004047A8"/>
    <w:rsid w:val="004066E0"/>
    <w:rsid w:val="004070D9"/>
    <w:rsid w:val="00407BEB"/>
    <w:rsid w:val="00410B27"/>
    <w:rsid w:val="00410EC0"/>
    <w:rsid w:val="004119A5"/>
    <w:rsid w:val="00411D12"/>
    <w:rsid w:val="00412512"/>
    <w:rsid w:val="00412D26"/>
    <w:rsid w:val="004136CB"/>
    <w:rsid w:val="00414173"/>
    <w:rsid w:val="0041454F"/>
    <w:rsid w:val="00414A83"/>
    <w:rsid w:val="004150D0"/>
    <w:rsid w:val="0041525C"/>
    <w:rsid w:val="00415EA4"/>
    <w:rsid w:val="00420675"/>
    <w:rsid w:val="00420BDE"/>
    <w:rsid w:val="00421C05"/>
    <w:rsid w:val="00423715"/>
    <w:rsid w:val="004242B0"/>
    <w:rsid w:val="004244E7"/>
    <w:rsid w:val="00424D5B"/>
    <w:rsid w:val="00425C5F"/>
    <w:rsid w:val="00426EC3"/>
    <w:rsid w:val="0042748F"/>
    <w:rsid w:val="00427F8E"/>
    <w:rsid w:val="00430F87"/>
    <w:rsid w:val="00431F4D"/>
    <w:rsid w:val="00432172"/>
    <w:rsid w:val="00433040"/>
    <w:rsid w:val="00433CC4"/>
    <w:rsid w:val="00434E27"/>
    <w:rsid w:val="004363FD"/>
    <w:rsid w:val="00437495"/>
    <w:rsid w:val="00441818"/>
    <w:rsid w:val="00441BFD"/>
    <w:rsid w:val="00442E22"/>
    <w:rsid w:val="00445912"/>
    <w:rsid w:val="00445FEF"/>
    <w:rsid w:val="004467BD"/>
    <w:rsid w:val="00446881"/>
    <w:rsid w:val="0045004C"/>
    <w:rsid w:val="00451B82"/>
    <w:rsid w:val="0045260A"/>
    <w:rsid w:val="00452DE3"/>
    <w:rsid w:val="0045339B"/>
    <w:rsid w:val="00453733"/>
    <w:rsid w:val="0045593B"/>
    <w:rsid w:val="00455DC6"/>
    <w:rsid w:val="00456EEF"/>
    <w:rsid w:val="0045765D"/>
    <w:rsid w:val="00457B46"/>
    <w:rsid w:val="00457EE5"/>
    <w:rsid w:val="00460791"/>
    <w:rsid w:val="0046084E"/>
    <w:rsid w:val="0046101D"/>
    <w:rsid w:val="00461680"/>
    <w:rsid w:val="00461957"/>
    <w:rsid w:val="00461F23"/>
    <w:rsid w:val="0046398F"/>
    <w:rsid w:val="004647B7"/>
    <w:rsid w:val="004655B6"/>
    <w:rsid w:val="004659D8"/>
    <w:rsid w:val="0046625C"/>
    <w:rsid w:val="00467847"/>
    <w:rsid w:val="0047004C"/>
    <w:rsid w:val="00470211"/>
    <w:rsid w:val="004707C7"/>
    <w:rsid w:val="00470855"/>
    <w:rsid w:val="00470A3C"/>
    <w:rsid w:val="00470C21"/>
    <w:rsid w:val="00471292"/>
    <w:rsid w:val="004723F2"/>
    <w:rsid w:val="004723F5"/>
    <w:rsid w:val="0047275A"/>
    <w:rsid w:val="00473CDF"/>
    <w:rsid w:val="00474CC2"/>
    <w:rsid w:val="004763DE"/>
    <w:rsid w:val="00476C9E"/>
    <w:rsid w:val="00477DF1"/>
    <w:rsid w:val="00480B62"/>
    <w:rsid w:val="00481360"/>
    <w:rsid w:val="004813D6"/>
    <w:rsid w:val="0048164B"/>
    <w:rsid w:val="00481707"/>
    <w:rsid w:val="00481796"/>
    <w:rsid w:val="00481811"/>
    <w:rsid w:val="00482311"/>
    <w:rsid w:val="0048354B"/>
    <w:rsid w:val="00484BCB"/>
    <w:rsid w:val="00485971"/>
    <w:rsid w:val="004870E4"/>
    <w:rsid w:val="00487E96"/>
    <w:rsid w:val="00491E5F"/>
    <w:rsid w:val="00492021"/>
    <w:rsid w:val="00492B48"/>
    <w:rsid w:val="004932B4"/>
    <w:rsid w:val="004933CA"/>
    <w:rsid w:val="00494719"/>
    <w:rsid w:val="00496395"/>
    <w:rsid w:val="00496689"/>
    <w:rsid w:val="0049692C"/>
    <w:rsid w:val="00496A44"/>
    <w:rsid w:val="00496D0B"/>
    <w:rsid w:val="0049760B"/>
    <w:rsid w:val="0049770D"/>
    <w:rsid w:val="00497728"/>
    <w:rsid w:val="00497AE5"/>
    <w:rsid w:val="004A4AAD"/>
    <w:rsid w:val="004A5076"/>
    <w:rsid w:val="004A5350"/>
    <w:rsid w:val="004A5DFF"/>
    <w:rsid w:val="004A6348"/>
    <w:rsid w:val="004A6D41"/>
    <w:rsid w:val="004A775D"/>
    <w:rsid w:val="004B09C7"/>
    <w:rsid w:val="004B1D53"/>
    <w:rsid w:val="004B1D54"/>
    <w:rsid w:val="004B1F47"/>
    <w:rsid w:val="004B403F"/>
    <w:rsid w:val="004B4F0F"/>
    <w:rsid w:val="004B51E6"/>
    <w:rsid w:val="004B54B4"/>
    <w:rsid w:val="004B5762"/>
    <w:rsid w:val="004B58E8"/>
    <w:rsid w:val="004B5D9D"/>
    <w:rsid w:val="004B682D"/>
    <w:rsid w:val="004B6C2C"/>
    <w:rsid w:val="004C128B"/>
    <w:rsid w:val="004C1905"/>
    <w:rsid w:val="004C2694"/>
    <w:rsid w:val="004C2B46"/>
    <w:rsid w:val="004C2B54"/>
    <w:rsid w:val="004C2D69"/>
    <w:rsid w:val="004C2E13"/>
    <w:rsid w:val="004C31B4"/>
    <w:rsid w:val="004C339D"/>
    <w:rsid w:val="004C42A4"/>
    <w:rsid w:val="004C6EBE"/>
    <w:rsid w:val="004C728C"/>
    <w:rsid w:val="004C7EFA"/>
    <w:rsid w:val="004C7F81"/>
    <w:rsid w:val="004D11C3"/>
    <w:rsid w:val="004D17D3"/>
    <w:rsid w:val="004D1DBF"/>
    <w:rsid w:val="004D4089"/>
    <w:rsid w:val="004D5F5D"/>
    <w:rsid w:val="004D65B1"/>
    <w:rsid w:val="004D716B"/>
    <w:rsid w:val="004D76C7"/>
    <w:rsid w:val="004D7A30"/>
    <w:rsid w:val="004E0410"/>
    <w:rsid w:val="004E069E"/>
    <w:rsid w:val="004E0937"/>
    <w:rsid w:val="004E0F77"/>
    <w:rsid w:val="004E21F8"/>
    <w:rsid w:val="004E2426"/>
    <w:rsid w:val="004E38B9"/>
    <w:rsid w:val="004E38FE"/>
    <w:rsid w:val="004E50F6"/>
    <w:rsid w:val="004E5BD4"/>
    <w:rsid w:val="004E7807"/>
    <w:rsid w:val="004F0367"/>
    <w:rsid w:val="004F12C2"/>
    <w:rsid w:val="004F1371"/>
    <w:rsid w:val="004F15D6"/>
    <w:rsid w:val="004F3376"/>
    <w:rsid w:val="004F3F2A"/>
    <w:rsid w:val="004F48D4"/>
    <w:rsid w:val="004F539B"/>
    <w:rsid w:val="004F5D85"/>
    <w:rsid w:val="004F6481"/>
    <w:rsid w:val="004F6714"/>
    <w:rsid w:val="004F6DEC"/>
    <w:rsid w:val="004F7966"/>
    <w:rsid w:val="00500120"/>
    <w:rsid w:val="0050146B"/>
    <w:rsid w:val="005015B3"/>
    <w:rsid w:val="005016B1"/>
    <w:rsid w:val="005043EB"/>
    <w:rsid w:val="00505DD7"/>
    <w:rsid w:val="005062F3"/>
    <w:rsid w:val="00506825"/>
    <w:rsid w:val="00506E9C"/>
    <w:rsid w:val="00507250"/>
    <w:rsid w:val="00507F54"/>
    <w:rsid w:val="00510203"/>
    <w:rsid w:val="0051039E"/>
    <w:rsid w:val="00510F72"/>
    <w:rsid w:val="005112AC"/>
    <w:rsid w:val="00512473"/>
    <w:rsid w:val="00513627"/>
    <w:rsid w:val="00514CA3"/>
    <w:rsid w:val="00517A68"/>
    <w:rsid w:val="00520259"/>
    <w:rsid w:val="005212EA"/>
    <w:rsid w:val="00524C3B"/>
    <w:rsid w:val="00525426"/>
    <w:rsid w:val="00525B06"/>
    <w:rsid w:val="00525B88"/>
    <w:rsid w:val="00525E2B"/>
    <w:rsid w:val="005260E3"/>
    <w:rsid w:val="0052769F"/>
    <w:rsid w:val="00527D46"/>
    <w:rsid w:val="00530503"/>
    <w:rsid w:val="00530F40"/>
    <w:rsid w:val="00532BEA"/>
    <w:rsid w:val="00533609"/>
    <w:rsid w:val="00533AF6"/>
    <w:rsid w:val="00533C6D"/>
    <w:rsid w:val="00533D6E"/>
    <w:rsid w:val="00535394"/>
    <w:rsid w:val="005362D3"/>
    <w:rsid w:val="00541C84"/>
    <w:rsid w:val="005421E1"/>
    <w:rsid w:val="00542B4C"/>
    <w:rsid w:val="00543156"/>
    <w:rsid w:val="005432F0"/>
    <w:rsid w:val="00544357"/>
    <w:rsid w:val="005446FE"/>
    <w:rsid w:val="005456D4"/>
    <w:rsid w:val="005461CB"/>
    <w:rsid w:val="00546221"/>
    <w:rsid w:val="00550559"/>
    <w:rsid w:val="00551362"/>
    <w:rsid w:val="00552B94"/>
    <w:rsid w:val="00553662"/>
    <w:rsid w:val="005553AB"/>
    <w:rsid w:val="00555583"/>
    <w:rsid w:val="005557AA"/>
    <w:rsid w:val="00555B89"/>
    <w:rsid w:val="00561A5C"/>
    <w:rsid w:val="00561F64"/>
    <w:rsid w:val="00562D14"/>
    <w:rsid w:val="00565E46"/>
    <w:rsid w:val="00567F48"/>
    <w:rsid w:val="00570653"/>
    <w:rsid w:val="005711C8"/>
    <w:rsid w:val="005714A1"/>
    <w:rsid w:val="00573DE9"/>
    <w:rsid w:val="00574679"/>
    <w:rsid w:val="005746F6"/>
    <w:rsid w:val="00575669"/>
    <w:rsid w:val="005757B4"/>
    <w:rsid w:val="00575BD2"/>
    <w:rsid w:val="00575C40"/>
    <w:rsid w:val="00575CEF"/>
    <w:rsid w:val="0057702B"/>
    <w:rsid w:val="005774A3"/>
    <w:rsid w:val="005777EC"/>
    <w:rsid w:val="0058195C"/>
    <w:rsid w:val="00581AA8"/>
    <w:rsid w:val="00581DA3"/>
    <w:rsid w:val="00582C40"/>
    <w:rsid w:val="005831D9"/>
    <w:rsid w:val="0058340A"/>
    <w:rsid w:val="0058394A"/>
    <w:rsid w:val="0058419D"/>
    <w:rsid w:val="00584368"/>
    <w:rsid w:val="00585F8E"/>
    <w:rsid w:val="0059038A"/>
    <w:rsid w:val="0059268E"/>
    <w:rsid w:val="00593E33"/>
    <w:rsid w:val="00594B5E"/>
    <w:rsid w:val="00594B89"/>
    <w:rsid w:val="00594E14"/>
    <w:rsid w:val="0059566A"/>
    <w:rsid w:val="0059569B"/>
    <w:rsid w:val="00595A1D"/>
    <w:rsid w:val="00597CF2"/>
    <w:rsid w:val="005A08B1"/>
    <w:rsid w:val="005A0BFC"/>
    <w:rsid w:val="005A104B"/>
    <w:rsid w:val="005A1B71"/>
    <w:rsid w:val="005A35CA"/>
    <w:rsid w:val="005A3993"/>
    <w:rsid w:val="005A3EA9"/>
    <w:rsid w:val="005A4539"/>
    <w:rsid w:val="005A471D"/>
    <w:rsid w:val="005A7193"/>
    <w:rsid w:val="005A73D7"/>
    <w:rsid w:val="005A769F"/>
    <w:rsid w:val="005B0B0F"/>
    <w:rsid w:val="005B1AE0"/>
    <w:rsid w:val="005B2FBD"/>
    <w:rsid w:val="005B3152"/>
    <w:rsid w:val="005B49D1"/>
    <w:rsid w:val="005B4F3A"/>
    <w:rsid w:val="005B5ECB"/>
    <w:rsid w:val="005B6118"/>
    <w:rsid w:val="005B67C7"/>
    <w:rsid w:val="005B7650"/>
    <w:rsid w:val="005C10ED"/>
    <w:rsid w:val="005C1A1F"/>
    <w:rsid w:val="005C1ADD"/>
    <w:rsid w:val="005C36F6"/>
    <w:rsid w:val="005C4262"/>
    <w:rsid w:val="005C5037"/>
    <w:rsid w:val="005C5D63"/>
    <w:rsid w:val="005C5F29"/>
    <w:rsid w:val="005C6028"/>
    <w:rsid w:val="005C60FD"/>
    <w:rsid w:val="005C6D81"/>
    <w:rsid w:val="005C772E"/>
    <w:rsid w:val="005C7E61"/>
    <w:rsid w:val="005D3790"/>
    <w:rsid w:val="005D47B6"/>
    <w:rsid w:val="005D5DCE"/>
    <w:rsid w:val="005D6168"/>
    <w:rsid w:val="005D645A"/>
    <w:rsid w:val="005E183F"/>
    <w:rsid w:val="005E25BD"/>
    <w:rsid w:val="005E2637"/>
    <w:rsid w:val="005E2797"/>
    <w:rsid w:val="005E2E0C"/>
    <w:rsid w:val="005E319D"/>
    <w:rsid w:val="005E35F0"/>
    <w:rsid w:val="005E39B0"/>
    <w:rsid w:val="005E55E0"/>
    <w:rsid w:val="005F0B97"/>
    <w:rsid w:val="005F19FF"/>
    <w:rsid w:val="005F22D4"/>
    <w:rsid w:val="005F2EA9"/>
    <w:rsid w:val="005F3B41"/>
    <w:rsid w:val="005F61B4"/>
    <w:rsid w:val="005F6390"/>
    <w:rsid w:val="005F710B"/>
    <w:rsid w:val="005F76B3"/>
    <w:rsid w:val="006002D9"/>
    <w:rsid w:val="0060154F"/>
    <w:rsid w:val="006036A0"/>
    <w:rsid w:val="00603A74"/>
    <w:rsid w:val="006042AF"/>
    <w:rsid w:val="006043F1"/>
    <w:rsid w:val="0060481D"/>
    <w:rsid w:val="00610CE7"/>
    <w:rsid w:val="00611AC1"/>
    <w:rsid w:val="00611C49"/>
    <w:rsid w:val="006120B8"/>
    <w:rsid w:val="00613139"/>
    <w:rsid w:val="006138D1"/>
    <w:rsid w:val="00613D01"/>
    <w:rsid w:val="00613DA7"/>
    <w:rsid w:val="00614210"/>
    <w:rsid w:val="00614EE9"/>
    <w:rsid w:val="0061513B"/>
    <w:rsid w:val="00615670"/>
    <w:rsid w:val="0061691D"/>
    <w:rsid w:val="006178A5"/>
    <w:rsid w:val="0061799D"/>
    <w:rsid w:val="0062072B"/>
    <w:rsid w:val="00623453"/>
    <w:rsid w:val="00623B7B"/>
    <w:rsid w:val="00623F88"/>
    <w:rsid w:val="00623FAA"/>
    <w:rsid w:val="00624751"/>
    <w:rsid w:val="006247BC"/>
    <w:rsid w:val="00624C15"/>
    <w:rsid w:val="00627417"/>
    <w:rsid w:val="0062776A"/>
    <w:rsid w:val="00633FD2"/>
    <w:rsid w:val="00634664"/>
    <w:rsid w:val="00634942"/>
    <w:rsid w:val="0063562A"/>
    <w:rsid w:val="00635C53"/>
    <w:rsid w:val="0063654C"/>
    <w:rsid w:val="00636950"/>
    <w:rsid w:val="00637CE7"/>
    <w:rsid w:val="00637FF0"/>
    <w:rsid w:val="00641DF5"/>
    <w:rsid w:val="00641F57"/>
    <w:rsid w:val="006422E0"/>
    <w:rsid w:val="0064259C"/>
    <w:rsid w:val="00642E35"/>
    <w:rsid w:val="00643C78"/>
    <w:rsid w:val="006440A9"/>
    <w:rsid w:val="00645325"/>
    <w:rsid w:val="00645EC1"/>
    <w:rsid w:val="006501E0"/>
    <w:rsid w:val="006502CC"/>
    <w:rsid w:val="00650A69"/>
    <w:rsid w:val="0065219F"/>
    <w:rsid w:val="006522B9"/>
    <w:rsid w:val="00653602"/>
    <w:rsid w:val="00653805"/>
    <w:rsid w:val="00653CDC"/>
    <w:rsid w:val="006541E6"/>
    <w:rsid w:val="00654957"/>
    <w:rsid w:val="00654F37"/>
    <w:rsid w:val="00655F27"/>
    <w:rsid w:val="0065751A"/>
    <w:rsid w:val="00657C3F"/>
    <w:rsid w:val="006605B9"/>
    <w:rsid w:val="0066117F"/>
    <w:rsid w:val="0066166D"/>
    <w:rsid w:val="00662C0C"/>
    <w:rsid w:val="00663184"/>
    <w:rsid w:val="0066489B"/>
    <w:rsid w:val="00665DA1"/>
    <w:rsid w:val="00665EBA"/>
    <w:rsid w:val="00665FF7"/>
    <w:rsid w:val="006661D1"/>
    <w:rsid w:val="00666732"/>
    <w:rsid w:val="006670A8"/>
    <w:rsid w:val="00667526"/>
    <w:rsid w:val="00670D8B"/>
    <w:rsid w:val="006713A7"/>
    <w:rsid w:val="00671AAD"/>
    <w:rsid w:val="00671E83"/>
    <w:rsid w:val="00672155"/>
    <w:rsid w:val="00672A29"/>
    <w:rsid w:val="00672A6F"/>
    <w:rsid w:val="00672DD8"/>
    <w:rsid w:val="00673032"/>
    <w:rsid w:val="006730FC"/>
    <w:rsid w:val="00673B35"/>
    <w:rsid w:val="0067654A"/>
    <w:rsid w:val="006771B2"/>
    <w:rsid w:val="00677648"/>
    <w:rsid w:val="006776F4"/>
    <w:rsid w:val="00677724"/>
    <w:rsid w:val="0068071C"/>
    <w:rsid w:val="00680970"/>
    <w:rsid w:val="00680B5C"/>
    <w:rsid w:val="0068167D"/>
    <w:rsid w:val="006818CC"/>
    <w:rsid w:val="00682185"/>
    <w:rsid w:val="006829DB"/>
    <w:rsid w:val="006834E4"/>
    <w:rsid w:val="00684D27"/>
    <w:rsid w:val="00685475"/>
    <w:rsid w:val="00686092"/>
    <w:rsid w:val="0068785F"/>
    <w:rsid w:val="00687F90"/>
    <w:rsid w:val="0069020A"/>
    <w:rsid w:val="00692011"/>
    <w:rsid w:val="0069246B"/>
    <w:rsid w:val="0069256E"/>
    <w:rsid w:val="00693430"/>
    <w:rsid w:val="00694725"/>
    <w:rsid w:val="00696041"/>
    <w:rsid w:val="006963D9"/>
    <w:rsid w:val="006977E1"/>
    <w:rsid w:val="00697F14"/>
    <w:rsid w:val="006A0BE2"/>
    <w:rsid w:val="006A1A3D"/>
    <w:rsid w:val="006A3557"/>
    <w:rsid w:val="006A35F8"/>
    <w:rsid w:val="006A3AB6"/>
    <w:rsid w:val="006A3E30"/>
    <w:rsid w:val="006A3E97"/>
    <w:rsid w:val="006A45FE"/>
    <w:rsid w:val="006A48ED"/>
    <w:rsid w:val="006A4B98"/>
    <w:rsid w:val="006A66E6"/>
    <w:rsid w:val="006A7683"/>
    <w:rsid w:val="006A76D9"/>
    <w:rsid w:val="006B03AB"/>
    <w:rsid w:val="006B0AB7"/>
    <w:rsid w:val="006B222A"/>
    <w:rsid w:val="006B2612"/>
    <w:rsid w:val="006B2EBB"/>
    <w:rsid w:val="006B3A57"/>
    <w:rsid w:val="006B522B"/>
    <w:rsid w:val="006B5C01"/>
    <w:rsid w:val="006B5E59"/>
    <w:rsid w:val="006C0745"/>
    <w:rsid w:val="006C0781"/>
    <w:rsid w:val="006C16FF"/>
    <w:rsid w:val="006C261F"/>
    <w:rsid w:val="006C3268"/>
    <w:rsid w:val="006C373E"/>
    <w:rsid w:val="006C4968"/>
    <w:rsid w:val="006C4BB1"/>
    <w:rsid w:val="006C5145"/>
    <w:rsid w:val="006C7497"/>
    <w:rsid w:val="006D0F07"/>
    <w:rsid w:val="006D1122"/>
    <w:rsid w:val="006D2497"/>
    <w:rsid w:val="006D3EA2"/>
    <w:rsid w:val="006D4E82"/>
    <w:rsid w:val="006D5C4E"/>
    <w:rsid w:val="006D5CC1"/>
    <w:rsid w:val="006D7447"/>
    <w:rsid w:val="006D7BCD"/>
    <w:rsid w:val="006E092F"/>
    <w:rsid w:val="006E0AD0"/>
    <w:rsid w:val="006E0E38"/>
    <w:rsid w:val="006E1A77"/>
    <w:rsid w:val="006E21BD"/>
    <w:rsid w:val="006E21CD"/>
    <w:rsid w:val="006E2630"/>
    <w:rsid w:val="006E264D"/>
    <w:rsid w:val="006E26EA"/>
    <w:rsid w:val="006E326C"/>
    <w:rsid w:val="006E361C"/>
    <w:rsid w:val="006E3DEF"/>
    <w:rsid w:val="006E4459"/>
    <w:rsid w:val="006E4A64"/>
    <w:rsid w:val="006E4B66"/>
    <w:rsid w:val="006E4BB6"/>
    <w:rsid w:val="006E6712"/>
    <w:rsid w:val="006E6736"/>
    <w:rsid w:val="006E6FF0"/>
    <w:rsid w:val="006F0E8D"/>
    <w:rsid w:val="006F0F4E"/>
    <w:rsid w:val="006F1413"/>
    <w:rsid w:val="006F1CA4"/>
    <w:rsid w:val="006F2579"/>
    <w:rsid w:val="006F2622"/>
    <w:rsid w:val="006F269F"/>
    <w:rsid w:val="006F274A"/>
    <w:rsid w:val="006F3161"/>
    <w:rsid w:val="006F4B91"/>
    <w:rsid w:val="006F5D3E"/>
    <w:rsid w:val="006F5D6A"/>
    <w:rsid w:val="006F61A6"/>
    <w:rsid w:val="006F64E5"/>
    <w:rsid w:val="006F6656"/>
    <w:rsid w:val="0070111A"/>
    <w:rsid w:val="00701217"/>
    <w:rsid w:val="00703AF1"/>
    <w:rsid w:val="00705614"/>
    <w:rsid w:val="00706C61"/>
    <w:rsid w:val="00706D5A"/>
    <w:rsid w:val="0070780A"/>
    <w:rsid w:val="00710421"/>
    <w:rsid w:val="0071130E"/>
    <w:rsid w:val="007113C9"/>
    <w:rsid w:val="0071154B"/>
    <w:rsid w:val="00711B0E"/>
    <w:rsid w:val="0071228E"/>
    <w:rsid w:val="00713090"/>
    <w:rsid w:val="0071381A"/>
    <w:rsid w:val="00713E13"/>
    <w:rsid w:val="007140BC"/>
    <w:rsid w:val="007144C5"/>
    <w:rsid w:val="00715F26"/>
    <w:rsid w:val="007169D6"/>
    <w:rsid w:val="0071784B"/>
    <w:rsid w:val="00720AC6"/>
    <w:rsid w:val="007224A8"/>
    <w:rsid w:val="00723F16"/>
    <w:rsid w:val="0072449C"/>
    <w:rsid w:val="007268F0"/>
    <w:rsid w:val="00727551"/>
    <w:rsid w:val="00727C76"/>
    <w:rsid w:val="007309CB"/>
    <w:rsid w:val="00731E2A"/>
    <w:rsid w:val="00732A05"/>
    <w:rsid w:val="00735685"/>
    <w:rsid w:val="0073591D"/>
    <w:rsid w:val="0073652F"/>
    <w:rsid w:val="0073659D"/>
    <w:rsid w:val="00737464"/>
    <w:rsid w:val="007377EF"/>
    <w:rsid w:val="00737D62"/>
    <w:rsid w:val="00740345"/>
    <w:rsid w:val="00740E94"/>
    <w:rsid w:val="0074115D"/>
    <w:rsid w:val="00741736"/>
    <w:rsid w:val="00742EA7"/>
    <w:rsid w:val="0074742D"/>
    <w:rsid w:val="00750282"/>
    <w:rsid w:val="007502F1"/>
    <w:rsid w:val="0075040B"/>
    <w:rsid w:val="00750D05"/>
    <w:rsid w:val="007533C9"/>
    <w:rsid w:val="00754312"/>
    <w:rsid w:val="00754ABB"/>
    <w:rsid w:val="00754E28"/>
    <w:rsid w:val="007551FB"/>
    <w:rsid w:val="00755B57"/>
    <w:rsid w:val="007568E9"/>
    <w:rsid w:val="00760FAC"/>
    <w:rsid w:val="0076128E"/>
    <w:rsid w:val="00761FCF"/>
    <w:rsid w:val="00763084"/>
    <w:rsid w:val="00763E88"/>
    <w:rsid w:val="00764D6A"/>
    <w:rsid w:val="00766842"/>
    <w:rsid w:val="007675E2"/>
    <w:rsid w:val="00770251"/>
    <w:rsid w:val="00770DBE"/>
    <w:rsid w:val="00772C3F"/>
    <w:rsid w:val="00773056"/>
    <w:rsid w:val="00773714"/>
    <w:rsid w:val="00774B4F"/>
    <w:rsid w:val="00774F55"/>
    <w:rsid w:val="007750CE"/>
    <w:rsid w:val="00780229"/>
    <w:rsid w:val="00780324"/>
    <w:rsid w:val="007817B4"/>
    <w:rsid w:val="00781CE3"/>
    <w:rsid w:val="0078363D"/>
    <w:rsid w:val="00784548"/>
    <w:rsid w:val="00784848"/>
    <w:rsid w:val="00784CE5"/>
    <w:rsid w:val="00785272"/>
    <w:rsid w:val="00787CC7"/>
    <w:rsid w:val="00793FC5"/>
    <w:rsid w:val="007943A4"/>
    <w:rsid w:val="00794863"/>
    <w:rsid w:val="00794F35"/>
    <w:rsid w:val="00794FF3"/>
    <w:rsid w:val="007953AB"/>
    <w:rsid w:val="00795CD4"/>
    <w:rsid w:val="007968C6"/>
    <w:rsid w:val="007A273E"/>
    <w:rsid w:val="007A3013"/>
    <w:rsid w:val="007A339B"/>
    <w:rsid w:val="007A3C55"/>
    <w:rsid w:val="007A3ECD"/>
    <w:rsid w:val="007A4316"/>
    <w:rsid w:val="007A5328"/>
    <w:rsid w:val="007A5D10"/>
    <w:rsid w:val="007A647C"/>
    <w:rsid w:val="007A6614"/>
    <w:rsid w:val="007A6FF0"/>
    <w:rsid w:val="007A7751"/>
    <w:rsid w:val="007A77B2"/>
    <w:rsid w:val="007B0092"/>
    <w:rsid w:val="007B1014"/>
    <w:rsid w:val="007B1745"/>
    <w:rsid w:val="007B1DAB"/>
    <w:rsid w:val="007B3756"/>
    <w:rsid w:val="007B3835"/>
    <w:rsid w:val="007B3FB3"/>
    <w:rsid w:val="007B4320"/>
    <w:rsid w:val="007B5E24"/>
    <w:rsid w:val="007B66C4"/>
    <w:rsid w:val="007B7E13"/>
    <w:rsid w:val="007C04D1"/>
    <w:rsid w:val="007C0D6E"/>
    <w:rsid w:val="007C132F"/>
    <w:rsid w:val="007C1CD9"/>
    <w:rsid w:val="007C22D4"/>
    <w:rsid w:val="007C296C"/>
    <w:rsid w:val="007C358A"/>
    <w:rsid w:val="007C3845"/>
    <w:rsid w:val="007C43B9"/>
    <w:rsid w:val="007C6F82"/>
    <w:rsid w:val="007C7747"/>
    <w:rsid w:val="007D06FB"/>
    <w:rsid w:val="007D0CE8"/>
    <w:rsid w:val="007D1169"/>
    <w:rsid w:val="007D1F96"/>
    <w:rsid w:val="007D24C0"/>
    <w:rsid w:val="007D24C6"/>
    <w:rsid w:val="007D2A66"/>
    <w:rsid w:val="007D42E8"/>
    <w:rsid w:val="007D501B"/>
    <w:rsid w:val="007D50EE"/>
    <w:rsid w:val="007D572C"/>
    <w:rsid w:val="007D575B"/>
    <w:rsid w:val="007D6339"/>
    <w:rsid w:val="007D73E8"/>
    <w:rsid w:val="007D7A46"/>
    <w:rsid w:val="007E0014"/>
    <w:rsid w:val="007E021C"/>
    <w:rsid w:val="007E02AB"/>
    <w:rsid w:val="007E03AF"/>
    <w:rsid w:val="007E05D1"/>
    <w:rsid w:val="007E0AB1"/>
    <w:rsid w:val="007E15AD"/>
    <w:rsid w:val="007E1730"/>
    <w:rsid w:val="007E1F4A"/>
    <w:rsid w:val="007E231F"/>
    <w:rsid w:val="007E2767"/>
    <w:rsid w:val="007E2BC6"/>
    <w:rsid w:val="007E3600"/>
    <w:rsid w:val="007E39EF"/>
    <w:rsid w:val="007E493C"/>
    <w:rsid w:val="007E61D2"/>
    <w:rsid w:val="007E66A2"/>
    <w:rsid w:val="007E6981"/>
    <w:rsid w:val="007E7263"/>
    <w:rsid w:val="007E73E2"/>
    <w:rsid w:val="007E7D6C"/>
    <w:rsid w:val="007F0831"/>
    <w:rsid w:val="007F23A5"/>
    <w:rsid w:val="007F33F5"/>
    <w:rsid w:val="007F4003"/>
    <w:rsid w:val="007F410F"/>
    <w:rsid w:val="007F4F12"/>
    <w:rsid w:val="007F5A9F"/>
    <w:rsid w:val="00800FE1"/>
    <w:rsid w:val="00801B78"/>
    <w:rsid w:val="00803461"/>
    <w:rsid w:val="00803C62"/>
    <w:rsid w:val="00810688"/>
    <w:rsid w:val="008113A2"/>
    <w:rsid w:val="00811E7A"/>
    <w:rsid w:val="00811ECE"/>
    <w:rsid w:val="00814276"/>
    <w:rsid w:val="008142D1"/>
    <w:rsid w:val="0081549B"/>
    <w:rsid w:val="008159BA"/>
    <w:rsid w:val="008161DC"/>
    <w:rsid w:val="008171BA"/>
    <w:rsid w:val="00817477"/>
    <w:rsid w:val="008179FA"/>
    <w:rsid w:val="00817AD8"/>
    <w:rsid w:val="0082087C"/>
    <w:rsid w:val="00820F04"/>
    <w:rsid w:val="0082141F"/>
    <w:rsid w:val="00821793"/>
    <w:rsid w:val="00821E4C"/>
    <w:rsid w:val="00822CC8"/>
    <w:rsid w:val="00822EE4"/>
    <w:rsid w:val="0082304B"/>
    <w:rsid w:val="00825080"/>
    <w:rsid w:val="0082618C"/>
    <w:rsid w:val="0082732F"/>
    <w:rsid w:val="008314C9"/>
    <w:rsid w:val="0083196D"/>
    <w:rsid w:val="00831DC4"/>
    <w:rsid w:val="00831DED"/>
    <w:rsid w:val="008321BD"/>
    <w:rsid w:val="00833099"/>
    <w:rsid w:val="0083309F"/>
    <w:rsid w:val="00833783"/>
    <w:rsid w:val="00836136"/>
    <w:rsid w:val="008365B5"/>
    <w:rsid w:val="00836C79"/>
    <w:rsid w:val="008373E6"/>
    <w:rsid w:val="00837FA7"/>
    <w:rsid w:val="0084011B"/>
    <w:rsid w:val="00840B56"/>
    <w:rsid w:val="008417AF"/>
    <w:rsid w:val="00843D75"/>
    <w:rsid w:val="00844D5A"/>
    <w:rsid w:val="00845C91"/>
    <w:rsid w:val="008478A7"/>
    <w:rsid w:val="0085019F"/>
    <w:rsid w:val="008512DF"/>
    <w:rsid w:val="008517C9"/>
    <w:rsid w:val="00852130"/>
    <w:rsid w:val="008525F7"/>
    <w:rsid w:val="00852B7F"/>
    <w:rsid w:val="008546BA"/>
    <w:rsid w:val="00854BFE"/>
    <w:rsid w:val="00854F4A"/>
    <w:rsid w:val="00855637"/>
    <w:rsid w:val="00856476"/>
    <w:rsid w:val="00856995"/>
    <w:rsid w:val="00856ADA"/>
    <w:rsid w:val="008600E4"/>
    <w:rsid w:val="00861873"/>
    <w:rsid w:val="00861AFA"/>
    <w:rsid w:val="00861C9A"/>
    <w:rsid w:val="00862131"/>
    <w:rsid w:val="00862942"/>
    <w:rsid w:val="00863135"/>
    <w:rsid w:val="008635B6"/>
    <w:rsid w:val="00863B9A"/>
    <w:rsid w:val="00864062"/>
    <w:rsid w:val="00864DD5"/>
    <w:rsid w:val="00866455"/>
    <w:rsid w:val="0087171C"/>
    <w:rsid w:val="00871BAC"/>
    <w:rsid w:val="00872D06"/>
    <w:rsid w:val="0087344F"/>
    <w:rsid w:val="008737C4"/>
    <w:rsid w:val="00874910"/>
    <w:rsid w:val="00874FC1"/>
    <w:rsid w:val="00875DDE"/>
    <w:rsid w:val="00876E0B"/>
    <w:rsid w:val="008802C6"/>
    <w:rsid w:val="00881687"/>
    <w:rsid w:val="00881EFF"/>
    <w:rsid w:val="0088262F"/>
    <w:rsid w:val="00883272"/>
    <w:rsid w:val="008833A6"/>
    <w:rsid w:val="00884918"/>
    <w:rsid w:val="008849CE"/>
    <w:rsid w:val="00885C5C"/>
    <w:rsid w:val="0088600D"/>
    <w:rsid w:val="008860E2"/>
    <w:rsid w:val="00886196"/>
    <w:rsid w:val="008877F3"/>
    <w:rsid w:val="00887AA5"/>
    <w:rsid w:val="0089125E"/>
    <w:rsid w:val="0089169C"/>
    <w:rsid w:val="00892CC1"/>
    <w:rsid w:val="00893D96"/>
    <w:rsid w:val="00894965"/>
    <w:rsid w:val="0089561C"/>
    <w:rsid w:val="0089586F"/>
    <w:rsid w:val="008965A1"/>
    <w:rsid w:val="00896B5F"/>
    <w:rsid w:val="00897B06"/>
    <w:rsid w:val="008A0EE3"/>
    <w:rsid w:val="008A0F1D"/>
    <w:rsid w:val="008A15E6"/>
    <w:rsid w:val="008A1FF2"/>
    <w:rsid w:val="008A2121"/>
    <w:rsid w:val="008A22FC"/>
    <w:rsid w:val="008A2F77"/>
    <w:rsid w:val="008A4F60"/>
    <w:rsid w:val="008A5266"/>
    <w:rsid w:val="008A5B8F"/>
    <w:rsid w:val="008A5E1F"/>
    <w:rsid w:val="008A71A9"/>
    <w:rsid w:val="008A72C5"/>
    <w:rsid w:val="008B14E1"/>
    <w:rsid w:val="008B2A3C"/>
    <w:rsid w:val="008B2E2B"/>
    <w:rsid w:val="008B3C91"/>
    <w:rsid w:val="008B6393"/>
    <w:rsid w:val="008C0020"/>
    <w:rsid w:val="008C1712"/>
    <w:rsid w:val="008C1DB0"/>
    <w:rsid w:val="008C21EE"/>
    <w:rsid w:val="008C3706"/>
    <w:rsid w:val="008C584E"/>
    <w:rsid w:val="008C5A39"/>
    <w:rsid w:val="008C6E81"/>
    <w:rsid w:val="008C7A3F"/>
    <w:rsid w:val="008D0390"/>
    <w:rsid w:val="008D365C"/>
    <w:rsid w:val="008D3834"/>
    <w:rsid w:val="008D4F29"/>
    <w:rsid w:val="008D5066"/>
    <w:rsid w:val="008D5200"/>
    <w:rsid w:val="008D619B"/>
    <w:rsid w:val="008D66EC"/>
    <w:rsid w:val="008D7BED"/>
    <w:rsid w:val="008D7CE7"/>
    <w:rsid w:val="008E0E24"/>
    <w:rsid w:val="008E0E63"/>
    <w:rsid w:val="008E0EA2"/>
    <w:rsid w:val="008E154F"/>
    <w:rsid w:val="008E1FC4"/>
    <w:rsid w:val="008E32D4"/>
    <w:rsid w:val="008E3568"/>
    <w:rsid w:val="008E504C"/>
    <w:rsid w:val="008E5407"/>
    <w:rsid w:val="008E7290"/>
    <w:rsid w:val="008F0D83"/>
    <w:rsid w:val="008F1069"/>
    <w:rsid w:val="008F1D34"/>
    <w:rsid w:val="008F2DE6"/>
    <w:rsid w:val="008F3E1C"/>
    <w:rsid w:val="008F69C9"/>
    <w:rsid w:val="00900302"/>
    <w:rsid w:val="009005CA"/>
    <w:rsid w:val="009020C3"/>
    <w:rsid w:val="009022AF"/>
    <w:rsid w:val="00902B0D"/>
    <w:rsid w:val="00902BBF"/>
    <w:rsid w:val="009033CD"/>
    <w:rsid w:val="00903C89"/>
    <w:rsid w:val="009045BD"/>
    <w:rsid w:val="00904B42"/>
    <w:rsid w:val="0090576E"/>
    <w:rsid w:val="00905A62"/>
    <w:rsid w:val="00905BF0"/>
    <w:rsid w:val="00907B44"/>
    <w:rsid w:val="00907E3A"/>
    <w:rsid w:val="00910374"/>
    <w:rsid w:val="0091062B"/>
    <w:rsid w:val="00910C0C"/>
    <w:rsid w:val="00912D5E"/>
    <w:rsid w:val="00913384"/>
    <w:rsid w:val="0091434E"/>
    <w:rsid w:val="00914721"/>
    <w:rsid w:val="00914A64"/>
    <w:rsid w:val="0091520D"/>
    <w:rsid w:val="00920564"/>
    <w:rsid w:val="00920CE5"/>
    <w:rsid w:val="00921045"/>
    <w:rsid w:val="00921362"/>
    <w:rsid w:val="00921469"/>
    <w:rsid w:val="00922080"/>
    <w:rsid w:val="009238F0"/>
    <w:rsid w:val="00923CC9"/>
    <w:rsid w:val="00925736"/>
    <w:rsid w:val="00925B0D"/>
    <w:rsid w:val="00926740"/>
    <w:rsid w:val="00926EB2"/>
    <w:rsid w:val="00927000"/>
    <w:rsid w:val="00927DEB"/>
    <w:rsid w:val="00927E73"/>
    <w:rsid w:val="00931B69"/>
    <w:rsid w:val="00932601"/>
    <w:rsid w:val="00932C22"/>
    <w:rsid w:val="009331ED"/>
    <w:rsid w:val="0093342D"/>
    <w:rsid w:val="00933F2C"/>
    <w:rsid w:val="00934E42"/>
    <w:rsid w:val="0093565F"/>
    <w:rsid w:val="009356B3"/>
    <w:rsid w:val="00935CFF"/>
    <w:rsid w:val="00936DC3"/>
    <w:rsid w:val="009400C0"/>
    <w:rsid w:val="00940138"/>
    <w:rsid w:val="0094076A"/>
    <w:rsid w:val="009407D8"/>
    <w:rsid w:val="00940C0B"/>
    <w:rsid w:val="00940D06"/>
    <w:rsid w:val="009426CF"/>
    <w:rsid w:val="009441C6"/>
    <w:rsid w:val="009442DB"/>
    <w:rsid w:val="00944723"/>
    <w:rsid w:val="00944E2F"/>
    <w:rsid w:val="009454D5"/>
    <w:rsid w:val="00946F8D"/>
    <w:rsid w:val="009476C6"/>
    <w:rsid w:val="00947D31"/>
    <w:rsid w:val="0095007D"/>
    <w:rsid w:val="00951A26"/>
    <w:rsid w:val="0095258B"/>
    <w:rsid w:val="00952AF9"/>
    <w:rsid w:val="00953319"/>
    <w:rsid w:val="0095370C"/>
    <w:rsid w:val="00953B63"/>
    <w:rsid w:val="00953FCE"/>
    <w:rsid w:val="00954A3B"/>
    <w:rsid w:val="00954B8C"/>
    <w:rsid w:val="00955CDF"/>
    <w:rsid w:val="00956257"/>
    <w:rsid w:val="00956C26"/>
    <w:rsid w:val="009576E6"/>
    <w:rsid w:val="009579D1"/>
    <w:rsid w:val="0096030B"/>
    <w:rsid w:val="009609B1"/>
    <w:rsid w:val="00960D24"/>
    <w:rsid w:val="00961B70"/>
    <w:rsid w:val="00961F1D"/>
    <w:rsid w:val="009620C1"/>
    <w:rsid w:val="00962796"/>
    <w:rsid w:val="00963B2E"/>
    <w:rsid w:val="00964155"/>
    <w:rsid w:val="00964A1D"/>
    <w:rsid w:val="00964A26"/>
    <w:rsid w:val="009654F2"/>
    <w:rsid w:val="00965F9C"/>
    <w:rsid w:val="00966E8E"/>
    <w:rsid w:val="009671BF"/>
    <w:rsid w:val="009674B8"/>
    <w:rsid w:val="00970B4F"/>
    <w:rsid w:val="009722B5"/>
    <w:rsid w:val="00973108"/>
    <w:rsid w:val="00974561"/>
    <w:rsid w:val="0098119F"/>
    <w:rsid w:val="009811B4"/>
    <w:rsid w:val="00981826"/>
    <w:rsid w:val="009818D8"/>
    <w:rsid w:val="00981E6C"/>
    <w:rsid w:val="00981FA7"/>
    <w:rsid w:val="00983015"/>
    <w:rsid w:val="00984523"/>
    <w:rsid w:val="00984F06"/>
    <w:rsid w:val="0098578A"/>
    <w:rsid w:val="0099091B"/>
    <w:rsid w:val="00990D41"/>
    <w:rsid w:val="00990FEF"/>
    <w:rsid w:val="009929AB"/>
    <w:rsid w:val="009929B9"/>
    <w:rsid w:val="00992DC3"/>
    <w:rsid w:val="009931F7"/>
    <w:rsid w:val="00993661"/>
    <w:rsid w:val="00994CC3"/>
    <w:rsid w:val="00994D90"/>
    <w:rsid w:val="00994E3F"/>
    <w:rsid w:val="00994F1E"/>
    <w:rsid w:val="00997E07"/>
    <w:rsid w:val="009A0B99"/>
    <w:rsid w:val="009A239C"/>
    <w:rsid w:val="009A2B54"/>
    <w:rsid w:val="009A2C14"/>
    <w:rsid w:val="009A2D1F"/>
    <w:rsid w:val="009A4DFC"/>
    <w:rsid w:val="009A501D"/>
    <w:rsid w:val="009A5632"/>
    <w:rsid w:val="009A5728"/>
    <w:rsid w:val="009A5BD0"/>
    <w:rsid w:val="009A6523"/>
    <w:rsid w:val="009A6759"/>
    <w:rsid w:val="009A6971"/>
    <w:rsid w:val="009A6D95"/>
    <w:rsid w:val="009B06CC"/>
    <w:rsid w:val="009B2DFD"/>
    <w:rsid w:val="009B3A25"/>
    <w:rsid w:val="009B3C88"/>
    <w:rsid w:val="009B5018"/>
    <w:rsid w:val="009B5236"/>
    <w:rsid w:val="009B5AF9"/>
    <w:rsid w:val="009B5DBB"/>
    <w:rsid w:val="009B5F00"/>
    <w:rsid w:val="009B6779"/>
    <w:rsid w:val="009B6EF7"/>
    <w:rsid w:val="009B774A"/>
    <w:rsid w:val="009B790D"/>
    <w:rsid w:val="009B7C0D"/>
    <w:rsid w:val="009C1436"/>
    <w:rsid w:val="009C1480"/>
    <w:rsid w:val="009C261C"/>
    <w:rsid w:val="009C3086"/>
    <w:rsid w:val="009C377B"/>
    <w:rsid w:val="009C3BFD"/>
    <w:rsid w:val="009C3C82"/>
    <w:rsid w:val="009C3F63"/>
    <w:rsid w:val="009C3FB9"/>
    <w:rsid w:val="009C476B"/>
    <w:rsid w:val="009C5051"/>
    <w:rsid w:val="009C5185"/>
    <w:rsid w:val="009C51FA"/>
    <w:rsid w:val="009C527D"/>
    <w:rsid w:val="009C76E7"/>
    <w:rsid w:val="009C7A7E"/>
    <w:rsid w:val="009C7BEB"/>
    <w:rsid w:val="009D0428"/>
    <w:rsid w:val="009D089F"/>
    <w:rsid w:val="009D1D89"/>
    <w:rsid w:val="009D20C4"/>
    <w:rsid w:val="009D214F"/>
    <w:rsid w:val="009D2628"/>
    <w:rsid w:val="009D34ED"/>
    <w:rsid w:val="009D4829"/>
    <w:rsid w:val="009D484D"/>
    <w:rsid w:val="009D49B1"/>
    <w:rsid w:val="009D5007"/>
    <w:rsid w:val="009D716B"/>
    <w:rsid w:val="009D7FF3"/>
    <w:rsid w:val="009E0514"/>
    <w:rsid w:val="009E1C81"/>
    <w:rsid w:val="009E2823"/>
    <w:rsid w:val="009E2FF7"/>
    <w:rsid w:val="009E322A"/>
    <w:rsid w:val="009E38B0"/>
    <w:rsid w:val="009E3C33"/>
    <w:rsid w:val="009E4F79"/>
    <w:rsid w:val="009F0591"/>
    <w:rsid w:val="009F2791"/>
    <w:rsid w:val="009F35AA"/>
    <w:rsid w:val="009F35AB"/>
    <w:rsid w:val="009F38C9"/>
    <w:rsid w:val="009F42EA"/>
    <w:rsid w:val="009F7514"/>
    <w:rsid w:val="009F7FB8"/>
    <w:rsid w:val="00A004E6"/>
    <w:rsid w:val="00A00FB0"/>
    <w:rsid w:val="00A014AB"/>
    <w:rsid w:val="00A01A6E"/>
    <w:rsid w:val="00A01E6F"/>
    <w:rsid w:val="00A02903"/>
    <w:rsid w:val="00A041EE"/>
    <w:rsid w:val="00A04742"/>
    <w:rsid w:val="00A065DD"/>
    <w:rsid w:val="00A06D3F"/>
    <w:rsid w:val="00A105C0"/>
    <w:rsid w:val="00A109C6"/>
    <w:rsid w:val="00A10CF7"/>
    <w:rsid w:val="00A1120F"/>
    <w:rsid w:val="00A12BBD"/>
    <w:rsid w:val="00A12F44"/>
    <w:rsid w:val="00A13623"/>
    <w:rsid w:val="00A14581"/>
    <w:rsid w:val="00A14FEC"/>
    <w:rsid w:val="00A1599D"/>
    <w:rsid w:val="00A165FC"/>
    <w:rsid w:val="00A17470"/>
    <w:rsid w:val="00A22E88"/>
    <w:rsid w:val="00A23188"/>
    <w:rsid w:val="00A23759"/>
    <w:rsid w:val="00A247E8"/>
    <w:rsid w:val="00A25328"/>
    <w:rsid w:val="00A25758"/>
    <w:rsid w:val="00A25C4C"/>
    <w:rsid w:val="00A25DA1"/>
    <w:rsid w:val="00A271A3"/>
    <w:rsid w:val="00A306C3"/>
    <w:rsid w:val="00A31266"/>
    <w:rsid w:val="00A32808"/>
    <w:rsid w:val="00A32A1E"/>
    <w:rsid w:val="00A32DAC"/>
    <w:rsid w:val="00A32E25"/>
    <w:rsid w:val="00A32FF5"/>
    <w:rsid w:val="00A330D0"/>
    <w:rsid w:val="00A3679B"/>
    <w:rsid w:val="00A367A0"/>
    <w:rsid w:val="00A36F78"/>
    <w:rsid w:val="00A40C32"/>
    <w:rsid w:val="00A411A8"/>
    <w:rsid w:val="00A41451"/>
    <w:rsid w:val="00A42AE5"/>
    <w:rsid w:val="00A42BE4"/>
    <w:rsid w:val="00A43FFA"/>
    <w:rsid w:val="00A4403D"/>
    <w:rsid w:val="00A44869"/>
    <w:rsid w:val="00A44FA8"/>
    <w:rsid w:val="00A45522"/>
    <w:rsid w:val="00A467CA"/>
    <w:rsid w:val="00A468BE"/>
    <w:rsid w:val="00A46C8E"/>
    <w:rsid w:val="00A46F09"/>
    <w:rsid w:val="00A50EBC"/>
    <w:rsid w:val="00A511CB"/>
    <w:rsid w:val="00A53C47"/>
    <w:rsid w:val="00A54B75"/>
    <w:rsid w:val="00A555AA"/>
    <w:rsid w:val="00A56674"/>
    <w:rsid w:val="00A5789C"/>
    <w:rsid w:val="00A61753"/>
    <w:rsid w:val="00A6286E"/>
    <w:rsid w:val="00A63176"/>
    <w:rsid w:val="00A63D0D"/>
    <w:rsid w:val="00A63ECF"/>
    <w:rsid w:val="00A6460D"/>
    <w:rsid w:val="00A646DF"/>
    <w:rsid w:val="00A6491B"/>
    <w:rsid w:val="00A64A3A"/>
    <w:rsid w:val="00A64BA0"/>
    <w:rsid w:val="00A64FB4"/>
    <w:rsid w:val="00A658B8"/>
    <w:rsid w:val="00A65B6A"/>
    <w:rsid w:val="00A66677"/>
    <w:rsid w:val="00A67396"/>
    <w:rsid w:val="00A674C7"/>
    <w:rsid w:val="00A67634"/>
    <w:rsid w:val="00A67B08"/>
    <w:rsid w:val="00A708A6"/>
    <w:rsid w:val="00A7097A"/>
    <w:rsid w:val="00A709C6"/>
    <w:rsid w:val="00A71580"/>
    <w:rsid w:val="00A718F1"/>
    <w:rsid w:val="00A71AFF"/>
    <w:rsid w:val="00A71BC1"/>
    <w:rsid w:val="00A720D5"/>
    <w:rsid w:val="00A72BB1"/>
    <w:rsid w:val="00A72CA8"/>
    <w:rsid w:val="00A7359C"/>
    <w:rsid w:val="00A7370C"/>
    <w:rsid w:val="00A73D84"/>
    <w:rsid w:val="00A742FA"/>
    <w:rsid w:val="00A749FC"/>
    <w:rsid w:val="00A758F7"/>
    <w:rsid w:val="00A769C1"/>
    <w:rsid w:val="00A76F57"/>
    <w:rsid w:val="00A777A1"/>
    <w:rsid w:val="00A80DEF"/>
    <w:rsid w:val="00A82C16"/>
    <w:rsid w:val="00A82DD6"/>
    <w:rsid w:val="00A834B3"/>
    <w:rsid w:val="00A840CD"/>
    <w:rsid w:val="00A841AC"/>
    <w:rsid w:val="00A84949"/>
    <w:rsid w:val="00A84C3A"/>
    <w:rsid w:val="00A861B7"/>
    <w:rsid w:val="00A875BC"/>
    <w:rsid w:val="00A87724"/>
    <w:rsid w:val="00A877C6"/>
    <w:rsid w:val="00A878CC"/>
    <w:rsid w:val="00A9085D"/>
    <w:rsid w:val="00A910F3"/>
    <w:rsid w:val="00A91307"/>
    <w:rsid w:val="00A91454"/>
    <w:rsid w:val="00A91A98"/>
    <w:rsid w:val="00A92B20"/>
    <w:rsid w:val="00A93617"/>
    <w:rsid w:val="00A937C7"/>
    <w:rsid w:val="00A94BF5"/>
    <w:rsid w:val="00A95BED"/>
    <w:rsid w:val="00A96DA6"/>
    <w:rsid w:val="00A976C5"/>
    <w:rsid w:val="00A97E5B"/>
    <w:rsid w:val="00A97F67"/>
    <w:rsid w:val="00AA0F5B"/>
    <w:rsid w:val="00AA137B"/>
    <w:rsid w:val="00AA1D58"/>
    <w:rsid w:val="00AA2254"/>
    <w:rsid w:val="00AA23F3"/>
    <w:rsid w:val="00AA30D4"/>
    <w:rsid w:val="00AA35C4"/>
    <w:rsid w:val="00AA4629"/>
    <w:rsid w:val="00AA4C16"/>
    <w:rsid w:val="00AA6670"/>
    <w:rsid w:val="00AA66CC"/>
    <w:rsid w:val="00AA6C11"/>
    <w:rsid w:val="00AA76A9"/>
    <w:rsid w:val="00AA7ADC"/>
    <w:rsid w:val="00AB0016"/>
    <w:rsid w:val="00AB014E"/>
    <w:rsid w:val="00AB05B8"/>
    <w:rsid w:val="00AB1753"/>
    <w:rsid w:val="00AB18A6"/>
    <w:rsid w:val="00AB1F9E"/>
    <w:rsid w:val="00AB26D9"/>
    <w:rsid w:val="00AB3390"/>
    <w:rsid w:val="00AB3642"/>
    <w:rsid w:val="00AB40CD"/>
    <w:rsid w:val="00AB42A2"/>
    <w:rsid w:val="00AB439E"/>
    <w:rsid w:val="00AB45E1"/>
    <w:rsid w:val="00AB4C56"/>
    <w:rsid w:val="00AB57F6"/>
    <w:rsid w:val="00AB67FF"/>
    <w:rsid w:val="00AB68B3"/>
    <w:rsid w:val="00AB6B80"/>
    <w:rsid w:val="00AB6FBB"/>
    <w:rsid w:val="00AB7911"/>
    <w:rsid w:val="00AC075D"/>
    <w:rsid w:val="00AC18F3"/>
    <w:rsid w:val="00AC21C5"/>
    <w:rsid w:val="00AC35F5"/>
    <w:rsid w:val="00AC3BF1"/>
    <w:rsid w:val="00AC4382"/>
    <w:rsid w:val="00AC4C24"/>
    <w:rsid w:val="00AC52E9"/>
    <w:rsid w:val="00AC5A19"/>
    <w:rsid w:val="00AC5CB2"/>
    <w:rsid w:val="00AC7247"/>
    <w:rsid w:val="00AC7433"/>
    <w:rsid w:val="00AD0571"/>
    <w:rsid w:val="00AD0CDC"/>
    <w:rsid w:val="00AD2A33"/>
    <w:rsid w:val="00AD3927"/>
    <w:rsid w:val="00AD5CCA"/>
    <w:rsid w:val="00AD6EA4"/>
    <w:rsid w:val="00AE07DB"/>
    <w:rsid w:val="00AE0B74"/>
    <w:rsid w:val="00AE14C3"/>
    <w:rsid w:val="00AE14CF"/>
    <w:rsid w:val="00AE1768"/>
    <w:rsid w:val="00AE4237"/>
    <w:rsid w:val="00AE54C4"/>
    <w:rsid w:val="00AE5E1E"/>
    <w:rsid w:val="00AE6E8B"/>
    <w:rsid w:val="00AE7754"/>
    <w:rsid w:val="00AE7B5D"/>
    <w:rsid w:val="00AE7E6F"/>
    <w:rsid w:val="00AF0E65"/>
    <w:rsid w:val="00AF2A80"/>
    <w:rsid w:val="00AF2BD6"/>
    <w:rsid w:val="00AF2C3D"/>
    <w:rsid w:val="00AF332D"/>
    <w:rsid w:val="00AF43CB"/>
    <w:rsid w:val="00AF53FB"/>
    <w:rsid w:val="00AF58EB"/>
    <w:rsid w:val="00AF62E6"/>
    <w:rsid w:val="00AF7DE9"/>
    <w:rsid w:val="00B008EF"/>
    <w:rsid w:val="00B00E11"/>
    <w:rsid w:val="00B01420"/>
    <w:rsid w:val="00B01D50"/>
    <w:rsid w:val="00B02B9B"/>
    <w:rsid w:val="00B03884"/>
    <w:rsid w:val="00B048B4"/>
    <w:rsid w:val="00B04BD0"/>
    <w:rsid w:val="00B06C12"/>
    <w:rsid w:val="00B07801"/>
    <w:rsid w:val="00B07AC0"/>
    <w:rsid w:val="00B11FCC"/>
    <w:rsid w:val="00B12E4A"/>
    <w:rsid w:val="00B12EC1"/>
    <w:rsid w:val="00B1412A"/>
    <w:rsid w:val="00B15707"/>
    <w:rsid w:val="00B162DF"/>
    <w:rsid w:val="00B171F3"/>
    <w:rsid w:val="00B174CE"/>
    <w:rsid w:val="00B202D3"/>
    <w:rsid w:val="00B20365"/>
    <w:rsid w:val="00B20560"/>
    <w:rsid w:val="00B20D74"/>
    <w:rsid w:val="00B23648"/>
    <w:rsid w:val="00B241CB"/>
    <w:rsid w:val="00B2557D"/>
    <w:rsid w:val="00B25666"/>
    <w:rsid w:val="00B26C49"/>
    <w:rsid w:val="00B3011C"/>
    <w:rsid w:val="00B31045"/>
    <w:rsid w:val="00B31FD9"/>
    <w:rsid w:val="00B32738"/>
    <w:rsid w:val="00B32B80"/>
    <w:rsid w:val="00B34528"/>
    <w:rsid w:val="00B35BAD"/>
    <w:rsid w:val="00B36B53"/>
    <w:rsid w:val="00B3711E"/>
    <w:rsid w:val="00B3773C"/>
    <w:rsid w:val="00B40244"/>
    <w:rsid w:val="00B405F7"/>
    <w:rsid w:val="00B40F43"/>
    <w:rsid w:val="00B41B58"/>
    <w:rsid w:val="00B426BB"/>
    <w:rsid w:val="00B4290E"/>
    <w:rsid w:val="00B42B0D"/>
    <w:rsid w:val="00B43318"/>
    <w:rsid w:val="00B445B2"/>
    <w:rsid w:val="00B447D3"/>
    <w:rsid w:val="00B44D8E"/>
    <w:rsid w:val="00B4540D"/>
    <w:rsid w:val="00B4717D"/>
    <w:rsid w:val="00B474C8"/>
    <w:rsid w:val="00B509A0"/>
    <w:rsid w:val="00B514E3"/>
    <w:rsid w:val="00B51998"/>
    <w:rsid w:val="00B53E89"/>
    <w:rsid w:val="00B5691A"/>
    <w:rsid w:val="00B5740E"/>
    <w:rsid w:val="00B57FD3"/>
    <w:rsid w:val="00B611D9"/>
    <w:rsid w:val="00B61957"/>
    <w:rsid w:val="00B62150"/>
    <w:rsid w:val="00B626C6"/>
    <w:rsid w:val="00B631A4"/>
    <w:rsid w:val="00B632FB"/>
    <w:rsid w:val="00B63B5D"/>
    <w:rsid w:val="00B642B2"/>
    <w:rsid w:val="00B64D3D"/>
    <w:rsid w:val="00B65DF3"/>
    <w:rsid w:val="00B6750F"/>
    <w:rsid w:val="00B67E1B"/>
    <w:rsid w:val="00B67F46"/>
    <w:rsid w:val="00B71D15"/>
    <w:rsid w:val="00B72E28"/>
    <w:rsid w:val="00B72E74"/>
    <w:rsid w:val="00B77B05"/>
    <w:rsid w:val="00B80837"/>
    <w:rsid w:val="00B81332"/>
    <w:rsid w:val="00B81CF4"/>
    <w:rsid w:val="00B82A8A"/>
    <w:rsid w:val="00B82E24"/>
    <w:rsid w:val="00B82FC5"/>
    <w:rsid w:val="00B84037"/>
    <w:rsid w:val="00B84485"/>
    <w:rsid w:val="00B84538"/>
    <w:rsid w:val="00B8502D"/>
    <w:rsid w:val="00B852EE"/>
    <w:rsid w:val="00B85593"/>
    <w:rsid w:val="00B8582C"/>
    <w:rsid w:val="00B86017"/>
    <w:rsid w:val="00B861B4"/>
    <w:rsid w:val="00B866EB"/>
    <w:rsid w:val="00B86770"/>
    <w:rsid w:val="00B9097C"/>
    <w:rsid w:val="00B90D13"/>
    <w:rsid w:val="00B90D8B"/>
    <w:rsid w:val="00B91211"/>
    <w:rsid w:val="00B91A54"/>
    <w:rsid w:val="00B93223"/>
    <w:rsid w:val="00B93267"/>
    <w:rsid w:val="00B938DD"/>
    <w:rsid w:val="00B94170"/>
    <w:rsid w:val="00B9508B"/>
    <w:rsid w:val="00B96219"/>
    <w:rsid w:val="00B970CF"/>
    <w:rsid w:val="00B977A0"/>
    <w:rsid w:val="00B97E61"/>
    <w:rsid w:val="00BA0C6D"/>
    <w:rsid w:val="00BA1002"/>
    <w:rsid w:val="00BA172B"/>
    <w:rsid w:val="00BA19A2"/>
    <w:rsid w:val="00BA39B3"/>
    <w:rsid w:val="00BA5B0F"/>
    <w:rsid w:val="00BA6221"/>
    <w:rsid w:val="00BA78D2"/>
    <w:rsid w:val="00BA7B62"/>
    <w:rsid w:val="00BB0CC3"/>
    <w:rsid w:val="00BB0E2A"/>
    <w:rsid w:val="00BB1B63"/>
    <w:rsid w:val="00BB21CD"/>
    <w:rsid w:val="00BB3649"/>
    <w:rsid w:val="00BB4C9C"/>
    <w:rsid w:val="00BB535C"/>
    <w:rsid w:val="00BB555D"/>
    <w:rsid w:val="00BB5786"/>
    <w:rsid w:val="00BB6DC6"/>
    <w:rsid w:val="00BB70FC"/>
    <w:rsid w:val="00BB75B4"/>
    <w:rsid w:val="00BB7ADA"/>
    <w:rsid w:val="00BC0BB2"/>
    <w:rsid w:val="00BC1616"/>
    <w:rsid w:val="00BC16CD"/>
    <w:rsid w:val="00BC19ED"/>
    <w:rsid w:val="00BC1C3D"/>
    <w:rsid w:val="00BC1EF6"/>
    <w:rsid w:val="00BC2700"/>
    <w:rsid w:val="00BC2F94"/>
    <w:rsid w:val="00BC3355"/>
    <w:rsid w:val="00BC36D5"/>
    <w:rsid w:val="00BC44EC"/>
    <w:rsid w:val="00BC7498"/>
    <w:rsid w:val="00BD03BE"/>
    <w:rsid w:val="00BD3863"/>
    <w:rsid w:val="00BD40AE"/>
    <w:rsid w:val="00BD5025"/>
    <w:rsid w:val="00BD5519"/>
    <w:rsid w:val="00BD566F"/>
    <w:rsid w:val="00BD56B5"/>
    <w:rsid w:val="00BD671A"/>
    <w:rsid w:val="00BE0967"/>
    <w:rsid w:val="00BE181E"/>
    <w:rsid w:val="00BE1C71"/>
    <w:rsid w:val="00BE24C5"/>
    <w:rsid w:val="00BE3ED7"/>
    <w:rsid w:val="00BE3FB6"/>
    <w:rsid w:val="00BE4088"/>
    <w:rsid w:val="00BE493F"/>
    <w:rsid w:val="00BE4DA2"/>
    <w:rsid w:val="00BE559D"/>
    <w:rsid w:val="00BE561A"/>
    <w:rsid w:val="00BE5FBE"/>
    <w:rsid w:val="00BE6985"/>
    <w:rsid w:val="00BE77B5"/>
    <w:rsid w:val="00BE7C6C"/>
    <w:rsid w:val="00BE7FAF"/>
    <w:rsid w:val="00BF0FE9"/>
    <w:rsid w:val="00BF1EE1"/>
    <w:rsid w:val="00BF2A2E"/>
    <w:rsid w:val="00BF4D87"/>
    <w:rsid w:val="00BF4E55"/>
    <w:rsid w:val="00BF4F8D"/>
    <w:rsid w:val="00BF518D"/>
    <w:rsid w:val="00BF52F2"/>
    <w:rsid w:val="00BF585B"/>
    <w:rsid w:val="00BF5AD9"/>
    <w:rsid w:val="00BF5DBC"/>
    <w:rsid w:val="00BF63E2"/>
    <w:rsid w:val="00BF6C1C"/>
    <w:rsid w:val="00BF7351"/>
    <w:rsid w:val="00C003C5"/>
    <w:rsid w:val="00C02519"/>
    <w:rsid w:val="00C02779"/>
    <w:rsid w:val="00C031A3"/>
    <w:rsid w:val="00C03504"/>
    <w:rsid w:val="00C03B7F"/>
    <w:rsid w:val="00C048DE"/>
    <w:rsid w:val="00C05182"/>
    <w:rsid w:val="00C05591"/>
    <w:rsid w:val="00C05B1A"/>
    <w:rsid w:val="00C060F0"/>
    <w:rsid w:val="00C06322"/>
    <w:rsid w:val="00C06B71"/>
    <w:rsid w:val="00C108EB"/>
    <w:rsid w:val="00C1095E"/>
    <w:rsid w:val="00C11607"/>
    <w:rsid w:val="00C1177B"/>
    <w:rsid w:val="00C11FEF"/>
    <w:rsid w:val="00C12ACE"/>
    <w:rsid w:val="00C131AA"/>
    <w:rsid w:val="00C13507"/>
    <w:rsid w:val="00C13653"/>
    <w:rsid w:val="00C139CD"/>
    <w:rsid w:val="00C15A77"/>
    <w:rsid w:val="00C1701C"/>
    <w:rsid w:val="00C17719"/>
    <w:rsid w:val="00C21328"/>
    <w:rsid w:val="00C2148D"/>
    <w:rsid w:val="00C217BC"/>
    <w:rsid w:val="00C22792"/>
    <w:rsid w:val="00C22DED"/>
    <w:rsid w:val="00C23F5A"/>
    <w:rsid w:val="00C23F5D"/>
    <w:rsid w:val="00C240DD"/>
    <w:rsid w:val="00C249D4"/>
    <w:rsid w:val="00C24ACD"/>
    <w:rsid w:val="00C25CC7"/>
    <w:rsid w:val="00C271F2"/>
    <w:rsid w:val="00C276EC"/>
    <w:rsid w:val="00C27860"/>
    <w:rsid w:val="00C32AE3"/>
    <w:rsid w:val="00C33188"/>
    <w:rsid w:val="00C33358"/>
    <w:rsid w:val="00C35833"/>
    <w:rsid w:val="00C35A31"/>
    <w:rsid w:val="00C35C62"/>
    <w:rsid w:val="00C3678F"/>
    <w:rsid w:val="00C37175"/>
    <w:rsid w:val="00C371D3"/>
    <w:rsid w:val="00C37C06"/>
    <w:rsid w:val="00C408B3"/>
    <w:rsid w:val="00C40ACD"/>
    <w:rsid w:val="00C41459"/>
    <w:rsid w:val="00C416EC"/>
    <w:rsid w:val="00C41843"/>
    <w:rsid w:val="00C432B4"/>
    <w:rsid w:val="00C4433D"/>
    <w:rsid w:val="00C468AB"/>
    <w:rsid w:val="00C46A7A"/>
    <w:rsid w:val="00C4762B"/>
    <w:rsid w:val="00C50EFB"/>
    <w:rsid w:val="00C51788"/>
    <w:rsid w:val="00C518DB"/>
    <w:rsid w:val="00C5197B"/>
    <w:rsid w:val="00C52371"/>
    <w:rsid w:val="00C5241A"/>
    <w:rsid w:val="00C52492"/>
    <w:rsid w:val="00C53748"/>
    <w:rsid w:val="00C54966"/>
    <w:rsid w:val="00C54A99"/>
    <w:rsid w:val="00C54C6E"/>
    <w:rsid w:val="00C54CBA"/>
    <w:rsid w:val="00C57524"/>
    <w:rsid w:val="00C57862"/>
    <w:rsid w:val="00C5794F"/>
    <w:rsid w:val="00C61277"/>
    <w:rsid w:val="00C620BF"/>
    <w:rsid w:val="00C62357"/>
    <w:rsid w:val="00C63450"/>
    <w:rsid w:val="00C65FC5"/>
    <w:rsid w:val="00C66416"/>
    <w:rsid w:val="00C66BDB"/>
    <w:rsid w:val="00C70540"/>
    <w:rsid w:val="00C7095C"/>
    <w:rsid w:val="00C72AFB"/>
    <w:rsid w:val="00C72D56"/>
    <w:rsid w:val="00C72E31"/>
    <w:rsid w:val="00C7327F"/>
    <w:rsid w:val="00C74B42"/>
    <w:rsid w:val="00C750CE"/>
    <w:rsid w:val="00C751FB"/>
    <w:rsid w:val="00C75B9E"/>
    <w:rsid w:val="00C75CC6"/>
    <w:rsid w:val="00C7605D"/>
    <w:rsid w:val="00C765F6"/>
    <w:rsid w:val="00C76C79"/>
    <w:rsid w:val="00C7731F"/>
    <w:rsid w:val="00C77A28"/>
    <w:rsid w:val="00C77EDA"/>
    <w:rsid w:val="00C8071D"/>
    <w:rsid w:val="00C80CC7"/>
    <w:rsid w:val="00C811A0"/>
    <w:rsid w:val="00C818D3"/>
    <w:rsid w:val="00C823AA"/>
    <w:rsid w:val="00C828FB"/>
    <w:rsid w:val="00C8385C"/>
    <w:rsid w:val="00C83865"/>
    <w:rsid w:val="00C8480C"/>
    <w:rsid w:val="00C84903"/>
    <w:rsid w:val="00C8586A"/>
    <w:rsid w:val="00C85C62"/>
    <w:rsid w:val="00C86229"/>
    <w:rsid w:val="00C86359"/>
    <w:rsid w:val="00C8720B"/>
    <w:rsid w:val="00C87948"/>
    <w:rsid w:val="00C90196"/>
    <w:rsid w:val="00C90B51"/>
    <w:rsid w:val="00C91560"/>
    <w:rsid w:val="00C92509"/>
    <w:rsid w:val="00C92D8C"/>
    <w:rsid w:val="00C92EA3"/>
    <w:rsid w:val="00C94097"/>
    <w:rsid w:val="00C945B3"/>
    <w:rsid w:val="00C947A1"/>
    <w:rsid w:val="00C94C88"/>
    <w:rsid w:val="00C95023"/>
    <w:rsid w:val="00C95A6C"/>
    <w:rsid w:val="00C97D46"/>
    <w:rsid w:val="00CA0442"/>
    <w:rsid w:val="00CA1D02"/>
    <w:rsid w:val="00CA2760"/>
    <w:rsid w:val="00CA6695"/>
    <w:rsid w:val="00CA6B03"/>
    <w:rsid w:val="00CA754F"/>
    <w:rsid w:val="00CA7C2D"/>
    <w:rsid w:val="00CA7E37"/>
    <w:rsid w:val="00CB04DC"/>
    <w:rsid w:val="00CB04F7"/>
    <w:rsid w:val="00CB2703"/>
    <w:rsid w:val="00CB3AFA"/>
    <w:rsid w:val="00CB409C"/>
    <w:rsid w:val="00CB414F"/>
    <w:rsid w:val="00CB658D"/>
    <w:rsid w:val="00CB6F83"/>
    <w:rsid w:val="00CB7968"/>
    <w:rsid w:val="00CC1DC2"/>
    <w:rsid w:val="00CC1FD4"/>
    <w:rsid w:val="00CC249B"/>
    <w:rsid w:val="00CC3EED"/>
    <w:rsid w:val="00CC60F9"/>
    <w:rsid w:val="00CC6AA0"/>
    <w:rsid w:val="00CC77F2"/>
    <w:rsid w:val="00CD20A9"/>
    <w:rsid w:val="00CD22AE"/>
    <w:rsid w:val="00CD38CC"/>
    <w:rsid w:val="00CD44FC"/>
    <w:rsid w:val="00CD48F2"/>
    <w:rsid w:val="00CD4FC6"/>
    <w:rsid w:val="00CD740F"/>
    <w:rsid w:val="00CD7A48"/>
    <w:rsid w:val="00CD7F4D"/>
    <w:rsid w:val="00CE02B8"/>
    <w:rsid w:val="00CE07AE"/>
    <w:rsid w:val="00CE0D2C"/>
    <w:rsid w:val="00CE0D3A"/>
    <w:rsid w:val="00CE1B3E"/>
    <w:rsid w:val="00CE31E4"/>
    <w:rsid w:val="00CE38AF"/>
    <w:rsid w:val="00CE5955"/>
    <w:rsid w:val="00CE5C1A"/>
    <w:rsid w:val="00CE6C00"/>
    <w:rsid w:val="00CF1AF4"/>
    <w:rsid w:val="00CF2687"/>
    <w:rsid w:val="00CF4DB2"/>
    <w:rsid w:val="00CF4F5E"/>
    <w:rsid w:val="00CF5BFD"/>
    <w:rsid w:val="00CF5C42"/>
    <w:rsid w:val="00CF6703"/>
    <w:rsid w:val="00CF71AE"/>
    <w:rsid w:val="00CF73B9"/>
    <w:rsid w:val="00CF792E"/>
    <w:rsid w:val="00D01005"/>
    <w:rsid w:val="00D01D0A"/>
    <w:rsid w:val="00D01EF8"/>
    <w:rsid w:val="00D030DE"/>
    <w:rsid w:val="00D0377D"/>
    <w:rsid w:val="00D038A2"/>
    <w:rsid w:val="00D03D57"/>
    <w:rsid w:val="00D05514"/>
    <w:rsid w:val="00D059F5"/>
    <w:rsid w:val="00D065C5"/>
    <w:rsid w:val="00D06C57"/>
    <w:rsid w:val="00D07096"/>
    <w:rsid w:val="00D07F7D"/>
    <w:rsid w:val="00D1018E"/>
    <w:rsid w:val="00D1032B"/>
    <w:rsid w:val="00D1096A"/>
    <w:rsid w:val="00D10BC5"/>
    <w:rsid w:val="00D110A7"/>
    <w:rsid w:val="00D13E7D"/>
    <w:rsid w:val="00D17A47"/>
    <w:rsid w:val="00D208F2"/>
    <w:rsid w:val="00D20DAF"/>
    <w:rsid w:val="00D22F9F"/>
    <w:rsid w:val="00D26317"/>
    <w:rsid w:val="00D2669C"/>
    <w:rsid w:val="00D26947"/>
    <w:rsid w:val="00D275CE"/>
    <w:rsid w:val="00D30CA0"/>
    <w:rsid w:val="00D31CCA"/>
    <w:rsid w:val="00D31D14"/>
    <w:rsid w:val="00D326CC"/>
    <w:rsid w:val="00D32941"/>
    <w:rsid w:val="00D32E88"/>
    <w:rsid w:val="00D32F10"/>
    <w:rsid w:val="00D33B4A"/>
    <w:rsid w:val="00D34254"/>
    <w:rsid w:val="00D344FE"/>
    <w:rsid w:val="00D34795"/>
    <w:rsid w:val="00D352FE"/>
    <w:rsid w:val="00D35E17"/>
    <w:rsid w:val="00D36D7A"/>
    <w:rsid w:val="00D375FA"/>
    <w:rsid w:val="00D404E7"/>
    <w:rsid w:val="00D40E14"/>
    <w:rsid w:val="00D41386"/>
    <w:rsid w:val="00D41581"/>
    <w:rsid w:val="00D41DCE"/>
    <w:rsid w:val="00D43143"/>
    <w:rsid w:val="00D43397"/>
    <w:rsid w:val="00D4362E"/>
    <w:rsid w:val="00D43B68"/>
    <w:rsid w:val="00D4477E"/>
    <w:rsid w:val="00D448B4"/>
    <w:rsid w:val="00D448F7"/>
    <w:rsid w:val="00D44CA9"/>
    <w:rsid w:val="00D45F87"/>
    <w:rsid w:val="00D46099"/>
    <w:rsid w:val="00D46279"/>
    <w:rsid w:val="00D466B9"/>
    <w:rsid w:val="00D46B54"/>
    <w:rsid w:val="00D46D33"/>
    <w:rsid w:val="00D47121"/>
    <w:rsid w:val="00D471F6"/>
    <w:rsid w:val="00D5198B"/>
    <w:rsid w:val="00D51C25"/>
    <w:rsid w:val="00D51E6B"/>
    <w:rsid w:val="00D52B16"/>
    <w:rsid w:val="00D5316C"/>
    <w:rsid w:val="00D54136"/>
    <w:rsid w:val="00D5534C"/>
    <w:rsid w:val="00D555B3"/>
    <w:rsid w:val="00D56468"/>
    <w:rsid w:val="00D564B1"/>
    <w:rsid w:val="00D566D9"/>
    <w:rsid w:val="00D56753"/>
    <w:rsid w:val="00D60626"/>
    <w:rsid w:val="00D60747"/>
    <w:rsid w:val="00D61CF7"/>
    <w:rsid w:val="00D62357"/>
    <w:rsid w:val="00D627D3"/>
    <w:rsid w:val="00D62DA2"/>
    <w:rsid w:val="00D64A23"/>
    <w:rsid w:val="00D6561B"/>
    <w:rsid w:val="00D65CD1"/>
    <w:rsid w:val="00D65E3C"/>
    <w:rsid w:val="00D6626A"/>
    <w:rsid w:val="00D6651E"/>
    <w:rsid w:val="00D672C5"/>
    <w:rsid w:val="00D67C08"/>
    <w:rsid w:val="00D70681"/>
    <w:rsid w:val="00D70DD3"/>
    <w:rsid w:val="00D71AA7"/>
    <w:rsid w:val="00D76464"/>
    <w:rsid w:val="00D808A0"/>
    <w:rsid w:val="00D80E01"/>
    <w:rsid w:val="00D813BB"/>
    <w:rsid w:val="00D820C7"/>
    <w:rsid w:val="00D82518"/>
    <w:rsid w:val="00D82A44"/>
    <w:rsid w:val="00D8486F"/>
    <w:rsid w:val="00D84B4C"/>
    <w:rsid w:val="00D861F0"/>
    <w:rsid w:val="00D8640C"/>
    <w:rsid w:val="00D92BB6"/>
    <w:rsid w:val="00D92CFB"/>
    <w:rsid w:val="00D932E4"/>
    <w:rsid w:val="00D935DA"/>
    <w:rsid w:val="00D9404D"/>
    <w:rsid w:val="00D94A96"/>
    <w:rsid w:val="00D955FE"/>
    <w:rsid w:val="00D9599E"/>
    <w:rsid w:val="00D95DC5"/>
    <w:rsid w:val="00D96678"/>
    <w:rsid w:val="00D97804"/>
    <w:rsid w:val="00DA0592"/>
    <w:rsid w:val="00DA07DB"/>
    <w:rsid w:val="00DA1F76"/>
    <w:rsid w:val="00DA25F6"/>
    <w:rsid w:val="00DA69F3"/>
    <w:rsid w:val="00DA6F96"/>
    <w:rsid w:val="00DA71B8"/>
    <w:rsid w:val="00DB0222"/>
    <w:rsid w:val="00DB08F9"/>
    <w:rsid w:val="00DB0E5C"/>
    <w:rsid w:val="00DB28E6"/>
    <w:rsid w:val="00DB2A22"/>
    <w:rsid w:val="00DB31EB"/>
    <w:rsid w:val="00DB388A"/>
    <w:rsid w:val="00DB456F"/>
    <w:rsid w:val="00DB4A38"/>
    <w:rsid w:val="00DB4F8A"/>
    <w:rsid w:val="00DB56D2"/>
    <w:rsid w:val="00DB71A3"/>
    <w:rsid w:val="00DB726B"/>
    <w:rsid w:val="00DB7930"/>
    <w:rsid w:val="00DB7A9F"/>
    <w:rsid w:val="00DB7D5B"/>
    <w:rsid w:val="00DC1A8C"/>
    <w:rsid w:val="00DC2847"/>
    <w:rsid w:val="00DC2B9D"/>
    <w:rsid w:val="00DC3B50"/>
    <w:rsid w:val="00DC41DE"/>
    <w:rsid w:val="00DC497D"/>
    <w:rsid w:val="00DC4ED9"/>
    <w:rsid w:val="00DC5456"/>
    <w:rsid w:val="00DC55BE"/>
    <w:rsid w:val="00DC57A6"/>
    <w:rsid w:val="00DC5C6D"/>
    <w:rsid w:val="00DC722A"/>
    <w:rsid w:val="00DC7AA9"/>
    <w:rsid w:val="00DC7B7D"/>
    <w:rsid w:val="00DC7E8E"/>
    <w:rsid w:val="00DC7EFC"/>
    <w:rsid w:val="00DD07DA"/>
    <w:rsid w:val="00DD0ADE"/>
    <w:rsid w:val="00DD18F8"/>
    <w:rsid w:val="00DD28CE"/>
    <w:rsid w:val="00DD38D4"/>
    <w:rsid w:val="00DD4780"/>
    <w:rsid w:val="00DD6D22"/>
    <w:rsid w:val="00DD6E56"/>
    <w:rsid w:val="00DE0AAE"/>
    <w:rsid w:val="00DE1337"/>
    <w:rsid w:val="00DE1885"/>
    <w:rsid w:val="00DE2497"/>
    <w:rsid w:val="00DE398A"/>
    <w:rsid w:val="00DE4A75"/>
    <w:rsid w:val="00DE5F33"/>
    <w:rsid w:val="00DE6326"/>
    <w:rsid w:val="00DE6393"/>
    <w:rsid w:val="00DE7F5A"/>
    <w:rsid w:val="00DF091E"/>
    <w:rsid w:val="00DF0AE2"/>
    <w:rsid w:val="00DF104A"/>
    <w:rsid w:val="00DF134F"/>
    <w:rsid w:val="00DF1EFF"/>
    <w:rsid w:val="00DF35B4"/>
    <w:rsid w:val="00DF3A01"/>
    <w:rsid w:val="00DF3A86"/>
    <w:rsid w:val="00DF42B2"/>
    <w:rsid w:val="00DF52ED"/>
    <w:rsid w:val="00DF588E"/>
    <w:rsid w:val="00E002B7"/>
    <w:rsid w:val="00E0030E"/>
    <w:rsid w:val="00E01263"/>
    <w:rsid w:val="00E0152A"/>
    <w:rsid w:val="00E027CC"/>
    <w:rsid w:val="00E031DF"/>
    <w:rsid w:val="00E03307"/>
    <w:rsid w:val="00E0455F"/>
    <w:rsid w:val="00E05681"/>
    <w:rsid w:val="00E05D3D"/>
    <w:rsid w:val="00E1003B"/>
    <w:rsid w:val="00E11AC7"/>
    <w:rsid w:val="00E12898"/>
    <w:rsid w:val="00E135BC"/>
    <w:rsid w:val="00E14A7D"/>
    <w:rsid w:val="00E1570F"/>
    <w:rsid w:val="00E157AE"/>
    <w:rsid w:val="00E16288"/>
    <w:rsid w:val="00E16DFC"/>
    <w:rsid w:val="00E16EC4"/>
    <w:rsid w:val="00E17241"/>
    <w:rsid w:val="00E20810"/>
    <w:rsid w:val="00E21661"/>
    <w:rsid w:val="00E218AD"/>
    <w:rsid w:val="00E21E51"/>
    <w:rsid w:val="00E2260A"/>
    <w:rsid w:val="00E22B4B"/>
    <w:rsid w:val="00E22C61"/>
    <w:rsid w:val="00E23C23"/>
    <w:rsid w:val="00E23C8A"/>
    <w:rsid w:val="00E245F6"/>
    <w:rsid w:val="00E25CB0"/>
    <w:rsid w:val="00E2661C"/>
    <w:rsid w:val="00E26AB9"/>
    <w:rsid w:val="00E2780E"/>
    <w:rsid w:val="00E27B29"/>
    <w:rsid w:val="00E27D3F"/>
    <w:rsid w:val="00E30CF7"/>
    <w:rsid w:val="00E317CA"/>
    <w:rsid w:val="00E32998"/>
    <w:rsid w:val="00E32CC2"/>
    <w:rsid w:val="00E3318C"/>
    <w:rsid w:val="00E33F8C"/>
    <w:rsid w:val="00E35753"/>
    <w:rsid w:val="00E35771"/>
    <w:rsid w:val="00E357ED"/>
    <w:rsid w:val="00E35E42"/>
    <w:rsid w:val="00E36280"/>
    <w:rsid w:val="00E36FE6"/>
    <w:rsid w:val="00E37150"/>
    <w:rsid w:val="00E372FB"/>
    <w:rsid w:val="00E37574"/>
    <w:rsid w:val="00E37A36"/>
    <w:rsid w:val="00E37FB3"/>
    <w:rsid w:val="00E408D7"/>
    <w:rsid w:val="00E41A4B"/>
    <w:rsid w:val="00E4652B"/>
    <w:rsid w:val="00E46A91"/>
    <w:rsid w:val="00E46E44"/>
    <w:rsid w:val="00E47529"/>
    <w:rsid w:val="00E505C7"/>
    <w:rsid w:val="00E50C30"/>
    <w:rsid w:val="00E518E0"/>
    <w:rsid w:val="00E51EE4"/>
    <w:rsid w:val="00E522D9"/>
    <w:rsid w:val="00E52AA0"/>
    <w:rsid w:val="00E52F13"/>
    <w:rsid w:val="00E53D01"/>
    <w:rsid w:val="00E545AB"/>
    <w:rsid w:val="00E56212"/>
    <w:rsid w:val="00E566FF"/>
    <w:rsid w:val="00E56B2F"/>
    <w:rsid w:val="00E573D7"/>
    <w:rsid w:val="00E5781E"/>
    <w:rsid w:val="00E603E0"/>
    <w:rsid w:val="00E61638"/>
    <w:rsid w:val="00E61C40"/>
    <w:rsid w:val="00E63274"/>
    <w:rsid w:val="00E6342F"/>
    <w:rsid w:val="00E63932"/>
    <w:rsid w:val="00E63AC5"/>
    <w:rsid w:val="00E63D9A"/>
    <w:rsid w:val="00E64DC3"/>
    <w:rsid w:val="00E64E52"/>
    <w:rsid w:val="00E64EFC"/>
    <w:rsid w:val="00E650F1"/>
    <w:rsid w:val="00E66B89"/>
    <w:rsid w:val="00E70925"/>
    <w:rsid w:val="00E71AA9"/>
    <w:rsid w:val="00E72DD2"/>
    <w:rsid w:val="00E7301A"/>
    <w:rsid w:val="00E733DB"/>
    <w:rsid w:val="00E73AB9"/>
    <w:rsid w:val="00E74C4D"/>
    <w:rsid w:val="00E75822"/>
    <w:rsid w:val="00E7650F"/>
    <w:rsid w:val="00E77D45"/>
    <w:rsid w:val="00E8307F"/>
    <w:rsid w:val="00E83BAC"/>
    <w:rsid w:val="00E84880"/>
    <w:rsid w:val="00E84CB8"/>
    <w:rsid w:val="00E85954"/>
    <w:rsid w:val="00E85E1E"/>
    <w:rsid w:val="00E85E51"/>
    <w:rsid w:val="00E860E0"/>
    <w:rsid w:val="00E86295"/>
    <w:rsid w:val="00E86429"/>
    <w:rsid w:val="00E86EE5"/>
    <w:rsid w:val="00E870AF"/>
    <w:rsid w:val="00E87CEC"/>
    <w:rsid w:val="00E90007"/>
    <w:rsid w:val="00E91D72"/>
    <w:rsid w:val="00E91F77"/>
    <w:rsid w:val="00E9231C"/>
    <w:rsid w:val="00E93196"/>
    <w:rsid w:val="00E932CB"/>
    <w:rsid w:val="00E9362C"/>
    <w:rsid w:val="00E960CE"/>
    <w:rsid w:val="00E96353"/>
    <w:rsid w:val="00E97506"/>
    <w:rsid w:val="00E97CE1"/>
    <w:rsid w:val="00E97F13"/>
    <w:rsid w:val="00EA03A7"/>
    <w:rsid w:val="00EA1335"/>
    <w:rsid w:val="00EA20E1"/>
    <w:rsid w:val="00EA339B"/>
    <w:rsid w:val="00EA3BAB"/>
    <w:rsid w:val="00EA3C73"/>
    <w:rsid w:val="00EA3CE3"/>
    <w:rsid w:val="00EA3DD7"/>
    <w:rsid w:val="00EA3E22"/>
    <w:rsid w:val="00EA4131"/>
    <w:rsid w:val="00EA50DB"/>
    <w:rsid w:val="00EA5283"/>
    <w:rsid w:val="00EA6078"/>
    <w:rsid w:val="00EA60A6"/>
    <w:rsid w:val="00EA751D"/>
    <w:rsid w:val="00EB0158"/>
    <w:rsid w:val="00EB0534"/>
    <w:rsid w:val="00EB0E57"/>
    <w:rsid w:val="00EB13A6"/>
    <w:rsid w:val="00EB166A"/>
    <w:rsid w:val="00EB2FBE"/>
    <w:rsid w:val="00EB3198"/>
    <w:rsid w:val="00EB46E6"/>
    <w:rsid w:val="00EB5C8C"/>
    <w:rsid w:val="00EB6C57"/>
    <w:rsid w:val="00EB6F2D"/>
    <w:rsid w:val="00EB7E0D"/>
    <w:rsid w:val="00EC0657"/>
    <w:rsid w:val="00EC08D3"/>
    <w:rsid w:val="00EC1606"/>
    <w:rsid w:val="00EC38DC"/>
    <w:rsid w:val="00EC40D3"/>
    <w:rsid w:val="00EC582C"/>
    <w:rsid w:val="00EC58DB"/>
    <w:rsid w:val="00EC6209"/>
    <w:rsid w:val="00EC6E9B"/>
    <w:rsid w:val="00EC77B1"/>
    <w:rsid w:val="00ED1B3F"/>
    <w:rsid w:val="00ED1B79"/>
    <w:rsid w:val="00ED2826"/>
    <w:rsid w:val="00ED282C"/>
    <w:rsid w:val="00ED2D1C"/>
    <w:rsid w:val="00ED33DB"/>
    <w:rsid w:val="00ED38CC"/>
    <w:rsid w:val="00ED5095"/>
    <w:rsid w:val="00ED5DB9"/>
    <w:rsid w:val="00ED67C7"/>
    <w:rsid w:val="00ED6EF6"/>
    <w:rsid w:val="00ED746D"/>
    <w:rsid w:val="00ED7B60"/>
    <w:rsid w:val="00ED7EFA"/>
    <w:rsid w:val="00EE04E2"/>
    <w:rsid w:val="00EE0BD3"/>
    <w:rsid w:val="00EE3838"/>
    <w:rsid w:val="00EE4395"/>
    <w:rsid w:val="00EE4722"/>
    <w:rsid w:val="00EE4833"/>
    <w:rsid w:val="00EE4920"/>
    <w:rsid w:val="00EE5D4D"/>
    <w:rsid w:val="00EE64A5"/>
    <w:rsid w:val="00EE668B"/>
    <w:rsid w:val="00EE6885"/>
    <w:rsid w:val="00EE74E6"/>
    <w:rsid w:val="00EF0CBC"/>
    <w:rsid w:val="00EF16DC"/>
    <w:rsid w:val="00EF20E3"/>
    <w:rsid w:val="00EF305C"/>
    <w:rsid w:val="00EF45C1"/>
    <w:rsid w:val="00EF4CF2"/>
    <w:rsid w:val="00EF4D6D"/>
    <w:rsid w:val="00EF50B0"/>
    <w:rsid w:val="00EF54EB"/>
    <w:rsid w:val="00EF55CC"/>
    <w:rsid w:val="00EF56F3"/>
    <w:rsid w:val="00EF62D9"/>
    <w:rsid w:val="00EF654F"/>
    <w:rsid w:val="00EF689C"/>
    <w:rsid w:val="00EF6BC2"/>
    <w:rsid w:val="00EF709C"/>
    <w:rsid w:val="00EF70C7"/>
    <w:rsid w:val="00EF7942"/>
    <w:rsid w:val="00EF7EEA"/>
    <w:rsid w:val="00F010FF"/>
    <w:rsid w:val="00F013D4"/>
    <w:rsid w:val="00F0223D"/>
    <w:rsid w:val="00F0250E"/>
    <w:rsid w:val="00F0279A"/>
    <w:rsid w:val="00F02EAA"/>
    <w:rsid w:val="00F03E47"/>
    <w:rsid w:val="00F04729"/>
    <w:rsid w:val="00F05219"/>
    <w:rsid w:val="00F05883"/>
    <w:rsid w:val="00F062C1"/>
    <w:rsid w:val="00F068C3"/>
    <w:rsid w:val="00F075F4"/>
    <w:rsid w:val="00F10401"/>
    <w:rsid w:val="00F10496"/>
    <w:rsid w:val="00F10D8A"/>
    <w:rsid w:val="00F121EB"/>
    <w:rsid w:val="00F12AB3"/>
    <w:rsid w:val="00F1317B"/>
    <w:rsid w:val="00F16D0A"/>
    <w:rsid w:val="00F17149"/>
    <w:rsid w:val="00F178B6"/>
    <w:rsid w:val="00F17F8F"/>
    <w:rsid w:val="00F21BED"/>
    <w:rsid w:val="00F222E1"/>
    <w:rsid w:val="00F2290F"/>
    <w:rsid w:val="00F22AC8"/>
    <w:rsid w:val="00F237EA"/>
    <w:rsid w:val="00F24B60"/>
    <w:rsid w:val="00F256D8"/>
    <w:rsid w:val="00F25FA4"/>
    <w:rsid w:val="00F26FDB"/>
    <w:rsid w:val="00F305A8"/>
    <w:rsid w:val="00F306F0"/>
    <w:rsid w:val="00F3115B"/>
    <w:rsid w:val="00F311AB"/>
    <w:rsid w:val="00F32A2F"/>
    <w:rsid w:val="00F33294"/>
    <w:rsid w:val="00F3338E"/>
    <w:rsid w:val="00F34656"/>
    <w:rsid w:val="00F35563"/>
    <w:rsid w:val="00F36907"/>
    <w:rsid w:val="00F37136"/>
    <w:rsid w:val="00F37CCF"/>
    <w:rsid w:val="00F40096"/>
    <w:rsid w:val="00F4066C"/>
    <w:rsid w:val="00F40B99"/>
    <w:rsid w:val="00F420E0"/>
    <w:rsid w:val="00F43ACB"/>
    <w:rsid w:val="00F44509"/>
    <w:rsid w:val="00F448D5"/>
    <w:rsid w:val="00F44DFD"/>
    <w:rsid w:val="00F451BF"/>
    <w:rsid w:val="00F5304F"/>
    <w:rsid w:val="00F532B0"/>
    <w:rsid w:val="00F532C3"/>
    <w:rsid w:val="00F53767"/>
    <w:rsid w:val="00F53785"/>
    <w:rsid w:val="00F55038"/>
    <w:rsid w:val="00F5597C"/>
    <w:rsid w:val="00F5610C"/>
    <w:rsid w:val="00F57C98"/>
    <w:rsid w:val="00F60389"/>
    <w:rsid w:val="00F6046B"/>
    <w:rsid w:val="00F60CE0"/>
    <w:rsid w:val="00F618C6"/>
    <w:rsid w:val="00F6274C"/>
    <w:rsid w:val="00F6342D"/>
    <w:rsid w:val="00F637CB"/>
    <w:rsid w:val="00F651B7"/>
    <w:rsid w:val="00F651B9"/>
    <w:rsid w:val="00F6532D"/>
    <w:rsid w:val="00F6569F"/>
    <w:rsid w:val="00F65F1A"/>
    <w:rsid w:val="00F66D55"/>
    <w:rsid w:val="00F672D4"/>
    <w:rsid w:val="00F6799A"/>
    <w:rsid w:val="00F67AFC"/>
    <w:rsid w:val="00F70946"/>
    <w:rsid w:val="00F717A6"/>
    <w:rsid w:val="00F719B6"/>
    <w:rsid w:val="00F720B8"/>
    <w:rsid w:val="00F72E5C"/>
    <w:rsid w:val="00F7319E"/>
    <w:rsid w:val="00F734F2"/>
    <w:rsid w:val="00F73F1E"/>
    <w:rsid w:val="00F74204"/>
    <w:rsid w:val="00F76360"/>
    <w:rsid w:val="00F77187"/>
    <w:rsid w:val="00F77607"/>
    <w:rsid w:val="00F7791D"/>
    <w:rsid w:val="00F77D35"/>
    <w:rsid w:val="00F810DA"/>
    <w:rsid w:val="00F81857"/>
    <w:rsid w:val="00F82002"/>
    <w:rsid w:val="00F820B9"/>
    <w:rsid w:val="00F829BC"/>
    <w:rsid w:val="00F82F27"/>
    <w:rsid w:val="00F8315A"/>
    <w:rsid w:val="00F838C4"/>
    <w:rsid w:val="00F83CC6"/>
    <w:rsid w:val="00F84F81"/>
    <w:rsid w:val="00F85098"/>
    <w:rsid w:val="00F8530F"/>
    <w:rsid w:val="00F855AB"/>
    <w:rsid w:val="00F85A0F"/>
    <w:rsid w:val="00F85E9B"/>
    <w:rsid w:val="00F8664A"/>
    <w:rsid w:val="00F86D0B"/>
    <w:rsid w:val="00F87789"/>
    <w:rsid w:val="00F90508"/>
    <w:rsid w:val="00F90570"/>
    <w:rsid w:val="00F90701"/>
    <w:rsid w:val="00F90954"/>
    <w:rsid w:val="00F9119F"/>
    <w:rsid w:val="00F94527"/>
    <w:rsid w:val="00F94B41"/>
    <w:rsid w:val="00F95CB1"/>
    <w:rsid w:val="00F96722"/>
    <w:rsid w:val="00FA0AB7"/>
    <w:rsid w:val="00FA0B2E"/>
    <w:rsid w:val="00FA0D76"/>
    <w:rsid w:val="00FA1088"/>
    <w:rsid w:val="00FA1518"/>
    <w:rsid w:val="00FA2743"/>
    <w:rsid w:val="00FA29C4"/>
    <w:rsid w:val="00FA2C83"/>
    <w:rsid w:val="00FA2EA7"/>
    <w:rsid w:val="00FA65E2"/>
    <w:rsid w:val="00FA6886"/>
    <w:rsid w:val="00FA6F98"/>
    <w:rsid w:val="00FA77D5"/>
    <w:rsid w:val="00FB0F98"/>
    <w:rsid w:val="00FB120A"/>
    <w:rsid w:val="00FB170A"/>
    <w:rsid w:val="00FB2EAC"/>
    <w:rsid w:val="00FB6374"/>
    <w:rsid w:val="00FB6807"/>
    <w:rsid w:val="00FB78D4"/>
    <w:rsid w:val="00FC0645"/>
    <w:rsid w:val="00FC06C8"/>
    <w:rsid w:val="00FC0D16"/>
    <w:rsid w:val="00FC1759"/>
    <w:rsid w:val="00FC3693"/>
    <w:rsid w:val="00FC39AB"/>
    <w:rsid w:val="00FC3AA1"/>
    <w:rsid w:val="00FC4F93"/>
    <w:rsid w:val="00FC6FC5"/>
    <w:rsid w:val="00FC7D26"/>
    <w:rsid w:val="00FD049D"/>
    <w:rsid w:val="00FD08C2"/>
    <w:rsid w:val="00FD13C0"/>
    <w:rsid w:val="00FD3063"/>
    <w:rsid w:val="00FD3218"/>
    <w:rsid w:val="00FD3DB0"/>
    <w:rsid w:val="00FD4061"/>
    <w:rsid w:val="00FD4AD0"/>
    <w:rsid w:val="00FD4AD6"/>
    <w:rsid w:val="00FD58E4"/>
    <w:rsid w:val="00FD7468"/>
    <w:rsid w:val="00FE01BA"/>
    <w:rsid w:val="00FE0A34"/>
    <w:rsid w:val="00FE11CD"/>
    <w:rsid w:val="00FE13E6"/>
    <w:rsid w:val="00FE15F1"/>
    <w:rsid w:val="00FE1E28"/>
    <w:rsid w:val="00FE2503"/>
    <w:rsid w:val="00FE274C"/>
    <w:rsid w:val="00FE2865"/>
    <w:rsid w:val="00FE39AB"/>
    <w:rsid w:val="00FE3DDE"/>
    <w:rsid w:val="00FE47A1"/>
    <w:rsid w:val="00FE49F8"/>
    <w:rsid w:val="00FE4BD2"/>
    <w:rsid w:val="00FE4CC9"/>
    <w:rsid w:val="00FE53DD"/>
    <w:rsid w:val="00FE64BC"/>
    <w:rsid w:val="00FE6FD5"/>
    <w:rsid w:val="00FE7A52"/>
    <w:rsid w:val="00FE7B38"/>
    <w:rsid w:val="00FF00A2"/>
    <w:rsid w:val="00FF1723"/>
    <w:rsid w:val="00FF184B"/>
    <w:rsid w:val="00FF3113"/>
    <w:rsid w:val="00FF4FC8"/>
    <w:rsid w:val="00FF6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D94F"/>
  <w15:docId w15:val="{7C52209F-3F54-42F3-BD34-D80A86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F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C7EFC"/>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DC7EFC"/>
    <w:pPr>
      <w:pageBreakBefore/>
      <w:numPr>
        <w:numId w:val="25"/>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DC7EFC"/>
    <w:pPr>
      <w:keepNext/>
      <w:keepLines/>
      <w:numPr>
        <w:ilvl w:val="1"/>
        <w:numId w:val="25"/>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DC7EFC"/>
    <w:pPr>
      <w:keepNext/>
      <w:numPr>
        <w:ilvl w:val="2"/>
        <w:numId w:val="25"/>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DC7EFC"/>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DC7EFC"/>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DC7EFC"/>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C7EFC"/>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rsid w:val="00DC7E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7EFC"/>
  </w:style>
  <w:style w:type="paragraph" w:styleId="CommentText">
    <w:name w:val="annotation text"/>
    <w:basedOn w:val="Normal"/>
    <w:link w:val="CommentTextChar"/>
    <w:unhideWhenUsed/>
    <w:rsid w:val="00DC7EFC"/>
    <w:rPr>
      <w:sz w:val="20"/>
      <w:szCs w:val="20"/>
    </w:rPr>
  </w:style>
  <w:style w:type="character" w:customStyle="1" w:styleId="CommentTextChar">
    <w:name w:val="Comment Text Char"/>
    <w:basedOn w:val="DefaultParagraphFont"/>
    <w:link w:val="CommentText"/>
    <w:rsid w:val="00DC7EFC"/>
    <w:rPr>
      <w:rFonts w:asciiTheme="minorHAnsi" w:eastAsiaTheme="minorHAnsi" w:hAnsiTheme="minorHAnsi" w:cstheme="minorBidi"/>
      <w:lang w:eastAsia="en-US"/>
    </w:rPr>
  </w:style>
  <w:style w:type="paragraph" w:styleId="Header">
    <w:name w:val="header"/>
    <w:basedOn w:val="Normal"/>
    <w:link w:val="HeaderChar"/>
    <w:uiPriority w:val="26"/>
    <w:rsid w:val="00DC7EF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C7EFC"/>
    <w:rPr>
      <w:rFonts w:ascii="Calibri" w:eastAsiaTheme="minorHAnsi" w:hAnsi="Calibri" w:cstheme="minorBidi"/>
      <w:szCs w:val="22"/>
      <w:lang w:eastAsia="en-US"/>
    </w:rPr>
  </w:style>
  <w:style w:type="paragraph" w:styleId="Footer">
    <w:name w:val="footer"/>
    <w:basedOn w:val="Normal"/>
    <w:link w:val="FooterChar"/>
    <w:uiPriority w:val="27"/>
    <w:rsid w:val="00DC7EF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C7EF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DC7EFC"/>
    <w:rPr>
      <w:sz w:val="16"/>
      <w:szCs w:val="16"/>
    </w:rPr>
  </w:style>
  <w:style w:type="paragraph" w:styleId="CommentSubject">
    <w:name w:val="annotation subject"/>
    <w:basedOn w:val="CommentText"/>
    <w:next w:val="CommentText"/>
    <w:link w:val="CommentSubjectChar"/>
    <w:uiPriority w:val="99"/>
    <w:semiHidden/>
    <w:unhideWhenUsed/>
    <w:rsid w:val="00DC7EFC"/>
    <w:rPr>
      <w:b/>
      <w:bCs/>
    </w:rPr>
  </w:style>
  <w:style w:type="character" w:customStyle="1" w:styleId="CommentSubjectChar">
    <w:name w:val="Comment Subject Char"/>
    <w:basedOn w:val="CommentTextChar"/>
    <w:link w:val="CommentSubject"/>
    <w:uiPriority w:val="99"/>
    <w:semiHidden/>
    <w:rsid w:val="00DC7EFC"/>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DC7EFC"/>
    <w:rPr>
      <w:rFonts w:ascii="Calibri" w:hAnsi="Calibri"/>
      <w:sz w:val="18"/>
      <w:szCs w:val="18"/>
    </w:rPr>
  </w:style>
  <w:style w:type="character" w:customStyle="1" w:styleId="BalloonTextChar">
    <w:name w:val="Balloon Text Char"/>
    <w:basedOn w:val="DefaultParagraphFont"/>
    <w:link w:val="BalloonText"/>
    <w:uiPriority w:val="99"/>
    <w:semiHidden/>
    <w:rsid w:val="00DC7EFC"/>
    <w:rPr>
      <w:rFonts w:ascii="Calibri" w:eastAsiaTheme="minorHAnsi" w:hAnsi="Calibri" w:cstheme="minorBidi"/>
      <w:sz w:val="18"/>
      <w:szCs w:val="18"/>
      <w:lang w:eastAsia="en-US"/>
    </w:rPr>
  </w:style>
  <w:style w:type="paragraph" w:customStyle="1" w:styleId="Footeraddress">
    <w:name w:val="Footer address"/>
    <w:basedOn w:val="Footer"/>
    <w:semiHidden/>
    <w:qFormat/>
    <w:rsid w:val="00DC7EFC"/>
    <w:rPr>
      <w:sz w:val="16"/>
    </w:rPr>
  </w:style>
  <w:style w:type="character" w:customStyle="1" w:styleId="Heading1Char">
    <w:name w:val="Heading 1 Char"/>
    <w:basedOn w:val="DefaultParagraphFont"/>
    <w:link w:val="Heading1"/>
    <w:uiPriority w:val="1"/>
    <w:rsid w:val="00DC7EFC"/>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DC7EFC"/>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DC7EFC"/>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DC7EFC"/>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DC7EFC"/>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DC7EFC"/>
    <w:pPr>
      <w:ind w:left="709" w:right="567"/>
    </w:pPr>
    <w:rPr>
      <w:iCs/>
      <w:color w:val="000000"/>
    </w:rPr>
  </w:style>
  <w:style w:type="character" w:customStyle="1" w:styleId="QuoteChar">
    <w:name w:val="Quote Char"/>
    <w:basedOn w:val="DefaultParagraphFont"/>
    <w:link w:val="Quote"/>
    <w:uiPriority w:val="18"/>
    <w:rsid w:val="00DC7EFC"/>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DC7EF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DC7EF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DC7EF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C7EFC"/>
    <w:pPr>
      <w:spacing w:before="120"/>
    </w:pPr>
    <w:rPr>
      <w:b w:val="0"/>
      <w:sz w:val="56"/>
      <w:szCs w:val="56"/>
    </w:rPr>
  </w:style>
  <w:style w:type="character" w:customStyle="1" w:styleId="SubtitleChar">
    <w:name w:val="Subtitle Char"/>
    <w:basedOn w:val="DefaultParagraphFont"/>
    <w:link w:val="Subtitle"/>
    <w:uiPriority w:val="23"/>
    <w:rsid w:val="00DC7EFC"/>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DC7EFC"/>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DC7EF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DC7EF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DC7EF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DC7EFC"/>
    <w:rPr>
      <w:color w:val="165788"/>
      <w:u w:val="single"/>
    </w:rPr>
  </w:style>
  <w:style w:type="paragraph" w:styleId="ListBullet">
    <w:name w:val="List Bullet"/>
    <w:basedOn w:val="Normal"/>
    <w:uiPriority w:val="99"/>
    <w:qFormat/>
    <w:rsid w:val="00DC7EFC"/>
    <w:pPr>
      <w:numPr>
        <w:numId w:val="7"/>
      </w:numPr>
      <w:spacing w:before="120" w:after="120"/>
      <w:ind w:left="454" w:hanging="454"/>
    </w:pPr>
  </w:style>
  <w:style w:type="paragraph" w:styleId="TableofFigures">
    <w:name w:val="table of figures"/>
    <w:basedOn w:val="Normal"/>
    <w:next w:val="Normal"/>
    <w:uiPriority w:val="99"/>
    <w:rsid w:val="00DC7EFC"/>
    <w:pPr>
      <w:spacing w:before="120" w:after="120" w:line="240" w:lineRule="auto"/>
    </w:pPr>
  </w:style>
  <w:style w:type="paragraph" w:styleId="ListBullet2">
    <w:name w:val="List Bullet 2"/>
    <w:basedOn w:val="Normal"/>
    <w:uiPriority w:val="8"/>
    <w:qFormat/>
    <w:rsid w:val="00DC7EFC"/>
    <w:pPr>
      <w:numPr>
        <w:ilvl w:val="1"/>
        <w:numId w:val="7"/>
      </w:numPr>
      <w:spacing w:before="120" w:after="120"/>
      <w:ind w:left="908" w:hanging="454"/>
      <w:contextualSpacing/>
    </w:pPr>
  </w:style>
  <w:style w:type="paragraph" w:styleId="ListNumber">
    <w:name w:val="List Number"/>
    <w:basedOn w:val="Normal"/>
    <w:uiPriority w:val="9"/>
    <w:qFormat/>
    <w:rsid w:val="00DC7EFC"/>
    <w:pPr>
      <w:numPr>
        <w:numId w:val="8"/>
      </w:numPr>
      <w:tabs>
        <w:tab w:val="left" w:pos="142"/>
      </w:tabs>
      <w:spacing w:before="120" w:after="120"/>
      <w:ind w:left="454" w:hanging="454"/>
    </w:pPr>
  </w:style>
  <w:style w:type="paragraph" w:styleId="ListNumber2">
    <w:name w:val="List Number 2"/>
    <w:uiPriority w:val="10"/>
    <w:qFormat/>
    <w:rsid w:val="00DC7EFC"/>
    <w:pPr>
      <w:numPr>
        <w:ilvl w:val="1"/>
        <w:numId w:val="8"/>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DC7EFC"/>
    <w:pPr>
      <w:numPr>
        <w:ilvl w:val="2"/>
        <w:numId w:val="8"/>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DC7EF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DC7EF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DC7EFC"/>
    <w:pPr>
      <w:spacing w:before="60" w:after="60" w:line="240" w:lineRule="auto"/>
    </w:pPr>
    <w:rPr>
      <w:sz w:val="18"/>
    </w:rPr>
  </w:style>
  <w:style w:type="table" w:styleId="TableGrid1">
    <w:name w:val="Table Grid 1"/>
    <w:basedOn w:val="TableNormal"/>
    <w:uiPriority w:val="99"/>
    <w:semiHidden/>
    <w:unhideWhenUsed/>
    <w:rsid w:val="00DC7EF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DC7EFC"/>
    <w:pPr>
      <w:keepNext/>
    </w:pPr>
    <w:rPr>
      <w:b/>
    </w:rPr>
  </w:style>
  <w:style w:type="character" w:styleId="PlaceholderText">
    <w:name w:val="Placeholder Text"/>
    <w:basedOn w:val="DefaultParagraphFont"/>
    <w:uiPriority w:val="99"/>
    <w:semiHidden/>
    <w:rsid w:val="00DC7EFC"/>
    <w:rPr>
      <w:color w:val="808080"/>
    </w:rPr>
  </w:style>
  <w:style w:type="paragraph" w:customStyle="1" w:styleId="Author">
    <w:name w:val="Author"/>
    <w:basedOn w:val="Normal"/>
    <w:next w:val="Normal"/>
    <w:uiPriority w:val="24"/>
    <w:qFormat/>
    <w:rsid w:val="00DC7EFC"/>
    <w:pPr>
      <w:spacing w:after="60"/>
    </w:pPr>
    <w:rPr>
      <w:b/>
      <w:sz w:val="28"/>
      <w:szCs w:val="28"/>
    </w:rPr>
  </w:style>
  <w:style w:type="paragraph" w:customStyle="1" w:styleId="AuthorOrganisationAffiliation">
    <w:name w:val="Author Organisation/Affiliation"/>
    <w:basedOn w:val="Normal"/>
    <w:next w:val="Normal"/>
    <w:uiPriority w:val="25"/>
    <w:qFormat/>
    <w:rsid w:val="00DC7EFC"/>
    <w:pPr>
      <w:spacing w:after="720"/>
    </w:pPr>
  </w:style>
  <w:style w:type="character" w:styleId="Strong">
    <w:name w:val="Strong"/>
    <w:basedOn w:val="DefaultParagraphFont"/>
    <w:uiPriority w:val="22"/>
    <w:qFormat/>
    <w:rsid w:val="00DC7EFC"/>
    <w:rPr>
      <w:b/>
      <w:bCs/>
    </w:rPr>
  </w:style>
  <w:style w:type="paragraph" w:customStyle="1" w:styleId="Glossary">
    <w:name w:val="Glossary"/>
    <w:basedOn w:val="Normal"/>
    <w:link w:val="GlossaryChar"/>
    <w:uiPriority w:val="28"/>
    <w:semiHidden/>
    <w:locked/>
    <w:rsid w:val="00DC7EF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DC7EFC"/>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DC7EFC"/>
    <w:rPr>
      <w:i/>
      <w:iCs/>
    </w:rPr>
  </w:style>
  <w:style w:type="paragraph" w:styleId="TOAHeading">
    <w:name w:val="toa heading"/>
    <w:basedOn w:val="Heading1"/>
    <w:next w:val="Normal"/>
    <w:uiPriority w:val="99"/>
    <w:semiHidden/>
    <w:unhideWhenUsed/>
    <w:rsid w:val="00DC7EFC"/>
    <w:pPr>
      <w:spacing w:before="120"/>
    </w:pPr>
    <w:rPr>
      <w:bCs w:val="0"/>
      <w:sz w:val="24"/>
    </w:rPr>
  </w:style>
  <w:style w:type="paragraph" w:styleId="NormalWeb">
    <w:name w:val="Normal (Web)"/>
    <w:basedOn w:val="Normal"/>
    <w:uiPriority w:val="99"/>
    <w:semiHidden/>
    <w:unhideWhenUsed/>
    <w:rsid w:val="00DC7EF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C7EFC"/>
    <w:pPr>
      <w:numPr>
        <w:numId w:val="6"/>
      </w:numPr>
      <w:ind w:left="357" w:hanging="357"/>
    </w:pPr>
  </w:style>
  <w:style w:type="paragraph" w:styleId="ListParagraph">
    <w:name w:val="List Paragraph"/>
    <w:basedOn w:val="Normal"/>
    <w:uiPriority w:val="34"/>
    <w:semiHidden/>
    <w:qFormat/>
    <w:rsid w:val="00DC7EFC"/>
    <w:pPr>
      <w:spacing w:after="0" w:line="240" w:lineRule="auto"/>
      <w:ind w:left="720"/>
    </w:pPr>
    <w:rPr>
      <w:rFonts w:ascii="Calibri" w:hAnsi="Calibri" w:cs="Calibri"/>
    </w:rPr>
  </w:style>
  <w:style w:type="paragraph" w:styleId="DocumentMap">
    <w:name w:val="Document Map"/>
    <w:basedOn w:val="Normal"/>
    <w:link w:val="DocumentMapChar"/>
    <w:uiPriority w:val="99"/>
    <w:semiHidden/>
    <w:unhideWhenUsed/>
    <w:rsid w:val="00DC7E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7EFC"/>
    <w:rPr>
      <w:rFonts w:ascii="Tahoma" w:eastAsiaTheme="minorHAnsi" w:hAnsi="Tahoma" w:cs="Tahoma"/>
      <w:sz w:val="16"/>
      <w:szCs w:val="16"/>
      <w:lang w:eastAsia="en-US"/>
    </w:rPr>
  </w:style>
  <w:style w:type="paragraph" w:customStyle="1" w:styleId="BoxHeading">
    <w:name w:val="Box Heading"/>
    <w:basedOn w:val="BoxText"/>
    <w:uiPriority w:val="20"/>
    <w:qFormat/>
    <w:rsid w:val="00DC7EFC"/>
    <w:pPr>
      <w:spacing w:line="240" w:lineRule="auto"/>
    </w:pPr>
    <w:rPr>
      <w:b/>
    </w:rPr>
  </w:style>
  <w:style w:type="paragraph" w:customStyle="1" w:styleId="Securityclassification">
    <w:name w:val="Security classification"/>
    <w:basedOn w:val="Header"/>
    <w:next w:val="Header"/>
    <w:uiPriority w:val="26"/>
    <w:qFormat/>
    <w:rsid w:val="00DC7EFC"/>
    <w:pPr>
      <w:spacing w:after="0"/>
    </w:pPr>
    <w:rPr>
      <w:b/>
      <w:color w:val="FF0000"/>
      <w:sz w:val="36"/>
      <w:szCs w:val="36"/>
    </w:rPr>
  </w:style>
  <w:style w:type="paragraph" w:customStyle="1" w:styleId="DisseminationLimitingMarker">
    <w:name w:val="Dissemination Limiting Marker"/>
    <w:basedOn w:val="Header"/>
    <w:next w:val="Header"/>
    <w:uiPriority w:val="27"/>
    <w:rsid w:val="00DC7EFC"/>
    <w:pPr>
      <w:spacing w:after="0"/>
    </w:pPr>
    <w:rPr>
      <w:b/>
      <w:sz w:val="36"/>
      <w:szCs w:val="36"/>
    </w:rPr>
  </w:style>
  <w:style w:type="paragraph" w:styleId="FootnoteText">
    <w:name w:val="footnote text"/>
    <w:basedOn w:val="Normal"/>
    <w:link w:val="FootnoteTextChar"/>
    <w:uiPriority w:val="99"/>
    <w:unhideWhenUsed/>
    <w:rsid w:val="00DC7EFC"/>
    <w:pPr>
      <w:spacing w:after="60" w:line="264" w:lineRule="auto"/>
    </w:pPr>
    <w:rPr>
      <w:sz w:val="20"/>
      <w:szCs w:val="20"/>
    </w:rPr>
  </w:style>
  <w:style w:type="character" w:customStyle="1" w:styleId="FootnoteTextChar">
    <w:name w:val="Footnote Text Char"/>
    <w:basedOn w:val="DefaultParagraphFont"/>
    <w:link w:val="FootnoteText"/>
    <w:uiPriority w:val="99"/>
    <w:rsid w:val="00DC7EF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C7EFC"/>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DC7EFC"/>
    <w:rPr>
      <w:vertAlign w:val="superscript"/>
    </w:rPr>
  </w:style>
  <w:style w:type="character" w:styleId="FollowedHyperlink">
    <w:name w:val="FollowedHyperlink"/>
    <w:basedOn w:val="DefaultParagraphFont"/>
    <w:uiPriority w:val="99"/>
    <w:semiHidden/>
    <w:unhideWhenUsed/>
    <w:rsid w:val="00DC7EFC"/>
    <w:rPr>
      <w:color w:val="800080"/>
      <w:u w:val="single"/>
    </w:rPr>
  </w:style>
  <w:style w:type="paragraph" w:customStyle="1" w:styleId="BoxSource">
    <w:name w:val="Box Source"/>
    <w:basedOn w:val="FigureTableNoteSource"/>
    <w:uiPriority w:val="22"/>
    <w:qFormat/>
    <w:rsid w:val="00DC7EFC"/>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DC7EFC"/>
    <w:pPr>
      <w:numPr>
        <w:numId w:val="7"/>
      </w:numPr>
    </w:pPr>
  </w:style>
  <w:style w:type="paragraph" w:styleId="Title">
    <w:name w:val="Title"/>
    <w:basedOn w:val="Normal"/>
    <w:next w:val="Normal"/>
    <w:link w:val="TitleChar"/>
    <w:uiPriority w:val="10"/>
    <w:semiHidden/>
    <w:qFormat/>
    <w:rsid w:val="00DC7EF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DC7EFC"/>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DC7EFC"/>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DC7EFC"/>
    <w:pPr>
      <w:numPr>
        <w:numId w:val="8"/>
      </w:numPr>
    </w:pPr>
  </w:style>
  <w:style w:type="numbering" w:customStyle="1" w:styleId="Headinglist">
    <w:name w:val="Heading list"/>
    <w:uiPriority w:val="99"/>
    <w:rsid w:val="00DC7EFC"/>
    <w:pPr>
      <w:numPr>
        <w:numId w:val="25"/>
      </w:numPr>
    </w:pPr>
  </w:style>
  <w:style w:type="paragraph" w:customStyle="1" w:styleId="Normalsmall">
    <w:name w:val="Normal small"/>
    <w:qFormat/>
    <w:rsid w:val="00DC7EFC"/>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DC7EFC"/>
    <w:pPr>
      <w:numPr>
        <w:ilvl w:val="2"/>
        <w:numId w:val="7"/>
      </w:numPr>
      <w:contextualSpacing/>
    </w:pPr>
  </w:style>
  <w:style w:type="table" w:customStyle="1" w:styleId="ABARESTableleftrightalign">
    <w:name w:val="ABARES Table (left/right align)"/>
    <w:basedOn w:val="TableNormal"/>
    <w:uiPriority w:val="99"/>
    <w:rsid w:val="00DC7EFC"/>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DC7EFC"/>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character" w:styleId="IntenseEmphasis">
    <w:name w:val="Intense Emphasis"/>
    <w:basedOn w:val="DefaultParagraphFont"/>
    <w:uiPriority w:val="21"/>
    <w:semiHidden/>
    <w:qFormat/>
    <w:locked/>
    <w:rsid w:val="00DC7EFC"/>
    <w:rPr>
      <w:i/>
      <w:iCs/>
      <w:color w:val="4F81BD" w:themeColor="accent1"/>
    </w:rPr>
  </w:style>
  <w:style w:type="paragraph" w:customStyle="1" w:styleId="TableBullet2">
    <w:name w:val="Table Bullet 2"/>
    <w:basedOn w:val="TableBullet"/>
    <w:qFormat/>
    <w:rsid w:val="00DC7EFC"/>
    <w:pPr>
      <w:numPr>
        <w:numId w:val="9"/>
      </w:numPr>
      <w:tabs>
        <w:tab w:val="num" w:pos="361"/>
      </w:tabs>
      <w:ind w:left="568" w:hanging="284"/>
    </w:pPr>
  </w:style>
  <w:style w:type="numbering" w:customStyle="1" w:styleId="TableBulletlist">
    <w:name w:val="Table Bullet list"/>
    <w:uiPriority w:val="99"/>
    <w:rsid w:val="00DC7EFC"/>
    <w:pPr>
      <w:numPr>
        <w:numId w:val="4"/>
      </w:numPr>
    </w:pPr>
  </w:style>
  <w:style w:type="character" w:styleId="UnresolvedMention">
    <w:name w:val="Unresolved Mention"/>
    <w:basedOn w:val="DefaultParagraphFont"/>
    <w:uiPriority w:val="99"/>
    <w:semiHidden/>
    <w:unhideWhenUsed/>
    <w:rsid w:val="00DC7EFC"/>
    <w:rPr>
      <w:color w:val="605E5C"/>
      <w:shd w:val="clear" w:color="auto" w:fill="E1DFDD"/>
    </w:rPr>
  </w:style>
  <w:style w:type="character" w:customStyle="1" w:styleId="Heading6Char">
    <w:name w:val="Heading 6 Char"/>
    <w:basedOn w:val="DefaultParagraphFont"/>
    <w:link w:val="Heading6"/>
    <w:uiPriority w:val="9"/>
    <w:semiHidden/>
    <w:rsid w:val="00DC7EFC"/>
    <w:rPr>
      <w:rFonts w:asciiTheme="minorHAnsi" w:eastAsiaTheme="majorEastAsia" w:hAnsiTheme="minorHAnsi" w:cstheme="majorBidi"/>
      <w:b/>
      <w:i/>
      <w:sz w:val="24"/>
      <w:szCs w:val="22"/>
      <w:lang w:eastAsia="en-US"/>
    </w:rPr>
  </w:style>
  <w:style w:type="numbering" w:customStyle="1" w:styleId="Tablenumberedlists">
    <w:name w:val="Table numbered lists"/>
    <w:uiPriority w:val="99"/>
    <w:rsid w:val="00DC7EFC"/>
    <w:pPr>
      <w:numPr>
        <w:numId w:val="10"/>
      </w:numPr>
    </w:pPr>
  </w:style>
  <w:style w:type="paragraph" w:styleId="Revision">
    <w:name w:val="Revision"/>
    <w:hidden/>
    <w:uiPriority w:val="99"/>
    <w:semiHidden/>
    <w:rsid w:val="00570653"/>
    <w:rPr>
      <w:rFonts w:asciiTheme="minorHAnsi" w:eastAsiaTheme="minorHAnsi" w:hAnsiTheme="minorHAnsi" w:cstheme="minorBidi"/>
      <w:sz w:val="22"/>
      <w:szCs w:val="22"/>
      <w:lang w:eastAsia="en-US"/>
    </w:rPr>
  </w:style>
  <w:style w:type="table" w:styleId="TableGrid">
    <w:name w:val="Table Grid"/>
    <w:basedOn w:val="TableNormal"/>
    <w:uiPriority w:val="59"/>
    <w:rsid w:val="00DC7EF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bullet">
    <w:name w:val="Normal small bullet"/>
    <w:basedOn w:val="Normal"/>
    <w:qFormat/>
    <w:rsid w:val="00394F4A"/>
    <w:pPr>
      <w:tabs>
        <w:tab w:val="num" w:pos="284"/>
      </w:tabs>
      <w:spacing w:before="60" w:after="60" w:line="240" w:lineRule="auto"/>
      <w:ind w:left="284" w:hanging="284"/>
    </w:pPr>
    <w:rPr>
      <w:sz w:val="18"/>
    </w:rPr>
  </w:style>
  <w:style w:type="character" w:customStyle="1" w:styleId="Heading7Char">
    <w:name w:val="Heading 7 Char"/>
    <w:basedOn w:val="DefaultParagraphFont"/>
    <w:link w:val="Heading7"/>
    <w:uiPriority w:val="9"/>
    <w:semiHidden/>
    <w:rsid w:val="00DC7EFC"/>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C7EFC"/>
    <w:rPr>
      <w:rFonts w:ascii="Calibri" w:eastAsiaTheme="majorEastAsia" w:hAnsi="Calibri" w:cstheme="majorBidi"/>
      <w:b/>
      <w:i/>
      <w:color w:val="272727" w:themeColor="text1" w:themeTint="D8"/>
      <w:sz w:val="22"/>
      <w:szCs w:val="21"/>
      <w:lang w:eastAsia="en-US"/>
    </w:rPr>
  </w:style>
  <w:style w:type="paragraph" w:customStyle="1" w:styleId="TableBullet">
    <w:name w:val="Table Bullet"/>
    <w:basedOn w:val="TableText"/>
    <w:uiPriority w:val="15"/>
    <w:qFormat/>
    <w:rsid w:val="00DC7EFC"/>
    <w:pPr>
      <w:numPr>
        <w:numId w:val="5"/>
      </w:numPr>
    </w:pPr>
  </w:style>
  <w:style w:type="paragraph" w:customStyle="1" w:styleId="TableListNumber">
    <w:name w:val="Table List Number"/>
    <w:uiPriority w:val="99"/>
    <w:qFormat/>
    <w:rsid w:val="00DC7EFC"/>
    <w:pPr>
      <w:numPr>
        <w:numId w:val="10"/>
      </w:numPr>
      <w:spacing w:before="60" w:after="60"/>
      <w:contextualSpacing/>
    </w:pPr>
    <w:rPr>
      <w:rFonts w:asciiTheme="minorHAnsi" w:eastAsia="Calibri" w:hAnsiTheme="minorHAnsi"/>
      <w:color w:val="000000" w:themeColor="text1"/>
      <w:sz w:val="18"/>
      <w:szCs w:val="22"/>
      <w:lang w:eastAsia="en-US"/>
    </w:rPr>
  </w:style>
  <w:style w:type="paragraph" w:customStyle="1" w:styleId="TableListNumber2">
    <w:name w:val="Table List Number 2"/>
    <w:basedOn w:val="TableText"/>
    <w:qFormat/>
    <w:rsid w:val="00DC7EFC"/>
    <w:pPr>
      <w:numPr>
        <w:ilvl w:val="1"/>
        <w:numId w:val="10"/>
      </w:numPr>
    </w:pPr>
  </w:style>
  <w:style w:type="paragraph" w:customStyle="1" w:styleId="TableListNumber3">
    <w:name w:val="Table List Number 3"/>
    <w:basedOn w:val="TableText"/>
    <w:qFormat/>
    <w:rsid w:val="00DC7EFC"/>
    <w:pPr>
      <w:numPr>
        <w:ilvl w:val="2"/>
        <w:numId w:val="10"/>
      </w:numPr>
    </w:pPr>
  </w:style>
  <w:style w:type="paragraph" w:customStyle="1" w:styleId="BoxTextNumber">
    <w:name w:val="Box Text Number"/>
    <w:basedOn w:val="BoxText"/>
    <w:qFormat/>
    <w:rsid w:val="00DC7EF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837">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28661520">
      <w:bodyDiv w:val="1"/>
      <w:marLeft w:val="0"/>
      <w:marRight w:val="0"/>
      <w:marTop w:val="0"/>
      <w:marBottom w:val="0"/>
      <w:divBdr>
        <w:top w:val="none" w:sz="0" w:space="0" w:color="auto"/>
        <w:left w:val="none" w:sz="0" w:space="0" w:color="auto"/>
        <w:bottom w:val="none" w:sz="0" w:space="0" w:color="auto"/>
        <w:right w:val="none" w:sz="0" w:space="0" w:color="auto"/>
      </w:divBdr>
    </w:div>
    <w:div w:id="24399643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96938">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3505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7336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7817">
      <w:bodyDiv w:val="1"/>
      <w:marLeft w:val="0"/>
      <w:marRight w:val="0"/>
      <w:marTop w:val="0"/>
      <w:marBottom w:val="0"/>
      <w:divBdr>
        <w:top w:val="none" w:sz="0" w:space="0" w:color="auto"/>
        <w:left w:val="none" w:sz="0" w:space="0" w:color="auto"/>
        <w:bottom w:val="none" w:sz="0" w:space="0" w:color="auto"/>
        <w:right w:val="none" w:sz="0" w:space="0" w:color="auto"/>
      </w:divBdr>
    </w:div>
    <w:div w:id="75405888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15414">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7567363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535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6965988">
      <w:bodyDiv w:val="1"/>
      <w:marLeft w:val="0"/>
      <w:marRight w:val="0"/>
      <w:marTop w:val="0"/>
      <w:marBottom w:val="0"/>
      <w:divBdr>
        <w:top w:val="none" w:sz="0" w:space="0" w:color="auto"/>
        <w:left w:val="none" w:sz="0" w:space="0" w:color="auto"/>
        <w:bottom w:val="none" w:sz="0" w:space="0" w:color="auto"/>
        <w:right w:val="none" w:sz="0" w:space="0" w:color="auto"/>
      </w:divBdr>
    </w:div>
    <w:div w:id="165093593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4483">
      <w:bodyDiv w:val="1"/>
      <w:marLeft w:val="0"/>
      <w:marRight w:val="0"/>
      <w:marTop w:val="0"/>
      <w:marBottom w:val="0"/>
      <w:divBdr>
        <w:top w:val="none" w:sz="0" w:space="0" w:color="auto"/>
        <w:left w:val="none" w:sz="0" w:space="0" w:color="auto"/>
        <w:bottom w:val="none" w:sz="0" w:space="0" w:color="auto"/>
        <w:right w:val="none" w:sz="0" w:space="0" w:color="auto"/>
      </w:divBdr>
    </w:div>
    <w:div w:id="197089109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so.org/obp/ui/" TargetMode="External"/><Relationship Id="rId21" Type="http://schemas.openxmlformats.org/officeDocument/2006/relationships/image" Target="media/image4.jpeg"/><Relationship Id="rId42" Type="http://schemas.openxmlformats.org/officeDocument/2006/relationships/hyperlink" Target="https://www.dfat.gov.au/trade/agreements/in-force/aukfta" TargetMode="External"/><Relationship Id="rId47" Type="http://schemas.openxmlformats.org/officeDocument/2006/relationships/hyperlink" Target="https://taxation-customs.ec.europa.eu/carbon-border-adjustment-mechanism_en" TargetMode="External"/><Relationship Id="rId63" Type="http://schemas.openxmlformats.org/officeDocument/2006/relationships/hyperlink" Target="https://www.mybmp.com.au/What_is_different.aspx" TargetMode="External"/><Relationship Id="rId68" Type="http://schemas.openxmlformats.org/officeDocument/2006/relationships/hyperlink" Target="https://saiplatform.org/who-we-are"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dfat.gov.au/trade/agreements/in-force/aanzfta/asean-australia-new-zealand-free-trade-agreement" TargetMode="External"/><Relationship Id="rId11" Type="http://schemas.openxmlformats.org/officeDocument/2006/relationships/image" Target="media/image1.png"/><Relationship Id="rId24" Type="http://schemas.openxmlformats.org/officeDocument/2006/relationships/hyperlink" Target="https://sdgs.un.org/goals" TargetMode="External"/><Relationship Id="rId32" Type="http://schemas.openxmlformats.org/officeDocument/2006/relationships/hyperlink" Target="https://www.dfat.gov.au/trade/agreements/in-force/a-hkfta/Pages/default" TargetMode="External"/><Relationship Id="rId37" Type="http://schemas.openxmlformats.org/officeDocument/2006/relationships/hyperlink" Target="https://www.dcceew.gov.au/environment/biodiversity/international/un-convention-biological-diversity/global-biodiversity-framework" TargetMode="External"/><Relationship Id="rId40" Type="http://schemas.openxmlformats.org/officeDocument/2006/relationships/hyperlink" Target="https://www.dfat.gov.au/geo/singapore/singapore-australia-green-economy-agreement" TargetMode="External"/><Relationship Id="rId45" Type="http://schemas.openxmlformats.org/officeDocument/2006/relationships/hyperlink" Target="https://www.dfat.gov.au/trade/agreements/in-force/chafta/australia-china-fta" TargetMode="External"/><Relationship Id="rId53" Type="http://schemas.openxmlformats.org/officeDocument/2006/relationships/hyperlink" Target="https://www.globalgap.org/about" TargetMode="External"/><Relationship Id="rId58" Type="http://schemas.openxmlformats.org/officeDocument/2006/relationships/hyperlink" Target="https://www.iscc-system.org/certification/iscc-certification-schemes" TargetMode="External"/><Relationship Id="rId66" Type="http://schemas.openxmlformats.org/officeDocument/2006/relationships/hyperlink" Target="https://www.sheepsustainabilityframework.com.au" TargetMode="External"/><Relationship Id="rId5" Type="http://schemas.openxmlformats.org/officeDocument/2006/relationships/numbering" Target="numbering.xml"/><Relationship Id="rId61" Type="http://schemas.openxmlformats.org/officeDocument/2006/relationships/hyperlink" Target="https://www.msc.org/en-au/for-business/supply-chain/why-get-your-business-msc-certified" TargetMode="External"/><Relationship Id="rId19" Type="http://schemas.openxmlformats.org/officeDocument/2006/relationships/footer" Target="footer2.xml"/><Relationship Id="rId14" Type="http://schemas.openxmlformats.org/officeDocument/2006/relationships/hyperlink" Target="https://haveyoursay.agriculture.gov.au/sustainability-claims" TargetMode="External"/><Relationship Id="rId22" Type="http://schemas.openxmlformats.org/officeDocument/2006/relationships/hyperlink" Target="https://haveyoursay.agriculture.gov.au/sustainability-claims" TargetMode="External"/><Relationship Id="rId27" Type="http://schemas.openxmlformats.org/officeDocument/2006/relationships/hyperlink" Target="https://www.iso.org/obp/ui/" TargetMode="External"/><Relationship Id="rId30" Type="http://schemas.openxmlformats.org/officeDocument/2006/relationships/hyperlink" Target="https://www.dfat.gov.au/trade/agreements/in-force/aanzfta/asean-australia-new-zealand-free-trade-agreement" TargetMode="External"/><Relationship Id="rId35" Type="http://schemas.openxmlformats.org/officeDocument/2006/relationships/hyperlink" Target="https://crdc.com.au/publications/australian-cotton-sustainability-update-2023" TargetMode="External"/><Relationship Id="rId43" Type="http://schemas.openxmlformats.org/officeDocument/2006/relationships/hyperlink" Target="https://www.dfat.gov.au/trade/agreements/in-force/ausfta/australia-united-states-fta" TargetMode="External"/><Relationship Id="rId48" Type="http://schemas.openxmlformats.org/officeDocument/2006/relationships/hyperlink" Target="https://finance.ec.europa.eu/capital-markets-union-and-financial-markets/company-reporting-and-auditing/company-reporting/corporate-sustainability-reporting_en" TargetMode="External"/><Relationship Id="rId56" Type="http://schemas.openxmlformats.org/officeDocument/2006/relationships/hyperlink" Target="https://www.horticulture.com.au/hort-innovation/our-work/horticulture-sustainability-framework" TargetMode="External"/><Relationship Id="rId64" Type="http://schemas.openxmlformats.org/officeDocument/2006/relationships/hyperlink" Target="https://regenagri.org/why-regenagri" TargetMode="External"/><Relationship Id="rId69" Type="http://schemas.openxmlformats.org/officeDocument/2006/relationships/hyperlink" Target="https://unfccc.int/process-and-meetings/the-paris-agreement" TargetMode="External"/><Relationship Id="rId8" Type="http://schemas.openxmlformats.org/officeDocument/2006/relationships/webSettings" Target="webSettings.xml"/><Relationship Id="rId51" Type="http://schemas.openxmlformats.org/officeDocument/2006/relationships/hyperlink" Target="https://commission.europa.eu/strategy-and-policy/priorities-2019-2024/european-green-deal_e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hyperlink" Target="https://www.iso.org/obp/ui/" TargetMode="External"/><Relationship Id="rId33" Type="http://schemas.openxmlformats.org/officeDocument/2006/relationships/hyperlink" Target="https://www.dfat.gov.au/trade/agreements/in-force/australia-india-ecta" TargetMode="External"/><Relationship Id="rId38" Type="http://schemas.openxmlformats.org/officeDocument/2006/relationships/hyperlink" Target="https://www.dfat.gov.au/trade/organisations/wto-g20-oecd-apec/indo-pacific-economic-framework" TargetMode="External"/><Relationship Id="rId46" Type="http://schemas.openxmlformats.org/officeDocument/2006/relationships/hyperlink" Target="https://www.dfat.gov.au/trade/agreements/in-force/cptpp/comprehensive-and-progressive-agreement-for-trans-pacific-partnership" TargetMode="External"/><Relationship Id="rId59" Type="http://schemas.openxmlformats.org/officeDocument/2006/relationships/hyperlink" Target="https://www.dfat.gov.au/trade/agreements/in-force/jaepa/japan-australia-economic-partnership-agreement" TargetMode="External"/><Relationship Id="rId67" Type="http://schemas.openxmlformats.org/officeDocument/2006/relationships/hyperlink" Target="https://www.dfat.gov.au/trade/agreements/in-force/safta/singapore-australia-fta" TargetMode="External"/><Relationship Id="rId20" Type="http://schemas.openxmlformats.org/officeDocument/2006/relationships/header" Target="header3.xml"/><Relationship Id="rId41" Type="http://schemas.openxmlformats.org/officeDocument/2006/relationships/hyperlink" Target="https://www.dfat.gov.au/trade/agreements/in-force/aukfta" TargetMode="External"/><Relationship Id="rId54" Type="http://schemas.openxmlformats.org/officeDocument/2006/relationships/hyperlink" Target="https://www.graingrowers.com.au/news/australian-grains-industry-sustainability-framework" TargetMode="External"/><Relationship Id="rId62" Type="http://schemas.openxmlformats.org/officeDocument/2006/relationships/hyperlink" Target="https://www.maff.go.jp/e/policies/standard/jas" TargetMode="External"/><Relationship Id="rId70" Type="http://schemas.openxmlformats.org/officeDocument/2006/relationships/hyperlink" Target="https://www.cbp.gov/trade/green-trade-strateg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 TargetMode="External"/><Relationship Id="rId23" Type="http://schemas.openxmlformats.org/officeDocument/2006/relationships/hyperlink" Target="mailto:credentials.innovation@aff.gov.au" TargetMode="External"/><Relationship Id="rId28" Type="http://schemas.openxmlformats.org/officeDocument/2006/relationships/hyperlink" Target="https://www.iso.org/obp/ui/" TargetMode="External"/><Relationship Id="rId36" Type="http://schemas.openxmlformats.org/officeDocument/2006/relationships/hyperlink" Target="https://www.dairy.com.au/sustainability/australian-dairy-sustainability-framework" TargetMode="External"/><Relationship Id="rId49" Type="http://schemas.openxmlformats.org/officeDocument/2006/relationships/hyperlink" Target="https://food.ec.europa.eu/horizontal-topics/farm-fork-strategy_en" TargetMode="External"/><Relationship Id="rId57" Type="http://schemas.openxmlformats.org/officeDocument/2006/relationships/hyperlink" Target="https://www.dfat.gov.au/trade/agreements/in-force/iacepa/indonesia-australia-comprehensive-economic-partnership-agreement" TargetMode="External"/><Relationship Id="rId10" Type="http://schemas.openxmlformats.org/officeDocument/2006/relationships/endnotes" Target="endnotes.xml"/><Relationship Id="rId31" Type="http://schemas.openxmlformats.org/officeDocument/2006/relationships/hyperlink" Target="https://www.apec.org/groups/other-groups/sustainable-development" TargetMode="External"/><Relationship Id="rId44" Type="http://schemas.openxmlformats.org/officeDocument/2006/relationships/hyperlink" Target="https://bettercotton.org/traceability" TargetMode="External"/><Relationship Id="rId52" Type="http://schemas.openxmlformats.org/officeDocument/2006/relationships/hyperlink" Target="https://www.fairtrade.net/en/why-fairtrade/what-we-do/what-is-fairtrade.html" TargetMode="External"/><Relationship Id="rId60" Type="http://schemas.openxmlformats.org/officeDocument/2006/relationships/hyperlink" Target="https://www.dfat.gov.au/trade/agreements/in-force/kafta/korea-australia-fta" TargetMode="External"/><Relationship Id="rId65" Type="http://schemas.openxmlformats.org/officeDocument/2006/relationships/hyperlink" Target="https://www.sedex.com/what-we-do-at-sede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https://www.australianwoolsustainability.com.au/About" TargetMode="External"/><Relationship Id="rId34" Type="http://schemas.openxmlformats.org/officeDocument/2006/relationships/hyperlink" Target="https://www.sustainableaustralianbeef.com.au/resources/annual-update" TargetMode="External"/><Relationship Id="rId50" Type="http://schemas.openxmlformats.org/officeDocument/2006/relationships/hyperlink" Target="https://environment.ec.europa.eu/topics/forests/deforestation/regulation-deforestation-free-products_en" TargetMode="External"/><Relationship Id="rId55" Type="http://schemas.openxmlformats.org/officeDocument/2006/relationships/hyperlink" Target="https://www.congress.gov/bill/117th-congress/house-bill/1155/text" TargetMode="External"/><Relationship Id="rId7" Type="http://schemas.openxmlformats.org/officeDocument/2006/relationships/settings" Target="settings.xml"/><Relationship Id="rId71" Type="http://schemas.openxmlformats.org/officeDocument/2006/relationships/hyperlink" Target="https://www.sec.gov/files/33-11275-fact-shee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4fs02\parliamentmedia$\ParliamentMedia\Corporate%20Communications\Production\Editors\Templates\Current%20templates%20on%20L\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Comment xmlns="55cae054-54c3-44a4-b450-a745c3ed0588">AS approved, 26/11/2024</Comment>
    <Officer xmlns="55cae054-54c3-44a4-b450-a745c3ed0588">
      <UserInfo>
        <DisplayName/>
        <AccountId xsi:nil="true"/>
        <AccountType/>
      </UserInfo>
    </Officer>
    <Status xmlns="55cae054-54c3-44a4-b450-a745c3ed0588">FINAL</Status>
    <_Flow_SignoffStatus xmlns="55cae054-54c3-44a4-b450-a745c3ed0588">AS approved, 26/11/2024</_Flow_SignoffStatus>
    <_x0043_M9 xmlns="55cae054-54c3-44a4-b450-a745c3ed0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24" ma:contentTypeDescription="Create a new document." ma:contentTypeScope="" ma:versionID="6887e12116af21457a6fbad4f4812cfe">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ca8b5b3d12510b46cc308b33d4722322"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tatus" minOccurs="0"/>
                <xsd:element ref="ns2:Officer" minOccurs="0"/>
                <xsd:element ref="ns2:MediaServiceObjectDetectorVersions" minOccurs="0"/>
                <xsd:element ref="ns2:_Flow_SignoffStatus" minOccurs="0"/>
                <xsd:element ref="ns2:MediaLengthInSeconds" minOccurs="0"/>
                <xsd:element ref="ns2:Comment" minOccurs="0"/>
                <xsd:element ref="ns2:MediaServiceSearchProperties" minOccurs="0"/>
                <xsd:element ref="ns2:MediaServiceBillingMetadata" minOccurs="0"/>
                <xsd:element ref="ns2:_x0043_M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tatus" ma:index="22" nillable="true" ma:displayName="Status" ma:format="Dropdown" ma:internalName="Status">
      <xsd:simpleType>
        <xsd:union memberTypes="dms:Text">
          <xsd:simpleType>
            <xsd:restriction base="dms:Choice">
              <xsd:enumeration value="Draft"/>
              <xsd:enumeration value="FINAL"/>
              <xsd:enumeration value="For clearance"/>
              <xsd:enumeration value="Cleared"/>
              <xsd:enumeration value="Reviewed - needs addressing"/>
              <xsd:enumeration value="Master"/>
              <xsd:enumeration value="Superseded"/>
              <xsd:enumeration value="Template"/>
              <xsd:enumeration value="Email"/>
              <xsd:enumeration value="Living document"/>
              <xsd:enumeration value="Completed"/>
              <xsd:enumeration value="Working document"/>
              <xsd:enumeration value="Attachment"/>
              <xsd:enumeration value="Shortcut or Link"/>
            </xsd:restriction>
          </xsd:simpleType>
        </xsd:union>
      </xsd:simpleType>
    </xsd:element>
    <xsd:element name="Officer" ma:index="23" nillable="true" ma:displayName="Officer" ma:format="Dropdown" ma:list="UserInfo" ma:SharePointGroup="0" ma:internalNam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Comment" ma:index="27" nillable="true" ma:displayName="Comment" ma:format="Dropdown" ma:internalName="Comment">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_x0043_M9" ma:index="30" nillable="true" ma:displayName="CM9" ma:format="Dropdown" ma:internalName="_x0043_M9">
      <xsd:simpleType>
        <xsd:restriction base="dms:Choice">
          <xsd:enumeration value="Filed"/>
          <xsd:enumeration value="To be filed"/>
          <xsd:enumeration value="(new)"/>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b0d2625-a447-46d9-b39a-97dab4b21a58}"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65038-C177-4602-B104-760F49902F6F}">
  <ds:schemaRefs>
    <ds:schemaRef ds:uri="http://purl.org/dc/dcmitype/"/>
    <ds:schemaRef ds:uri="55cae054-54c3-44a4-b450-a745c3ed0588"/>
    <ds:schemaRef ds:uri="http://schemas.microsoft.com/office/2006/metadata/properties"/>
    <ds:schemaRef ds:uri="http://schemas.microsoft.com/office/infopath/2007/PartnerControls"/>
    <ds:schemaRef ds:uri="http://purl.org/dc/elements/1.1/"/>
    <ds:schemaRef ds:uri="1a2715dd-1484-49e7-9dee-61312147b4a5"/>
    <ds:schemaRef ds:uri="http://purl.org/dc/terms/"/>
    <ds:schemaRef ds:uri="http://schemas.microsoft.com/office/2006/documentManagement/types"/>
    <ds:schemaRef ds:uri="http://schemas.openxmlformats.org/package/2006/metadata/core-properties"/>
    <ds:schemaRef ds:uri="81c01dc6-2c49-4730-b140-874c95cac377"/>
    <ds:schemaRef ds:uri="http://www.w3.org/XML/1998/namespace"/>
  </ds:schemaRefs>
</ds:datastoreItem>
</file>

<file path=customXml/itemProps2.xml><?xml version="1.0" encoding="utf-8"?>
<ds:datastoreItem xmlns:ds="http://schemas.openxmlformats.org/officeDocument/2006/customXml" ds:itemID="{9A65EBB0-7A67-4D8C-9BFC-21E4FD5E5CFE}">
  <ds:schemaRefs>
    <ds:schemaRef ds:uri="http://schemas.microsoft.com/sharepoint/v3/contenttype/forms"/>
  </ds:schemaRefs>
</ds:datastoreItem>
</file>

<file path=customXml/itemProps3.xml><?xml version="1.0" encoding="utf-8"?>
<ds:datastoreItem xmlns:ds="http://schemas.openxmlformats.org/officeDocument/2006/customXml" ds:itemID="{BE587A08-57C8-4821-995F-97F8431F026E}">
  <ds:schemaRefs>
    <ds:schemaRef ds:uri="http://schemas.openxmlformats.org/officeDocument/2006/bibliography"/>
  </ds:schemaRefs>
</ds:datastoreItem>
</file>

<file path=customXml/itemProps4.xml><?xml version="1.0" encoding="utf-8"?>
<ds:datastoreItem xmlns:ds="http://schemas.openxmlformats.org/officeDocument/2006/customXml" ds:itemID="{4531D00D-FA39-401E-8DC1-88C7F42C6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1</TotalTime>
  <Pages>31</Pages>
  <Words>11091</Words>
  <Characters>63224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Assuring agricultural sustainability claims: discussion paper</vt:lpstr>
    </vt:vector>
  </TitlesOfParts>
  <Manager/>
  <Company/>
  <LinksUpToDate>false</LinksUpToDate>
  <CharactersWithSpaces>74167</CharactersWithSpaces>
  <SharedDoc>false</SharedDoc>
  <HyperlinkBase/>
  <HLinks>
    <vt:vector size="378" baseType="variant">
      <vt:variant>
        <vt:i4>458830</vt:i4>
      </vt:variant>
      <vt:variant>
        <vt:i4>375</vt:i4>
      </vt:variant>
      <vt:variant>
        <vt:i4>0</vt:i4>
      </vt:variant>
      <vt:variant>
        <vt:i4>5</vt:i4>
      </vt:variant>
      <vt:variant>
        <vt:lpwstr>https://www.iso.org/obp/ui/</vt:lpwstr>
      </vt:variant>
      <vt:variant>
        <vt:lpwstr>iso:std:iso:9000:ed-4:v1:en:term:3.6.4</vt:lpwstr>
      </vt:variant>
      <vt:variant>
        <vt:i4>917582</vt:i4>
      </vt:variant>
      <vt:variant>
        <vt:i4>372</vt:i4>
      </vt:variant>
      <vt:variant>
        <vt:i4>0</vt:i4>
      </vt:variant>
      <vt:variant>
        <vt:i4>5</vt:i4>
      </vt:variant>
      <vt:variant>
        <vt:lpwstr>https://www.iso.org/obp/ui/</vt:lpwstr>
      </vt:variant>
      <vt:variant>
        <vt:lpwstr>iso:std:iso:9000:ed-4:v1:en:term:3.8.3</vt:lpwstr>
      </vt:variant>
      <vt:variant>
        <vt:i4>458830</vt:i4>
      </vt:variant>
      <vt:variant>
        <vt:i4>369</vt:i4>
      </vt:variant>
      <vt:variant>
        <vt:i4>0</vt:i4>
      </vt:variant>
      <vt:variant>
        <vt:i4>5</vt:i4>
      </vt:variant>
      <vt:variant>
        <vt:lpwstr>https://www.iso.org/obp/ui/</vt:lpwstr>
      </vt:variant>
      <vt:variant>
        <vt:lpwstr>iso:std:iso:9000:ed-4:v1:en:term:3.6.4</vt:lpwstr>
      </vt:variant>
      <vt:variant>
        <vt:i4>917582</vt:i4>
      </vt:variant>
      <vt:variant>
        <vt:i4>366</vt:i4>
      </vt:variant>
      <vt:variant>
        <vt:i4>0</vt:i4>
      </vt:variant>
      <vt:variant>
        <vt:i4>5</vt:i4>
      </vt:variant>
      <vt:variant>
        <vt:lpwstr>https://www.iso.org/obp/ui/</vt:lpwstr>
      </vt:variant>
      <vt:variant>
        <vt:lpwstr>iso:std:iso:9000:ed-4:v1:en:term:3.8.3</vt:lpwstr>
      </vt:variant>
      <vt:variant>
        <vt:i4>196634</vt:i4>
      </vt:variant>
      <vt:variant>
        <vt:i4>363</vt:i4>
      </vt:variant>
      <vt:variant>
        <vt:i4>0</vt:i4>
      </vt:variant>
      <vt:variant>
        <vt:i4>5</vt:i4>
      </vt:variant>
      <vt:variant>
        <vt:lpwstr>https://sdgs.un.org/goals</vt:lpwstr>
      </vt:variant>
      <vt:variant>
        <vt:lpwstr/>
      </vt:variant>
      <vt:variant>
        <vt:i4>1572916</vt:i4>
      </vt:variant>
      <vt:variant>
        <vt:i4>347</vt:i4>
      </vt:variant>
      <vt:variant>
        <vt:i4>0</vt:i4>
      </vt:variant>
      <vt:variant>
        <vt:i4>5</vt:i4>
      </vt:variant>
      <vt:variant>
        <vt:lpwstr/>
      </vt:variant>
      <vt:variant>
        <vt:lpwstr>_Toc163229424</vt:lpwstr>
      </vt:variant>
      <vt:variant>
        <vt:i4>1507385</vt:i4>
      </vt:variant>
      <vt:variant>
        <vt:i4>338</vt:i4>
      </vt:variant>
      <vt:variant>
        <vt:i4>0</vt:i4>
      </vt:variant>
      <vt:variant>
        <vt:i4>5</vt:i4>
      </vt:variant>
      <vt:variant>
        <vt:lpwstr/>
      </vt:variant>
      <vt:variant>
        <vt:lpwstr>_Toc163231851</vt:lpwstr>
      </vt:variant>
      <vt:variant>
        <vt:i4>1507385</vt:i4>
      </vt:variant>
      <vt:variant>
        <vt:i4>332</vt:i4>
      </vt:variant>
      <vt:variant>
        <vt:i4>0</vt:i4>
      </vt:variant>
      <vt:variant>
        <vt:i4>5</vt:i4>
      </vt:variant>
      <vt:variant>
        <vt:lpwstr/>
      </vt:variant>
      <vt:variant>
        <vt:lpwstr>_Toc163231850</vt:lpwstr>
      </vt:variant>
      <vt:variant>
        <vt:i4>1441849</vt:i4>
      </vt:variant>
      <vt:variant>
        <vt:i4>326</vt:i4>
      </vt:variant>
      <vt:variant>
        <vt:i4>0</vt:i4>
      </vt:variant>
      <vt:variant>
        <vt:i4>5</vt:i4>
      </vt:variant>
      <vt:variant>
        <vt:lpwstr/>
      </vt:variant>
      <vt:variant>
        <vt:lpwstr>_Toc163231849</vt:lpwstr>
      </vt:variant>
      <vt:variant>
        <vt:i4>1441849</vt:i4>
      </vt:variant>
      <vt:variant>
        <vt:i4>320</vt:i4>
      </vt:variant>
      <vt:variant>
        <vt:i4>0</vt:i4>
      </vt:variant>
      <vt:variant>
        <vt:i4>5</vt:i4>
      </vt:variant>
      <vt:variant>
        <vt:lpwstr/>
      </vt:variant>
      <vt:variant>
        <vt:lpwstr>_Toc163231848</vt:lpwstr>
      </vt:variant>
      <vt:variant>
        <vt:i4>1441849</vt:i4>
      </vt:variant>
      <vt:variant>
        <vt:i4>314</vt:i4>
      </vt:variant>
      <vt:variant>
        <vt:i4>0</vt:i4>
      </vt:variant>
      <vt:variant>
        <vt:i4>5</vt:i4>
      </vt:variant>
      <vt:variant>
        <vt:lpwstr/>
      </vt:variant>
      <vt:variant>
        <vt:lpwstr>_Toc163231847</vt:lpwstr>
      </vt:variant>
      <vt:variant>
        <vt:i4>1441849</vt:i4>
      </vt:variant>
      <vt:variant>
        <vt:i4>308</vt:i4>
      </vt:variant>
      <vt:variant>
        <vt:i4>0</vt:i4>
      </vt:variant>
      <vt:variant>
        <vt:i4>5</vt:i4>
      </vt:variant>
      <vt:variant>
        <vt:lpwstr/>
      </vt:variant>
      <vt:variant>
        <vt:lpwstr>_Toc163231846</vt:lpwstr>
      </vt:variant>
      <vt:variant>
        <vt:i4>1441849</vt:i4>
      </vt:variant>
      <vt:variant>
        <vt:i4>302</vt:i4>
      </vt:variant>
      <vt:variant>
        <vt:i4>0</vt:i4>
      </vt:variant>
      <vt:variant>
        <vt:i4>5</vt:i4>
      </vt:variant>
      <vt:variant>
        <vt:lpwstr/>
      </vt:variant>
      <vt:variant>
        <vt:lpwstr>_Toc163231845</vt:lpwstr>
      </vt:variant>
      <vt:variant>
        <vt:i4>1441849</vt:i4>
      </vt:variant>
      <vt:variant>
        <vt:i4>296</vt:i4>
      </vt:variant>
      <vt:variant>
        <vt:i4>0</vt:i4>
      </vt:variant>
      <vt:variant>
        <vt:i4>5</vt:i4>
      </vt:variant>
      <vt:variant>
        <vt:lpwstr/>
      </vt:variant>
      <vt:variant>
        <vt:lpwstr>_Toc163231844</vt:lpwstr>
      </vt:variant>
      <vt:variant>
        <vt:i4>1441849</vt:i4>
      </vt:variant>
      <vt:variant>
        <vt:i4>290</vt:i4>
      </vt:variant>
      <vt:variant>
        <vt:i4>0</vt:i4>
      </vt:variant>
      <vt:variant>
        <vt:i4>5</vt:i4>
      </vt:variant>
      <vt:variant>
        <vt:lpwstr/>
      </vt:variant>
      <vt:variant>
        <vt:lpwstr>_Toc163231843</vt:lpwstr>
      </vt:variant>
      <vt:variant>
        <vt:i4>1441849</vt:i4>
      </vt:variant>
      <vt:variant>
        <vt:i4>284</vt:i4>
      </vt:variant>
      <vt:variant>
        <vt:i4>0</vt:i4>
      </vt:variant>
      <vt:variant>
        <vt:i4>5</vt:i4>
      </vt:variant>
      <vt:variant>
        <vt:lpwstr/>
      </vt:variant>
      <vt:variant>
        <vt:lpwstr>_Toc163231842</vt:lpwstr>
      </vt:variant>
      <vt:variant>
        <vt:i4>1441849</vt:i4>
      </vt:variant>
      <vt:variant>
        <vt:i4>278</vt:i4>
      </vt:variant>
      <vt:variant>
        <vt:i4>0</vt:i4>
      </vt:variant>
      <vt:variant>
        <vt:i4>5</vt:i4>
      </vt:variant>
      <vt:variant>
        <vt:lpwstr/>
      </vt:variant>
      <vt:variant>
        <vt:lpwstr>_Toc163231841</vt:lpwstr>
      </vt:variant>
      <vt:variant>
        <vt:i4>1310781</vt:i4>
      </vt:variant>
      <vt:variant>
        <vt:i4>269</vt:i4>
      </vt:variant>
      <vt:variant>
        <vt:i4>0</vt:i4>
      </vt:variant>
      <vt:variant>
        <vt:i4>5</vt:i4>
      </vt:variant>
      <vt:variant>
        <vt:lpwstr/>
      </vt:variant>
      <vt:variant>
        <vt:lpwstr>_Toc164080052</vt:lpwstr>
      </vt:variant>
      <vt:variant>
        <vt:i4>1245232</vt:i4>
      </vt:variant>
      <vt:variant>
        <vt:i4>260</vt:i4>
      </vt:variant>
      <vt:variant>
        <vt:i4>0</vt:i4>
      </vt:variant>
      <vt:variant>
        <vt:i4>5</vt:i4>
      </vt:variant>
      <vt:variant>
        <vt:lpwstr/>
      </vt:variant>
      <vt:variant>
        <vt:lpwstr>_Toc163229091</vt:lpwstr>
      </vt:variant>
      <vt:variant>
        <vt:i4>1245232</vt:i4>
      </vt:variant>
      <vt:variant>
        <vt:i4>254</vt:i4>
      </vt:variant>
      <vt:variant>
        <vt:i4>0</vt:i4>
      </vt:variant>
      <vt:variant>
        <vt:i4>5</vt:i4>
      </vt:variant>
      <vt:variant>
        <vt:lpwstr/>
      </vt:variant>
      <vt:variant>
        <vt:lpwstr>_Toc163229090</vt:lpwstr>
      </vt:variant>
      <vt:variant>
        <vt:i4>1179696</vt:i4>
      </vt:variant>
      <vt:variant>
        <vt:i4>248</vt:i4>
      </vt:variant>
      <vt:variant>
        <vt:i4>0</vt:i4>
      </vt:variant>
      <vt:variant>
        <vt:i4>5</vt:i4>
      </vt:variant>
      <vt:variant>
        <vt:lpwstr/>
      </vt:variant>
      <vt:variant>
        <vt:lpwstr>_Toc163229089</vt:lpwstr>
      </vt:variant>
      <vt:variant>
        <vt:i4>1507378</vt:i4>
      </vt:variant>
      <vt:variant>
        <vt:i4>239</vt:i4>
      </vt:variant>
      <vt:variant>
        <vt:i4>0</vt:i4>
      </vt:variant>
      <vt:variant>
        <vt:i4>5</vt:i4>
      </vt:variant>
      <vt:variant>
        <vt:lpwstr/>
      </vt:variant>
      <vt:variant>
        <vt:lpwstr>_Toc163235315</vt:lpwstr>
      </vt:variant>
      <vt:variant>
        <vt:i4>1507378</vt:i4>
      </vt:variant>
      <vt:variant>
        <vt:i4>233</vt:i4>
      </vt:variant>
      <vt:variant>
        <vt:i4>0</vt:i4>
      </vt:variant>
      <vt:variant>
        <vt:i4>5</vt:i4>
      </vt:variant>
      <vt:variant>
        <vt:lpwstr/>
      </vt:variant>
      <vt:variant>
        <vt:lpwstr>_Toc163235314</vt:lpwstr>
      </vt:variant>
      <vt:variant>
        <vt:i4>1507378</vt:i4>
      </vt:variant>
      <vt:variant>
        <vt:i4>227</vt:i4>
      </vt:variant>
      <vt:variant>
        <vt:i4>0</vt:i4>
      </vt:variant>
      <vt:variant>
        <vt:i4>5</vt:i4>
      </vt:variant>
      <vt:variant>
        <vt:lpwstr/>
      </vt:variant>
      <vt:variant>
        <vt:lpwstr>_Toc163235313</vt:lpwstr>
      </vt:variant>
      <vt:variant>
        <vt:i4>1507378</vt:i4>
      </vt:variant>
      <vt:variant>
        <vt:i4>221</vt:i4>
      </vt:variant>
      <vt:variant>
        <vt:i4>0</vt:i4>
      </vt:variant>
      <vt:variant>
        <vt:i4>5</vt:i4>
      </vt:variant>
      <vt:variant>
        <vt:lpwstr/>
      </vt:variant>
      <vt:variant>
        <vt:lpwstr>_Toc163235312</vt:lpwstr>
      </vt:variant>
      <vt:variant>
        <vt:i4>1507378</vt:i4>
      </vt:variant>
      <vt:variant>
        <vt:i4>215</vt:i4>
      </vt:variant>
      <vt:variant>
        <vt:i4>0</vt:i4>
      </vt:variant>
      <vt:variant>
        <vt:i4>5</vt:i4>
      </vt:variant>
      <vt:variant>
        <vt:lpwstr/>
      </vt:variant>
      <vt:variant>
        <vt:lpwstr>_Toc163235311</vt:lpwstr>
      </vt:variant>
      <vt:variant>
        <vt:i4>1507378</vt:i4>
      </vt:variant>
      <vt:variant>
        <vt:i4>209</vt:i4>
      </vt:variant>
      <vt:variant>
        <vt:i4>0</vt:i4>
      </vt:variant>
      <vt:variant>
        <vt:i4>5</vt:i4>
      </vt:variant>
      <vt:variant>
        <vt:lpwstr/>
      </vt:variant>
      <vt:variant>
        <vt:lpwstr>_Toc163235310</vt:lpwstr>
      </vt:variant>
      <vt:variant>
        <vt:i4>1441842</vt:i4>
      </vt:variant>
      <vt:variant>
        <vt:i4>203</vt:i4>
      </vt:variant>
      <vt:variant>
        <vt:i4>0</vt:i4>
      </vt:variant>
      <vt:variant>
        <vt:i4>5</vt:i4>
      </vt:variant>
      <vt:variant>
        <vt:lpwstr/>
      </vt:variant>
      <vt:variant>
        <vt:lpwstr>_Toc163235309</vt:lpwstr>
      </vt:variant>
      <vt:variant>
        <vt:i4>1441842</vt:i4>
      </vt:variant>
      <vt:variant>
        <vt:i4>197</vt:i4>
      </vt:variant>
      <vt:variant>
        <vt:i4>0</vt:i4>
      </vt:variant>
      <vt:variant>
        <vt:i4>5</vt:i4>
      </vt:variant>
      <vt:variant>
        <vt:lpwstr/>
      </vt:variant>
      <vt:variant>
        <vt:lpwstr>_Toc163235308</vt:lpwstr>
      </vt:variant>
      <vt:variant>
        <vt:i4>1441842</vt:i4>
      </vt:variant>
      <vt:variant>
        <vt:i4>191</vt:i4>
      </vt:variant>
      <vt:variant>
        <vt:i4>0</vt:i4>
      </vt:variant>
      <vt:variant>
        <vt:i4>5</vt:i4>
      </vt:variant>
      <vt:variant>
        <vt:lpwstr/>
      </vt:variant>
      <vt:variant>
        <vt:lpwstr>_Toc163235307</vt:lpwstr>
      </vt:variant>
      <vt:variant>
        <vt:i4>1441842</vt:i4>
      </vt:variant>
      <vt:variant>
        <vt:i4>185</vt:i4>
      </vt:variant>
      <vt:variant>
        <vt:i4>0</vt:i4>
      </vt:variant>
      <vt:variant>
        <vt:i4>5</vt:i4>
      </vt:variant>
      <vt:variant>
        <vt:lpwstr/>
      </vt:variant>
      <vt:variant>
        <vt:lpwstr>_Toc163235306</vt:lpwstr>
      </vt:variant>
      <vt:variant>
        <vt:i4>1441842</vt:i4>
      </vt:variant>
      <vt:variant>
        <vt:i4>179</vt:i4>
      </vt:variant>
      <vt:variant>
        <vt:i4>0</vt:i4>
      </vt:variant>
      <vt:variant>
        <vt:i4>5</vt:i4>
      </vt:variant>
      <vt:variant>
        <vt:lpwstr/>
      </vt:variant>
      <vt:variant>
        <vt:lpwstr>_Toc163235305</vt:lpwstr>
      </vt:variant>
      <vt:variant>
        <vt:i4>1441842</vt:i4>
      </vt:variant>
      <vt:variant>
        <vt:i4>173</vt:i4>
      </vt:variant>
      <vt:variant>
        <vt:i4>0</vt:i4>
      </vt:variant>
      <vt:variant>
        <vt:i4>5</vt:i4>
      </vt:variant>
      <vt:variant>
        <vt:lpwstr/>
      </vt:variant>
      <vt:variant>
        <vt:lpwstr>_Toc163235304</vt:lpwstr>
      </vt:variant>
      <vt:variant>
        <vt:i4>1441842</vt:i4>
      </vt:variant>
      <vt:variant>
        <vt:i4>167</vt:i4>
      </vt:variant>
      <vt:variant>
        <vt:i4>0</vt:i4>
      </vt:variant>
      <vt:variant>
        <vt:i4>5</vt:i4>
      </vt:variant>
      <vt:variant>
        <vt:lpwstr/>
      </vt:variant>
      <vt:variant>
        <vt:lpwstr>_Toc163235303</vt:lpwstr>
      </vt:variant>
      <vt:variant>
        <vt:i4>1441842</vt:i4>
      </vt:variant>
      <vt:variant>
        <vt:i4>161</vt:i4>
      </vt:variant>
      <vt:variant>
        <vt:i4>0</vt:i4>
      </vt:variant>
      <vt:variant>
        <vt:i4>5</vt:i4>
      </vt:variant>
      <vt:variant>
        <vt:lpwstr/>
      </vt:variant>
      <vt:variant>
        <vt:lpwstr>_Toc163235302</vt:lpwstr>
      </vt:variant>
      <vt:variant>
        <vt:i4>1441842</vt:i4>
      </vt:variant>
      <vt:variant>
        <vt:i4>155</vt:i4>
      </vt:variant>
      <vt:variant>
        <vt:i4>0</vt:i4>
      </vt:variant>
      <vt:variant>
        <vt:i4>5</vt:i4>
      </vt:variant>
      <vt:variant>
        <vt:lpwstr/>
      </vt:variant>
      <vt:variant>
        <vt:lpwstr>_Toc163235301</vt:lpwstr>
      </vt:variant>
      <vt:variant>
        <vt:i4>1441842</vt:i4>
      </vt:variant>
      <vt:variant>
        <vt:i4>149</vt:i4>
      </vt:variant>
      <vt:variant>
        <vt:i4>0</vt:i4>
      </vt:variant>
      <vt:variant>
        <vt:i4>5</vt:i4>
      </vt:variant>
      <vt:variant>
        <vt:lpwstr/>
      </vt:variant>
      <vt:variant>
        <vt:lpwstr>_Toc163235300</vt:lpwstr>
      </vt:variant>
      <vt:variant>
        <vt:i4>2031667</vt:i4>
      </vt:variant>
      <vt:variant>
        <vt:i4>143</vt:i4>
      </vt:variant>
      <vt:variant>
        <vt:i4>0</vt:i4>
      </vt:variant>
      <vt:variant>
        <vt:i4>5</vt:i4>
      </vt:variant>
      <vt:variant>
        <vt:lpwstr/>
      </vt:variant>
      <vt:variant>
        <vt:lpwstr>_Toc163235299</vt:lpwstr>
      </vt:variant>
      <vt:variant>
        <vt:i4>2031667</vt:i4>
      </vt:variant>
      <vt:variant>
        <vt:i4>137</vt:i4>
      </vt:variant>
      <vt:variant>
        <vt:i4>0</vt:i4>
      </vt:variant>
      <vt:variant>
        <vt:i4>5</vt:i4>
      </vt:variant>
      <vt:variant>
        <vt:lpwstr/>
      </vt:variant>
      <vt:variant>
        <vt:lpwstr>_Toc163235298</vt:lpwstr>
      </vt:variant>
      <vt:variant>
        <vt:i4>2031667</vt:i4>
      </vt:variant>
      <vt:variant>
        <vt:i4>131</vt:i4>
      </vt:variant>
      <vt:variant>
        <vt:i4>0</vt:i4>
      </vt:variant>
      <vt:variant>
        <vt:i4>5</vt:i4>
      </vt:variant>
      <vt:variant>
        <vt:lpwstr/>
      </vt:variant>
      <vt:variant>
        <vt:lpwstr>_Toc163235297</vt:lpwstr>
      </vt:variant>
      <vt:variant>
        <vt:i4>2031667</vt:i4>
      </vt:variant>
      <vt:variant>
        <vt:i4>125</vt:i4>
      </vt:variant>
      <vt:variant>
        <vt:i4>0</vt:i4>
      </vt:variant>
      <vt:variant>
        <vt:i4>5</vt:i4>
      </vt:variant>
      <vt:variant>
        <vt:lpwstr/>
      </vt:variant>
      <vt:variant>
        <vt:lpwstr>_Toc163235296</vt:lpwstr>
      </vt:variant>
      <vt:variant>
        <vt:i4>2031667</vt:i4>
      </vt:variant>
      <vt:variant>
        <vt:i4>119</vt:i4>
      </vt:variant>
      <vt:variant>
        <vt:i4>0</vt:i4>
      </vt:variant>
      <vt:variant>
        <vt:i4>5</vt:i4>
      </vt:variant>
      <vt:variant>
        <vt:lpwstr/>
      </vt:variant>
      <vt:variant>
        <vt:lpwstr>_Toc163235295</vt:lpwstr>
      </vt:variant>
      <vt:variant>
        <vt:i4>2031667</vt:i4>
      </vt:variant>
      <vt:variant>
        <vt:i4>113</vt:i4>
      </vt:variant>
      <vt:variant>
        <vt:i4>0</vt:i4>
      </vt:variant>
      <vt:variant>
        <vt:i4>5</vt:i4>
      </vt:variant>
      <vt:variant>
        <vt:lpwstr/>
      </vt:variant>
      <vt:variant>
        <vt:lpwstr>_Toc163235294</vt:lpwstr>
      </vt:variant>
      <vt:variant>
        <vt:i4>2031667</vt:i4>
      </vt:variant>
      <vt:variant>
        <vt:i4>107</vt:i4>
      </vt:variant>
      <vt:variant>
        <vt:i4>0</vt:i4>
      </vt:variant>
      <vt:variant>
        <vt:i4>5</vt:i4>
      </vt:variant>
      <vt:variant>
        <vt:lpwstr/>
      </vt:variant>
      <vt:variant>
        <vt:lpwstr>_Toc163235293</vt:lpwstr>
      </vt:variant>
      <vt:variant>
        <vt:i4>2031667</vt:i4>
      </vt:variant>
      <vt:variant>
        <vt:i4>101</vt:i4>
      </vt:variant>
      <vt:variant>
        <vt:i4>0</vt:i4>
      </vt:variant>
      <vt:variant>
        <vt:i4>5</vt:i4>
      </vt:variant>
      <vt:variant>
        <vt:lpwstr/>
      </vt:variant>
      <vt:variant>
        <vt:lpwstr>_Toc163235292</vt:lpwstr>
      </vt:variant>
      <vt:variant>
        <vt:i4>2031667</vt:i4>
      </vt:variant>
      <vt:variant>
        <vt:i4>95</vt:i4>
      </vt:variant>
      <vt:variant>
        <vt:i4>0</vt:i4>
      </vt:variant>
      <vt:variant>
        <vt:i4>5</vt:i4>
      </vt:variant>
      <vt:variant>
        <vt:lpwstr/>
      </vt:variant>
      <vt:variant>
        <vt:lpwstr>_Toc163235291</vt:lpwstr>
      </vt:variant>
      <vt:variant>
        <vt:i4>2031667</vt:i4>
      </vt:variant>
      <vt:variant>
        <vt:i4>89</vt:i4>
      </vt:variant>
      <vt:variant>
        <vt:i4>0</vt:i4>
      </vt:variant>
      <vt:variant>
        <vt:i4>5</vt:i4>
      </vt:variant>
      <vt:variant>
        <vt:lpwstr/>
      </vt:variant>
      <vt:variant>
        <vt:lpwstr>_Toc163235290</vt:lpwstr>
      </vt:variant>
      <vt:variant>
        <vt:i4>1966131</vt:i4>
      </vt:variant>
      <vt:variant>
        <vt:i4>83</vt:i4>
      </vt:variant>
      <vt:variant>
        <vt:i4>0</vt:i4>
      </vt:variant>
      <vt:variant>
        <vt:i4>5</vt:i4>
      </vt:variant>
      <vt:variant>
        <vt:lpwstr/>
      </vt:variant>
      <vt:variant>
        <vt:lpwstr>_Toc163235289</vt:lpwstr>
      </vt:variant>
      <vt:variant>
        <vt:i4>1966131</vt:i4>
      </vt:variant>
      <vt:variant>
        <vt:i4>77</vt:i4>
      </vt:variant>
      <vt:variant>
        <vt:i4>0</vt:i4>
      </vt:variant>
      <vt:variant>
        <vt:i4>5</vt:i4>
      </vt:variant>
      <vt:variant>
        <vt:lpwstr/>
      </vt:variant>
      <vt:variant>
        <vt:lpwstr>_Toc163235288</vt:lpwstr>
      </vt:variant>
      <vt:variant>
        <vt:i4>1966131</vt:i4>
      </vt:variant>
      <vt:variant>
        <vt:i4>71</vt:i4>
      </vt:variant>
      <vt:variant>
        <vt:i4>0</vt:i4>
      </vt:variant>
      <vt:variant>
        <vt:i4>5</vt:i4>
      </vt:variant>
      <vt:variant>
        <vt:lpwstr/>
      </vt:variant>
      <vt:variant>
        <vt:lpwstr>_Toc163235287</vt:lpwstr>
      </vt:variant>
      <vt:variant>
        <vt:i4>1966131</vt:i4>
      </vt:variant>
      <vt:variant>
        <vt:i4>65</vt:i4>
      </vt:variant>
      <vt:variant>
        <vt:i4>0</vt:i4>
      </vt:variant>
      <vt:variant>
        <vt:i4>5</vt:i4>
      </vt:variant>
      <vt:variant>
        <vt:lpwstr/>
      </vt:variant>
      <vt:variant>
        <vt:lpwstr>_Toc163235286</vt:lpwstr>
      </vt:variant>
      <vt:variant>
        <vt:i4>1966131</vt:i4>
      </vt:variant>
      <vt:variant>
        <vt:i4>59</vt:i4>
      </vt:variant>
      <vt:variant>
        <vt:i4>0</vt:i4>
      </vt:variant>
      <vt:variant>
        <vt:i4>5</vt:i4>
      </vt:variant>
      <vt:variant>
        <vt:lpwstr/>
      </vt:variant>
      <vt:variant>
        <vt:lpwstr>_Toc163235285</vt:lpwstr>
      </vt:variant>
      <vt:variant>
        <vt:i4>1966131</vt:i4>
      </vt:variant>
      <vt:variant>
        <vt:i4>53</vt:i4>
      </vt:variant>
      <vt:variant>
        <vt:i4>0</vt:i4>
      </vt:variant>
      <vt:variant>
        <vt:i4>5</vt:i4>
      </vt:variant>
      <vt:variant>
        <vt:lpwstr/>
      </vt:variant>
      <vt:variant>
        <vt:lpwstr>_Toc163235284</vt:lpwstr>
      </vt:variant>
      <vt:variant>
        <vt:i4>1966131</vt:i4>
      </vt:variant>
      <vt:variant>
        <vt:i4>47</vt:i4>
      </vt:variant>
      <vt:variant>
        <vt:i4>0</vt:i4>
      </vt:variant>
      <vt:variant>
        <vt:i4>5</vt:i4>
      </vt:variant>
      <vt:variant>
        <vt:lpwstr/>
      </vt:variant>
      <vt:variant>
        <vt:lpwstr>_Toc163235283</vt:lpwstr>
      </vt:variant>
      <vt:variant>
        <vt:i4>1966131</vt:i4>
      </vt:variant>
      <vt:variant>
        <vt:i4>41</vt:i4>
      </vt:variant>
      <vt:variant>
        <vt:i4>0</vt:i4>
      </vt:variant>
      <vt:variant>
        <vt:i4>5</vt:i4>
      </vt:variant>
      <vt:variant>
        <vt:lpwstr/>
      </vt:variant>
      <vt:variant>
        <vt:lpwstr>_Toc163235282</vt:lpwstr>
      </vt:variant>
      <vt:variant>
        <vt:i4>1966131</vt:i4>
      </vt:variant>
      <vt:variant>
        <vt:i4>35</vt:i4>
      </vt:variant>
      <vt:variant>
        <vt:i4>0</vt:i4>
      </vt:variant>
      <vt:variant>
        <vt:i4>5</vt:i4>
      </vt:variant>
      <vt:variant>
        <vt:lpwstr/>
      </vt:variant>
      <vt:variant>
        <vt:lpwstr>_Toc163235281</vt:lpwstr>
      </vt:variant>
      <vt:variant>
        <vt:i4>1966131</vt:i4>
      </vt:variant>
      <vt:variant>
        <vt:i4>29</vt:i4>
      </vt:variant>
      <vt:variant>
        <vt:i4>0</vt:i4>
      </vt:variant>
      <vt:variant>
        <vt:i4>5</vt:i4>
      </vt:variant>
      <vt:variant>
        <vt:lpwstr/>
      </vt:variant>
      <vt:variant>
        <vt:lpwstr>_Toc163235280</vt:lpwstr>
      </vt:variant>
      <vt:variant>
        <vt:i4>1114163</vt:i4>
      </vt:variant>
      <vt:variant>
        <vt:i4>23</vt:i4>
      </vt:variant>
      <vt:variant>
        <vt:i4>0</vt:i4>
      </vt:variant>
      <vt:variant>
        <vt:i4>5</vt:i4>
      </vt:variant>
      <vt:variant>
        <vt:lpwstr/>
      </vt:variant>
      <vt:variant>
        <vt:lpwstr>_Toc163235279</vt:lpwstr>
      </vt:variant>
      <vt:variant>
        <vt:i4>1114163</vt:i4>
      </vt:variant>
      <vt:variant>
        <vt:i4>17</vt:i4>
      </vt:variant>
      <vt:variant>
        <vt:i4>0</vt:i4>
      </vt:variant>
      <vt:variant>
        <vt:i4>5</vt:i4>
      </vt:variant>
      <vt:variant>
        <vt:lpwstr/>
      </vt:variant>
      <vt:variant>
        <vt:lpwstr>_Toc163235278</vt:lpwstr>
      </vt:variant>
      <vt:variant>
        <vt:i4>1114163</vt:i4>
      </vt:variant>
      <vt:variant>
        <vt:i4>11</vt:i4>
      </vt:variant>
      <vt:variant>
        <vt:i4>0</vt:i4>
      </vt:variant>
      <vt:variant>
        <vt:i4>5</vt:i4>
      </vt:variant>
      <vt:variant>
        <vt:lpwstr/>
      </vt:variant>
      <vt:variant>
        <vt:lpwstr>_Toc163235277</vt:lpwstr>
      </vt:variant>
      <vt:variant>
        <vt:i4>3080252</vt:i4>
      </vt:variant>
      <vt:variant>
        <vt:i4>6</vt:i4>
      </vt:variant>
      <vt:variant>
        <vt:i4>0</vt:i4>
      </vt:variant>
      <vt:variant>
        <vt:i4>5</vt:i4>
      </vt:variant>
      <vt:variant>
        <vt:lpwstr>https://www.agriculture.gov.au/</vt:lpwstr>
      </vt:variant>
      <vt:variant>
        <vt:lpwstr/>
      </vt:variant>
      <vt:variant>
        <vt:i4>786448</vt:i4>
      </vt:variant>
      <vt:variant>
        <vt:i4>3</vt:i4>
      </vt:variant>
      <vt:variant>
        <vt:i4>0</vt:i4>
      </vt:variant>
      <vt:variant>
        <vt:i4>5</vt:i4>
      </vt:variant>
      <vt:variant>
        <vt:lpwstr>https://haveyoursay.agriculture.gov.au/agricultural-traceability</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Assuring agricultural sustainability claims: discussion paper</dc:title>
  <dc:subject/>
  <dc:creator>Department of Agriculture, Fisheries and Forestry</dc:creator>
  <cp:keywords/>
  <dc:description/>
  <cp:lastModifiedBy>Yazdani, Bayan</cp:lastModifiedBy>
  <cp:revision>2</cp:revision>
  <cp:lastPrinted>2024-11-27T00:10:00Z</cp:lastPrinted>
  <dcterms:created xsi:type="dcterms:W3CDTF">2025-06-17T07:04:00Z</dcterms:created>
  <dcterms:modified xsi:type="dcterms:W3CDTF">2025-06-17T07:04:00Z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0x010100528A6F3FD46F004DA7AD9512D3862A1A</vt:lpwstr>
  </property>
  <property fmtid="{D5CDD505-2E9C-101B-9397-08002B2CF9AE}" pid="3" name="ClassificationContentMarkingHeaderShapeIds">
    <vt:lpwstr>207c85cb,177c713c,3dfeb91f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1232a6c5,7d783a8e,13c65ab0</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2024-03-14T02:01:29Z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6bcfa709-0b5b-4adb-9da9-5d9de5dd1296</vt:lpwstr>
  </property>
  <property fmtid="{D5CDD505-2E9C-101B-9397-08002B2CF9AE}" pid="15" name="MSIP_Label_933d8be6-3c40-4052-87a2-9c2adcba8759_ContentBits">
    <vt:lpwstr>3</vt:lpwstr>
  </property>
  <property fmtid="{D5CDD505-2E9C-101B-9397-08002B2CF9AE}" pid="16" name="MediaServiceImageTags">
    <vt:lpwstr/>
  </property>
</Properties>
</file>