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51E7" w14:textId="1CE29EA9" w:rsidR="000E455C" w:rsidRPr="00AD49F0" w:rsidRDefault="00DF4725" w:rsidP="00BF3176">
      <w:pPr>
        <w:pStyle w:val="Date"/>
        <w:spacing w:before="600"/>
      </w:pPr>
      <w:r>
        <w:t>July</w:t>
      </w:r>
      <w:r w:rsidR="00C369FB">
        <w:t xml:space="preserve"> </w:t>
      </w:r>
      <w:r w:rsidR="00D72F5D">
        <w:t>2025</w:t>
      </w:r>
    </w:p>
    <w:p w14:paraId="5DDF1C6E" w14:textId="6647E3A5" w:rsidR="000F3F28" w:rsidRPr="00B84056" w:rsidRDefault="000F3F28" w:rsidP="00B84056">
      <w:pPr>
        <w:pStyle w:val="Heading1"/>
      </w:pPr>
      <w:r>
        <w:t xml:space="preserve">Information sheet: Proposed improvements to the </w:t>
      </w:r>
      <w:r w:rsidR="008D7C1A" w:rsidRPr="003048D6">
        <w:rPr>
          <w:rFonts w:eastAsia="Calibri" w:cs="Calibri"/>
          <w:color w:val="000000" w:themeColor="text1"/>
        </w:rPr>
        <w:t xml:space="preserve">Export Control (Tariff Rate Quotas – </w:t>
      </w:r>
      <w:r w:rsidR="008D7C1A">
        <w:rPr>
          <w:rFonts w:eastAsia="Calibri" w:cs="Calibri"/>
          <w:color w:val="000000" w:themeColor="text1"/>
        </w:rPr>
        <w:t>General</w:t>
      </w:r>
      <w:r w:rsidR="00483411">
        <w:rPr>
          <w:rFonts w:eastAsia="Calibri" w:cs="Calibri"/>
          <w:color w:val="000000" w:themeColor="text1"/>
        </w:rPr>
        <w:t>)</w:t>
      </w:r>
      <w:r w:rsidR="008D7C1A" w:rsidRPr="003048D6">
        <w:rPr>
          <w:rFonts w:eastAsia="Calibri" w:cs="Calibri"/>
          <w:color w:val="000000" w:themeColor="text1"/>
        </w:rPr>
        <w:t xml:space="preserve"> Rules 2021</w:t>
      </w:r>
    </w:p>
    <w:p w14:paraId="6A09E248" w14:textId="67BE69FA" w:rsidR="00BF3176" w:rsidRPr="00B84056" w:rsidRDefault="000F3F28" w:rsidP="00B84056">
      <w:pPr>
        <w:pStyle w:val="Heading2"/>
      </w:pPr>
      <w:r w:rsidRPr="00B84056">
        <w:t>Introduction</w:t>
      </w:r>
    </w:p>
    <w:p w14:paraId="057C9C35" w14:textId="323DA7A0" w:rsidR="000F3F28" w:rsidRPr="00084040" w:rsidRDefault="000F3F28" w:rsidP="00084040">
      <w:pPr>
        <w:pStyle w:val="ListBullet"/>
        <w:numPr>
          <w:ilvl w:val="0"/>
          <w:numId w:val="0"/>
        </w:numPr>
        <w:spacing w:before="0" w:after="200" w:line="240" w:lineRule="auto"/>
        <w:rPr>
          <w:rFonts w:cstheme="minorHAnsi"/>
          <w:bCs/>
        </w:rPr>
      </w:pPr>
      <w:r w:rsidRPr="00084040">
        <w:rPr>
          <w:rFonts w:cstheme="minorHAnsi"/>
          <w:bCs/>
        </w:rPr>
        <w:t xml:space="preserve">Australia’s agricultural export legislation came into effect on 28 March 2021. It comprises the Export Control Act 2020 (the Act) and export control rules made under the Act for various commodities (the Rules). The Rules set out the more specific and operational requirements that must be met to export specific goods from Australia (e.g. </w:t>
      </w:r>
      <w:r w:rsidR="00D60B28" w:rsidRPr="00084040">
        <w:rPr>
          <w:rFonts w:cstheme="minorHAnsi"/>
          <w:bCs/>
        </w:rPr>
        <w:t>Tariff Rate Quota</w:t>
      </w:r>
      <w:r w:rsidR="00364112" w:rsidRPr="00084040">
        <w:rPr>
          <w:rFonts w:cstheme="minorHAnsi"/>
          <w:bCs/>
        </w:rPr>
        <w:t>s</w:t>
      </w:r>
      <w:r w:rsidRPr="00084040">
        <w:rPr>
          <w:rFonts w:cstheme="minorHAnsi"/>
          <w:bCs/>
        </w:rPr>
        <w:t>).</w:t>
      </w:r>
    </w:p>
    <w:p w14:paraId="1881409F" w14:textId="58735B3E" w:rsidR="000F3F28" w:rsidRPr="00084040" w:rsidRDefault="000F3F28" w:rsidP="00084040">
      <w:pPr>
        <w:pStyle w:val="ListBullet"/>
        <w:numPr>
          <w:ilvl w:val="0"/>
          <w:numId w:val="0"/>
        </w:numPr>
        <w:spacing w:before="0" w:after="200" w:line="240" w:lineRule="auto"/>
        <w:rPr>
          <w:rFonts w:cstheme="minorHAnsi"/>
          <w:bCs/>
        </w:rPr>
      </w:pPr>
      <w:r w:rsidRPr="00084040">
        <w:rPr>
          <w:rFonts w:cstheme="minorHAnsi"/>
          <w:bCs/>
        </w:rPr>
        <w:t>The Export Control (</w:t>
      </w:r>
      <w:r w:rsidR="00BD20F3" w:rsidRPr="00084040">
        <w:rPr>
          <w:rFonts w:cstheme="minorHAnsi"/>
          <w:bCs/>
        </w:rPr>
        <w:t>Tariff Rate Quotas – General</w:t>
      </w:r>
      <w:r w:rsidR="00525D88" w:rsidRPr="00084040">
        <w:rPr>
          <w:rFonts w:cstheme="minorHAnsi"/>
          <w:bCs/>
        </w:rPr>
        <w:t>)</w:t>
      </w:r>
      <w:r w:rsidR="00BD20F3" w:rsidRPr="00084040">
        <w:rPr>
          <w:rFonts w:cstheme="minorHAnsi"/>
          <w:bCs/>
        </w:rPr>
        <w:t xml:space="preserve"> Rules 2021 (</w:t>
      </w:r>
      <w:r w:rsidR="00FE5A19" w:rsidRPr="00084040">
        <w:rPr>
          <w:rFonts w:cstheme="minorHAnsi"/>
          <w:bCs/>
        </w:rPr>
        <w:t xml:space="preserve">Tariff Rate </w:t>
      </w:r>
      <w:r w:rsidR="00BD20F3" w:rsidRPr="00084040">
        <w:rPr>
          <w:rFonts w:cstheme="minorHAnsi"/>
          <w:bCs/>
        </w:rPr>
        <w:t>Quota</w:t>
      </w:r>
      <w:r w:rsidR="00FE5A19" w:rsidRPr="00084040">
        <w:rPr>
          <w:rFonts w:cstheme="minorHAnsi"/>
          <w:bCs/>
        </w:rPr>
        <w:t xml:space="preserve"> General</w:t>
      </w:r>
      <w:r w:rsidR="00BD20F3" w:rsidRPr="00084040">
        <w:rPr>
          <w:rFonts w:cstheme="minorHAnsi"/>
          <w:bCs/>
        </w:rPr>
        <w:t xml:space="preserve"> Rules) </w:t>
      </w:r>
      <w:r w:rsidR="00C51D1D" w:rsidRPr="00084040">
        <w:rPr>
          <w:rFonts w:cstheme="minorHAnsi"/>
          <w:bCs/>
        </w:rPr>
        <w:t xml:space="preserve">regulate the export of </w:t>
      </w:r>
      <w:r w:rsidR="00F66F14" w:rsidRPr="00084040">
        <w:rPr>
          <w:rFonts w:cstheme="minorHAnsi"/>
          <w:bCs/>
        </w:rPr>
        <w:t xml:space="preserve">in-quota </w:t>
      </w:r>
      <w:r w:rsidR="00483411" w:rsidRPr="00084040">
        <w:rPr>
          <w:rFonts w:cstheme="minorHAnsi"/>
          <w:bCs/>
        </w:rPr>
        <w:t xml:space="preserve">India </w:t>
      </w:r>
      <w:r w:rsidR="00C51D1D" w:rsidRPr="00084040">
        <w:rPr>
          <w:rFonts w:cstheme="minorHAnsi"/>
          <w:bCs/>
        </w:rPr>
        <w:t>cotton by setting rules for the allocation, management, and use of tariff rate quotas to ensure fair access and compliance with international trade agreements.</w:t>
      </w:r>
    </w:p>
    <w:p w14:paraId="216B6B73" w14:textId="1237F578" w:rsidR="00FF6F8E" w:rsidRPr="00084040" w:rsidRDefault="000F3F28" w:rsidP="00084040">
      <w:pPr>
        <w:pStyle w:val="ListBullet"/>
        <w:numPr>
          <w:ilvl w:val="0"/>
          <w:numId w:val="0"/>
        </w:numPr>
        <w:spacing w:before="0" w:after="200" w:line="240" w:lineRule="auto"/>
        <w:rPr>
          <w:rFonts w:cstheme="minorHAnsi"/>
          <w:bCs/>
        </w:rPr>
      </w:pPr>
      <w:r w:rsidRPr="00084040">
        <w:rPr>
          <w:rFonts w:cstheme="minorHAnsi"/>
          <w:bCs/>
        </w:rPr>
        <w:t xml:space="preserve">The proposed amendments to the </w:t>
      </w:r>
      <w:hyperlink r:id="rId11" w:history="1">
        <w:r w:rsidR="00FE5A19" w:rsidRPr="00084040">
          <w:rPr>
            <w:rFonts w:cstheme="minorHAnsi"/>
            <w:bCs/>
          </w:rPr>
          <w:t>Tariff Rate Quota General Rules</w:t>
        </w:r>
      </w:hyperlink>
      <w:r w:rsidR="005543DC" w:rsidRPr="00084040">
        <w:rPr>
          <w:rFonts w:cstheme="minorHAnsi"/>
          <w:bCs/>
        </w:rPr>
        <w:t xml:space="preserve"> are</w:t>
      </w:r>
      <w:r w:rsidRPr="00084040">
        <w:rPr>
          <w:rFonts w:cstheme="minorHAnsi"/>
          <w:bCs/>
        </w:rPr>
        <w:t xml:space="preserve"> outlined below and should be read with the </w:t>
      </w:r>
      <w:hyperlink r:id="rId12" w:history="1">
        <w:r w:rsidRPr="00084040">
          <w:rPr>
            <w:rFonts w:cstheme="minorHAnsi"/>
            <w:bCs/>
          </w:rPr>
          <w:t>Act</w:t>
        </w:r>
      </w:hyperlink>
      <w:r w:rsidRPr="00084040">
        <w:rPr>
          <w:rFonts w:cstheme="minorHAnsi"/>
          <w:bCs/>
        </w:rPr>
        <w:t xml:space="preserve"> and the </w:t>
      </w:r>
      <w:hyperlink r:id="rId13" w:history="1">
        <w:r w:rsidRPr="00084040">
          <w:rPr>
            <w:rFonts w:cstheme="minorHAnsi"/>
            <w:bCs/>
          </w:rPr>
          <w:t>Export Control (Miscellaneous) Rules 2021 (Miscellaneous Rules)</w:t>
        </w:r>
      </w:hyperlink>
      <w:r w:rsidRPr="00084040">
        <w:rPr>
          <w:rFonts w:cstheme="minorHAnsi"/>
          <w:bCs/>
        </w:rPr>
        <w:t>.</w:t>
      </w:r>
    </w:p>
    <w:p w14:paraId="3105E64E" w14:textId="07D0AE46" w:rsidR="00FF6F8E" w:rsidRPr="00F80D39" w:rsidRDefault="00DC1111" w:rsidP="00FF6F8E">
      <w:pPr>
        <w:pStyle w:val="Heading2"/>
        <w:rPr>
          <w:color w:val="FF0000"/>
        </w:rPr>
      </w:pPr>
      <w:r w:rsidRPr="00DC1111">
        <w:t xml:space="preserve">Minimum </w:t>
      </w:r>
      <w:r>
        <w:t>Q</w:t>
      </w:r>
      <w:r w:rsidRPr="00DC1111">
        <w:t xml:space="preserve">uota </w:t>
      </w:r>
      <w:r>
        <w:t>A</w:t>
      </w:r>
      <w:r w:rsidRPr="00DC1111">
        <w:t xml:space="preserve">llocation for </w:t>
      </w:r>
      <w:r>
        <w:t>C</w:t>
      </w:r>
      <w:r w:rsidRPr="00DC1111">
        <w:t xml:space="preserve">otton </w:t>
      </w:r>
    </w:p>
    <w:p w14:paraId="3A960CBC" w14:textId="4F88A311" w:rsidR="000D0C2D" w:rsidRPr="00084040" w:rsidRDefault="00D03141" w:rsidP="00084040">
      <w:pPr>
        <w:pStyle w:val="ListBullet"/>
        <w:numPr>
          <w:ilvl w:val="0"/>
          <w:numId w:val="0"/>
        </w:numPr>
        <w:spacing w:before="0" w:after="200" w:line="240" w:lineRule="auto"/>
        <w:rPr>
          <w:rFonts w:cstheme="minorHAnsi"/>
          <w:bCs/>
        </w:rPr>
      </w:pPr>
      <w:r w:rsidRPr="00084040">
        <w:rPr>
          <w:rFonts w:cstheme="minorHAnsi"/>
          <w:bCs/>
        </w:rPr>
        <w:t xml:space="preserve">The department is proposing to amend Section </w:t>
      </w:r>
      <w:r w:rsidR="00667CEF" w:rsidRPr="00084040">
        <w:rPr>
          <w:rFonts w:cstheme="minorHAnsi"/>
          <w:bCs/>
        </w:rPr>
        <w:t>74J</w:t>
      </w:r>
      <w:r w:rsidR="00D91926" w:rsidRPr="00084040">
        <w:rPr>
          <w:rFonts w:cstheme="minorHAnsi"/>
          <w:bCs/>
        </w:rPr>
        <w:t xml:space="preserve"> of the</w:t>
      </w:r>
      <w:r w:rsidRPr="00084040">
        <w:rPr>
          <w:rFonts w:cstheme="minorHAnsi"/>
          <w:bCs/>
        </w:rPr>
        <w:t xml:space="preserve"> </w:t>
      </w:r>
      <w:r w:rsidR="00FE5A19" w:rsidRPr="00084040">
        <w:rPr>
          <w:rFonts w:cstheme="minorHAnsi"/>
          <w:bCs/>
        </w:rPr>
        <w:t>Tariff Rate Quota General Rules</w:t>
      </w:r>
      <w:r w:rsidR="00D91926" w:rsidRPr="00084040">
        <w:rPr>
          <w:rFonts w:cstheme="minorHAnsi"/>
          <w:bCs/>
        </w:rPr>
        <w:t xml:space="preserve"> </w:t>
      </w:r>
      <w:r w:rsidR="00E539D4" w:rsidRPr="00084040">
        <w:rPr>
          <w:rFonts w:cstheme="minorHAnsi"/>
          <w:bCs/>
        </w:rPr>
        <w:t xml:space="preserve">to </w:t>
      </w:r>
      <w:r w:rsidR="003961EA" w:rsidRPr="00084040">
        <w:rPr>
          <w:rFonts w:cstheme="minorHAnsi"/>
          <w:bCs/>
        </w:rPr>
        <w:t>reduce</w:t>
      </w:r>
      <w:r w:rsidR="00E539D4" w:rsidRPr="00084040">
        <w:rPr>
          <w:rFonts w:cstheme="minorHAnsi"/>
          <w:bCs/>
        </w:rPr>
        <w:t xml:space="preserve"> t</w:t>
      </w:r>
      <w:r w:rsidR="00CD3B06" w:rsidRPr="00084040">
        <w:rPr>
          <w:rFonts w:cstheme="minorHAnsi"/>
          <w:bCs/>
        </w:rPr>
        <w:t xml:space="preserve">he minimum quota allocation for cotton exports to </w:t>
      </w:r>
      <w:r w:rsidR="00E0640B" w:rsidRPr="00084040">
        <w:rPr>
          <w:rFonts w:cstheme="minorHAnsi"/>
          <w:bCs/>
        </w:rPr>
        <w:t>India</w:t>
      </w:r>
      <w:r w:rsidR="00CD3B06" w:rsidRPr="00084040">
        <w:rPr>
          <w:rFonts w:cstheme="minorHAnsi"/>
          <w:bCs/>
        </w:rPr>
        <w:t xml:space="preserve"> from 500 </w:t>
      </w:r>
      <w:r w:rsidR="006A5465" w:rsidRPr="00084040">
        <w:rPr>
          <w:rFonts w:cstheme="minorHAnsi"/>
          <w:bCs/>
        </w:rPr>
        <w:t>tonnes</w:t>
      </w:r>
      <w:r w:rsidR="00CD3B06" w:rsidRPr="00084040">
        <w:rPr>
          <w:rFonts w:cstheme="minorHAnsi"/>
          <w:bCs/>
        </w:rPr>
        <w:t xml:space="preserve"> to 100 tonnes. This amendment </w:t>
      </w:r>
      <w:r w:rsidR="00483411" w:rsidRPr="00084040">
        <w:rPr>
          <w:rFonts w:cstheme="minorHAnsi"/>
          <w:bCs/>
        </w:rPr>
        <w:t xml:space="preserve">will enable the legislative calculations to work as </w:t>
      </w:r>
      <w:r w:rsidR="00CD3B06" w:rsidRPr="00084040">
        <w:rPr>
          <w:rFonts w:cstheme="minorHAnsi"/>
          <w:bCs/>
        </w:rPr>
        <w:t xml:space="preserve">intended </w:t>
      </w:r>
      <w:r w:rsidR="00483411" w:rsidRPr="00084040">
        <w:rPr>
          <w:rFonts w:cstheme="minorHAnsi"/>
          <w:bCs/>
        </w:rPr>
        <w:t>a</w:t>
      </w:r>
      <w:r w:rsidR="00CD3B06" w:rsidRPr="00084040">
        <w:rPr>
          <w:rFonts w:cstheme="minorHAnsi"/>
          <w:bCs/>
        </w:rPr>
        <w:t>llow</w:t>
      </w:r>
      <w:r w:rsidR="00483411" w:rsidRPr="00084040">
        <w:rPr>
          <w:rFonts w:cstheme="minorHAnsi"/>
          <w:bCs/>
        </w:rPr>
        <w:t>ing</w:t>
      </w:r>
      <w:r w:rsidR="00CD3B06" w:rsidRPr="00084040">
        <w:rPr>
          <w:rFonts w:cstheme="minorHAnsi"/>
          <w:bCs/>
        </w:rPr>
        <w:t xml:space="preserve"> exporters to continue </w:t>
      </w:r>
      <w:r w:rsidR="00F66F14" w:rsidRPr="00084040">
        <w:rPr>
          <w:rFonts w:cstheme="minorHAnsi"/>
          <w:bCs/>
        </w:rPr>
        <w:t xml:space="preserve">accessing </w:t>
      </w:r>
      <w:r w:rsidR="00E0640B" w:rsidRPr="00084040">
        <w:rPr>
          <w:rFonts w:cstheme="minorHAnsi"/>
          <w:bCs/>
        </w:rPr>
        <w:t xml:space="preserve">the India cotton quota </w:t>
      </w:r>
      <w:r w:rsidR="00483411" w:rsidRPr="00084040">
        <w:rPr>
          <w:rFonts w:cstheme="minorHAnsi"/>
          <w:bCs/>
        </w:rPr>
        <w:t>following the new</w:t>
      </w:r>
      <w:r w:rsidR="00E0640B" w:rsidRPr="00084040">
        <w:rPr>
          <w:rFonts w:cstheme="minorHAnsi"/>
          <w:bCs/>
        </w:rPr>
        <w:t xml:space="preserve"> entrant p</w:t>
      </w:r>
      <w:r w:rsidR="00483411" w:rsidRPr="00084040">
        <w:rPr>
          <w:rFonts w:cstheme="minorHAnsi"/>
          <w:bCs/>
        </w:rPr>
        <w:t>athway through the standard allocation provisions</w:t>
      </w:r>
      <w:r w:rsidR="00E0640B" w:rsidRPr="00084040">
        <w:rPr>
          <w:rFonts w:cstheme="minorHAnsi"/>
          <w:bCs/>
        </w:rPr>
        <w:t>.</w:t>
      </w:r>
    </w:p>
    <w:p w14:paraId="09CE8CB2" w14:textId="6D6E74C0" w:rsidR="00483411" w:rsidRDefault="006A5465" w:rsidP="00B80FC7">
      <w:pPr>
        <w:pStyle w:val="ListBullet"/>
        <w:numPr>
          <w:ilvl w:val="0"/>
          <w:numId w:val="0"/>
        </w:numPr>
        <w:spacing w:before="0" w:after="200" w:line="240" w:lineRule="auto"/>
        <w:rPr>
          <w:rFonts w:cstheme="minorHAnsi"/>
          <w:bCs/>
        </w:rPr>
      </w:pPr>
      <w:r>
        <w:rPr>
          <w:rFonts w:cstheme="minorHAnsi"/>
          <w:bCs/>
        </w:rPr>
        <w:t xml:space="preserve">Under the current </w:t>
      </w:r>
      <w:r w:rsidR="00FE5A19">
        <w:rPr>
          <w:rFonts w:cstheme="minorHAnsi"/>
          <w:bCs/>
        </w:rPr>
        <w:t>legislation</w:t>
      </w:r>
      <w:r>
        <w:rPr>
          <w:rFonts w:cstheme="minorHAnsi"/>
          <w:bCs/>
        </w:rPr>
        <w:t xml:space="preserve">, </w:t>
      </w:r>
      <w:r w:rsidR="00441729">
        <w:rPr>
          <w:rFonts w:cstheme="minorHAnsi"/>
          <w:bCs/>
        </w:rPr>
        <w:t xml:space="preserve">the 500 tonnes minimum quota allocation, set out in Section 74J, prevents exporters from being allocated tariff rate quota entitlement </w:t>
      </w:r>
      <w:r w:rsidR="00483411">
        <w:rPr>
          <w:rFonts w:cstheme="minorHAnsi"/>
          <w:bCs/>
        </w:rPr>
        <w:t>that</w:t>
      </w:r>
      <w:r w:rsidR="00441729">
        <w:rPr>
          <w:rFonts w:cstheme="minorHAnsi"/>
          <w:bCs/>
        </w:rPr>
        <w:t xml:space="preserve"> they have been access</w:t>
      </w:r>
      <w:r w:rsidR="006D24C0">
        <w:rPr>
          <w:rFonts w:cstheme="minorHAnsi"/>
          <w:bCs/>
        </w:rPr>
        <w:t>ing</w:t>
      </w:r>
      <w:r w:rsidR="00441729">
        <w:rPr>
          <w:rFonts w:cstheme="minorHAnsi"/>
          <w:bCs/>
        </w:rPr>
        <w:t xml:space="preserve"> in previous quota years as new entrants. O</w:t>
      </w:r>
      <w:r>
        <w:rPr>
          <w:rFonts w:cstheme="minorHAnsi"/>
          <w:bCs/>
        </w:rPr>
        <w:t xml:space="preserve">nce exporters are no longer considered new </w:t>
      </w:r>
      <w:r w:rsidR="00C616C9">
        <w:rPr>
          <w:rFonts w:cstheme="minorHAnsi"/>
          <w:bCs/>
        </w:rPr>
        <w:t>entrants</w:t>
      </w:r>
      <w:r>
        <w:rPr>
          <w:rFonts w:cstheme="minorHAnsi"/>
          <w:bCs/>
        </w:rPr>
        <w:t xml:space="preserve">, </w:t>
      </w:r>
      <w:r w:rsidR="00441729">
        <w:rPr>
          <w:rFonts w:cstheme="minorHAnsi"/>
          <w:bCs/>
        </w:rPr>
        <w:t xml:space="preserve">exporters would be </w:t>
      </w:r>
      <w:r w:rsidR="00C616C9">
        <w:rPr>
          <w:rFonts w:cstheme="minorHAnsi"/>
          <w:bCs/>
        </w:rPr>
        <w:t>ineligible</w:t>
      </w:r>
      <w:r>
        <w:rPr>
          <w:rFonts w:cstheme="minorHAnsi"/>
          <w:bCs/>
        </w:rPr>
        <w:t xml:space="preserve"> for </w:t>
      </w:r>
      <w:r w:rsidR="00830445">
        <w:rPr>
          <w:rFonts w:cstheme="minorHAnsi"/>
          <w:bCs/>
        </w:rPr>
        <w:t>both new</w:t>
      </w:r>
      <w:r>
        <w:rPr>
          <w:rFonts w:cstheme="minorHAnsi"/>
          <w:bCs/>
        </w:rPr>
        <w:t xml:space="preserve"> entrant quota allocations for a period of three years</w:t>
      </w:r>
      <w:r w:rsidR="00441729">
        <w:rPr>
          <w:rFonts w:cstheme="minorHAnsi"/>
          <w:bCs/>
        </w:rPr>
        <w:t xml:space="preserve"> and the standard access amount</w:t>
      </w:r>
      <w:r>
        <w:rPr>
          <w:rFonts w:cstheme="minorHAnsi"/>
          <w:bCs/>
        </w:rPr>
        <w:t xml:space="preserve">, effectively excluding them </w:t>
      </w:r>
      <w:r w:rsidR="00AB5A24">
        <w:rPr>
          <w:rFonts w:cstheme="minorHAnsi"/>
          <w:bCs/>
        </w:rPr>
        <w:t xml:space="preserve">from tariff-free access. Without the proposed amendment, these exporters would be required to pay a 10% tariff </w:t>
      </w:r>
      <w:r w:rsidR="00145134">
        <w:rPr>
          <w:rFonts w:cstheme="minorHAnsi"/>
          <w:bCs/>
        </w:rPr>
        <w:t xml:space="preserve">or Most Favoured Nation tariff on all cotton exports to India. </w:t>
      </w:r>
    </w:p>
    <w:p w14:paraId="25E88507" w14:textId="4DCAA01A" w:rsidR="002B4A42" w:rsidRPr="00B80FC7" w:rsidRDefault="00145134" w:rsidP="00B80FC7">
      <w:pPr>
        <w:pStyle w:val="ListBullet"/>
        <w:numPr>
          <w:ilvl w:val="0"/>
          <w:numId w:val="0"/>
        </w:numPr>
        <w:spacing w:before="0" w:after="200" w:line="240" w:lineRule="auto"/>
        <w:rPr>
          <w:rFonts w:cstheme="minorHAnsi"/>
          <w:bCs/>
        </w:rPr>
      </w:pPr>
      <w:r>
        <w:rPr>
          <w:rFonts w:cstheme="minorHAnsi"/>
          <w:bCs/>
        </w:rPr>
        <w:t xml:space="preserve">This change will support ongoing </w:t>
      </w:r>
      <w:r w:rsidR="00C616C9">
        <w:rPr>
          <w:rFonts w:cstheme="minorHAnsi"/>
          <w:bCs/>
        </w:rPr>
        <w:t>participation</w:t>
      </w:r>
      <w:r>
        <w:rPr>
          <w:rFonts w:cstheme="minorHAnsi"/>
          <w:bCs/>
        </w:rPr>
        <w:t xml:space="preserve"> of </w:t>
      </w:r>
      <w:r w:rsidR="00483411">
        <w:rPr>
          <w:rFonts w:cstheme="minorHAnsi"/>
          <w:bCs/>
        </w:rPr>
        <w:t xml:space="preserve">new </w:t>
      </w:r>
      <w:r>
        <w:rPr>
          <w:rFonts w:cstheme="minorHAnsi"/>
          <w:bCs/>
        </w:rPr>
        <w:t xml:space="preserve">exporters by </w:t>
      </w:r>
      <w:r w:rsidR="00F66F14">
        <w:rPr>
          <w:rFonts w:cstheme="minorHAnsi"/>
          <w:bCs/>
        </w:rPr>
        <w:t>enabling the new entrant pathway to operate effectively</w:t>
      </w:r>
      <w:r>
        <w:rPr>
          <w:rFonts w:cstheme="minorHAnsi"/>
          <w:bCs/>
        </w:rPr>
        <w:t>. It will ensure that exporters</w:t>
      </w:r>
      <w:r w:rsidR="00F66F14">
        <w:rPr>
          <w:rFonts w:cstheme="minorHAnsi"/>
          <w:bCs/>
        </w:rPr>
        <w:t>,</w:t>
      </w:r>
      <w:r>
        <w:rPr>
          <w:rFonts w:cstheme="minorHAnsi"/>
          <w:bCs/>
        </w:rPr>
        <w:t xml:space="preserve"> </w:t>
      </w:r>
      <w:r w:rsidR="00F66F14">
        <w:rPr>
          <w:rFonts w:cstheme="minorHAnsi"/>
          <w:bCs/>
        </w:rPr>
        <w:t xml:space="preserve">who have built a shipping history via the new entrant pathway, </w:t>
      </w:r>
      <w:r>
        <w:rPr>
          <w:rFonts w:cstheme="minorHAnsi"/>
          <w:bCs/>
        </w:rPr>
        <w:t xml:space="preserve">can continue to access the India </w:t>
      </w:r>
      <w:r w:rsidR="00C616C9">
        <w:rPr>
          <w:rFonts w:cstheme="minorHAnsi"/>
          <w:bCs/>
        </w:rPr>
        <w:t>market</w:t>
      </w:r>
      <w:r>
        <w:rPr>
          <w:rFonts w:cstheme="minorHAnsi"/>
          <w:bCs/>
        </w:rPr>
        <w:t xml:space="preserve"> </w:t>
      </w:r>
      <w:r w:rsidR="00C616C9">
        <w:rPr>
          <w:rFonts w:cstheme="minorHAnsi"/>
          <w:bCs/>
        </w:rPr>
        <w:t>under</w:t>
      </w:r>
      <w:r>
        <w:rPr>
          <w:rFonts w:cstheme="minorHAnsi"/>
          <w:bCs/>
        </w:rPr>
        <w:t xml:space="preserve"> a </w:t>
      </w:r>
      <w:r w:rsidR="00C616C9">
        <w:rPr>
          <w:rFonts w:cstheme="minorHAnsi"/>
          <w:bCs/>
        </w:rPr>
        <w:t xml:space="preserve">tariff rate quota and avoid financial disadvantage. </w:t>
      </w:r>
    </w:p>
    <w:p w14:paraId="05E12BBE" w14:textId="10FA0D95" w:rsidR="00B82095" w:rsidRPr="00AD49F0" w:rsidRDefault="000913B5" w:rsidP="00FF6F8E">
      <w:pPr>
        <w:pStyle w:val="Heading2"/>
        <w:ind w:left="0" w:firstLine="0"/>
      </w:pPr>
      <w:r w:rsidRPr="00AD49F0">
        <w:t>More</w:t>
      </w:r>
      <w:r w:rsidR="00B82095" w:rsidRPr="00AD49F0">
        <w:t xml:space="preserve"> information</w:t>
      </w:r>
    </w:p>
    <w:p w14:paraId="2A57D8C3" w14:textId="31BAF63E" w:rsidR="000E7803" w:rsidRPr="00AD49F0" w:rsidRDefault="000E7803" w:rsidP="00B82095">
      <w:pPr>
        <w:rPr>
          <w:lang w:eastAsia="ja-JP"/>
        </w:rPr>
      </w:pPr>
      <w:r w:rsidRPr="00AD49F0">
        <w:rPr>
          <w:lang w:eastAsia="ja-JP"/>
        </w:rPr>
        <w:t xml:space="preserve">Learn more about </w:t>
      </w:r>
      <w:hyperlink r:id="rId14" w:history="1">
        <w:r w:rsidRPr="00AD49F0">
          <w:rPr>
            <w:rStyle w:val="Hyperlink"/>
            <w:lang w:eastAsia="ja-JP"/>
          </w:rPr>
          <w:t>Improved agricultural export legislation</w:t>
        </w:r>
      </w:hyperlink>
    </w:p>
    <w:p w14:paraId="63B65205" w14:textId="362E8542" w:rsidR="000F3F28" w:rsidRPr="00BF3176" w:rsidRDefault="00B82095" w:rsidP="00BF3176">
      <w:pPr>
        <w:spacing w:after="360"/>
        <w:rPr>
          <w:rStyle w:val="Strong"/>
          <w:b w:val="0"/>
          <w:bCs w:val="0"/>
          <w:lang w:eastAsia="ja-JP"/>
        </w:rPr>
      </w:pPr>
      <w:r w:rsidRPr="00AD49F0">
        <w:rPr>
          <w:lang w:eastAsia="ja-JP"/>
        </w:rPr>
        <w:t xml:space="preserve">Email </w:t>
      </w:r>
      <w:hyperlink r:id="rId15" w:history="1">
        <w:r w:rsidR="00F30857" w:rsidRPr="00AD49F0">
          <w:rPr>
            <w:rStyle w:val="Hyperlink"/>
            <w:lang w:eastAsia="ja-JP"/>
          </w:rPr>
          <w:t>exportlegislation@aff.gov.au</w:t>
        </w:r>
      </w:hyperlink>
    </w:p>
    <w:p w14:paraId="4323A8FD" w14:textId="30364E80" w:rsidR="000A5BA0" w:rsidRPr="00AD49F0" w:rsidRDefault="000A5BA0" w:rsidP="000A5BA0">
      <w:pPr>
        <w:pStyle w:val="Normalsmall"/>
      </w:pPr>
      <w:r w:rsidRPr="00AD49F0">
        <w:rPr>
          <w:rStyle w:val="Strong"/>
        </w:rPr>
        <w:t>Acknowledgement of Country</w:t>
      </w:r>
    </w:p>
    <w:p w14:paraId="4A16DA96" w14:textId="77777777" w:rsidR="000A5BA0" w:rsidRPr="00AD49F0" w:rsidRDefault="000A5BA0" w:rsidP="000A5BA0">
      <w:pPr>
        <w:pStyle w:val="Normalsmall"/>
        <w:rPr>
          <w:rStyle w:val="Hyperlink"/>
          <w:color w:val="auto"/>
          <w:u w:val="none"/>
        </w:rPr>
      </w:pPr>
      <w:r w:rsidRPr="00AD49F0">
        <w:lastRenderedPageBreak/>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9CC7CD0" w14:textId="1838B162" w:rsidR="00E9781D" w:rsidRPr="00AD49F0" w:rsidRDefault="00E9781D" w:rsidP="00E9781D">
      <w:pPr>
        <w:pStyle w:val="Normalsmall"/>
        <w:spacing w:before="360"/>
      </w:pPr>
      <w:r w:rsidRPr="00AD49F0">
        <w:t>© Commonwealth of Australia 202</w:t>
      </w:r>
      <w:r w:rsidR="002016AD">
        <w:t>4</w:t>
      </w:r>
    </w:p>
    <w:p w14:paraId="64DD2CF9" w14:textId="77777777" w:rsidR="00E9781D" w:rsidRPr="00AD49F0" w:rsidRDefault="00E9781D" w:rsidP="00E9781D">
      <w:pPr>
        <w:pStyle w:val="Normalsmall"/>
      </w:pPr>
      <w:r w:rsidRPr="00AD49F0">
        <w:t>Unless otherwise noted, copyright (and any other intellectual property rights) in this publication is owned by the Commonwealth of Australia (referred to as the Commonwealth).</w:t>
      </w:r>
    </w:p>
    <w:p w14:paraId="14133E80" w14:textId="77777777" w:rsidR="00E9781D" w:rsidRPr="00AD49F0" w:rsidRDefault="00E9781D" w:rsidP="00E9781D">
      <w:pPr>
        <w:pStyle w:val="Normalsmall"/>
      </w:pPr>
      <w:r w:rsidRPr="00AD49F0">
        <w:t xml:space="preserve">All material in this publication is licensed under a </w:t>
      </w:r>
      <w:hyperlink r:id="rId16" w:history="1">
        <w:r w:rsidRPr="00AD49F0">
          <w:rPr>
            <w:rStyle w:val="Hyperlink"/>
          </w:rPr>
          <w:t>Creative Commons Attribution 4.0 International Licence</w:t>
        </w:r>
      </w:hyperlink>
      <w:r w:rsidRPr="00AD49F0">
        <w:t xml:space="preserve"> except content supplied by third parties, logos and the Commonwealth Coat of Arms.</w:t>
      </w:r>
    </w:p>
    <w:p w14:paraId="41517982" w14:textId="77777777" w:rsidR="005B656B" w:rsidRDefault="00E9781D" w:rsidP="00E9781D">
      <w:pPr>
        <w:pStyle w:val="Normalsmall"/>
      </w:pPr>
      <w:r w:rsidRPr="00AD49F0">
        <w:t xml:space="preserve">The Australian Government acting through the </w:t>
      </w:r>
      <w:r w:rsidR="009C37F9" w:rsidRPr="00AD49F0">
        <w:t xml:space="preserve">Department of Agriculture, Fisheries and Forestry </w:t>
      </w:r>
      <w:r w:rsidRPr="00AD49F0">
        <w:t xml:space="preserve">has exercised due care and skill in preparing and compiling the information and data in this publication. Notwithstanding, the </w:t>
      </w:r>
      <w:r w:rsidR="009C37F9" w:rsidRPr="00AD49F0">
        <w:t>Department of Agriculture, Fisheries and Forestry</w:t>
      </w:r>
      <w:r w:rsidRPr="00AD49F0">
        <w:t xml:space="preserve">, its employees and advisers disclaim all liability, including liability for negligence and for any loss, damage, injury, expense or cost incurred by any person </w:t>
      </w:r>
      <w:proofErr w:type="gramStart"/>
      <w:r w:rsidRPr="00AD49F0">
        <w:t>as a result of</w:t>
      </w:r>
      <w:proofErr w:type="gramEnd"/>
      <w:r w:rsidRPr="00AD49F0">
        <w:t xml:space="preserve"> accessing, using or relying on any of the information or data in this publication to the maximum extent permitted by law.</w:t>
      </w:r>
    </w:p>
    <w:p w14:paraId="4BC70237" w14:textId="77777777" w:rsidR="00DC1111" w:rsidRDefault="00DC1111" w:rsidP="00E9781D">
      <w:pPr>
        <w:pStyle w:val="Normalsmall"/>
      </w:pPr>
    </w:p>
    <w:p w14:paraId="7D089650" w14:textId="77777777" w:rsidR="00DC1111" w:rsidRDefault="00DC1111" w:rsidP="00E9781D">
      <w:pPr>
        <w:pStyle w:val="Normalsmall"/>
      </w:pPr>
    </w:p>
    <w:p w14:paraId="120CF5DE" w14:textId="77777777" w:rsidR="00DC1111" w:rsidRDefault="00DC1111" w:rsidP="00E9781D">
      <w:pPr>
        <w:pStyle w:val="Normalsmall"/>
      </w:pPr>
    </w:p>
    <w:p w14:paraId="58B88EBB" w14:textId="77777777" w:rsidR="00DC1111" w:rsidRDefault="00DC1111" w:rsidP="00E9781D">
      <w:pPr>
        <w:pStyle w:val="Normalsmall"/>
      </w:pPr>
    </w:p>
    <w:p w14:paraId="686D40FC" w14:textId="77777777" w:rsidR="00DC1111" w:rsidRDefault="00DC1111" w:rsidP="00E9781D">
      <w:pPr>
        <w:pStyle w:val="Normalsmall"/>
      </w:pPr>
    </w:p>
    <w:sectPr w:rsidR="00DC1111" w:rsidSect="0013173D">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2CD3" w14:textId="77777777" w:rsidR="00B72208" w:rsidRDefault="00B72208">
      <w:r>
        <w:separator/>
      </w:r>
    </w:p>
    <w:p w14:paraId="4B877A7C" w14:textId="77777777" w:rsidR="00B72208" w:rsidRDefault="00B72208"/>
    <w:p w14:paraId="2772CD1A" w14:textId="77777777" w:rsidR="00B72208" w:rsidRDefault="00B72208"/>
  </w:endnote>
  <w:endnote w:type="continuationSeparator" w:id="0">
    <w:p w14:paraId="16880249" w14:textId="77777777" w:rsidR="00B72208" w:rsidRDefault="00B72208">
      <w:r>
        <w:continuationSeparator/>
      </w:r>
    </w:p>
    <w:p w14:paraId="7ACC6915" w14:textId="77777777" w:rsidR="00B72208" w:rsidRDefault="00B72208"/>
    <w:p w14:paraId="0EE83E2C" w14:textId="77777777" w:rsidR="00B72208" w:rsidRDefault="00B72208"/>
  </w:endnote>
  <w:endnote w:type="continuationNotice" w:id="1">
    <w:p w14:paraId="3AEB6755" w14:textId="77777777" w:rsidR="00B72208" w:rsidRDefault="00B72208">
      <w:pPr>
        <w:pStyle w:val="Footer"/>
      </w:pPr>
    </w:p>
    <w:p w14:paraId="73E7FB6C" w14:textId="77777777" w:rsidR="00B72208" w:rsidRDefault="00B72208"/>
    <w:p w14:paraId="25A54C62" w14:textId="77777777" w:rsidR="00B72208" w:rsidRDefault="00B7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8A91" w14:textId="1E95BEF4" w:rsidR="004E0EBB" w:rsidRDefault="004E0EBB">
    <w:pPr>
      <w:pStyle w:val="Footer"/>
    </w:pPr>
    <w:r>
      <w:rPr>
        <w:noProof/>
      </w:rPr>
      <mc:AlternateContent>
        <mc:Choice Requires="wps">
          <w:drawing>
            <wp:anchor distT="0" distB="0" distL="0" distR="0" simplePos="0" relativeHeight="251664384" behindDoc="0" locked="0" layoutInCell="1" allowOverlap="1" wp14:anchorId="71CB6C48" wp14:editId="7BABD1BD">
              <wp:simplePos x="635" y="635"/>
              <wp:positionH relativeFrom="page">
                <wp:align>center</wp:align>
              </wp:positionH>
              <wp:positionV relativeFrom="page">
                <wp:align>bottom</wp:align>
              </wp:positionV>
              <wp:extent cx="551815" cy="404495"/>
              <wp:effectExtent l="0" t="0" r="635" b="0"/>
              <wp:wrapNone/>
              <wp:docPr id="349325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BBBA64" w14:textId="1FEA573C"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B6C4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BBBA64" w14:textId="1FEA573C"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BEE6" w14:textId="7AB0F423" w:rsidR="00863E83" w:rsidRDefault="004E0EBB" w:rsidP="00863E83">
    <w:pPr>
      <w:pStyle w:val="Footer"/>
    </w:pPr>
    <w:r>
      <w:rPr>
        <w:noProof/>
      </w:rPr>
      <mc:AlternateContent>
        <mc:Choice Requires="wps">
          <w:drawing>
            <wp:anchor distT="0" distB="0" distL="0" distR="0" simplePos="0" relativeHeight="251665408" behindDoc="0" locked="0" layoutInCell="1" allowOverlap="1" wp14:anchorId="7192D640" wp14:editId="16FE2AF0">
              <wp:simplePos x="787400" y="10045700"/>
              <wp:positionH relativeFrom="page">
                <wp:align>center</wp:align>
              </wp:positionH>
              <wp:positionV relativeFrom="page">
                <wp:align>bottom</wp:align>
              </wp:positionV>
              <wp:extent cx="551815" cy="404495"/>
              <wp:effectExtent l="0" t="0" r="635" b="0"/>
              <wp:wrapNone/>
              <wp:docPr id="10546765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330394" w14:textId="621CFA7D"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2D64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A330394" w14:textId="621CFA7D"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p>
  <w:p w14:paraId="1A353980" w14:textId="77777777" w:rsidR="000542B4" w:rsidRDefault="009B2B7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9EED" w14:textId="58E2404E" w:rsidR="00577F29" w:rsidRDefault="004E0EBB" w:rsidP="004E6316">
    <w:pPr>
      <w:pStyle w:val="Footer"/>
    </w:pPr>
    <w:r>
      <w:rPr>
        <w:noProof/>
      </w:rPr>
      <mc:AlternateContent>
        <mc:Choice Requires="wps">
          <w:drawing>
            <wp:anchor distT="0" distB="0" distL="0" distR="0" simplePos="0" relativeHeight="251663360" behindDoc="0" locked="0" layoutInCell="1" allowOverlap="1" wp14:anchorId="7AC9D7F5" wp14:editId="0E02D02E">
              <wp:simplePos x="787400" y="10287000"/>
              <wp:positionH relativeFrom="page">
                <wp:align>center</wp:align>
              </wp:positionH>
              <wp:positionV relativeFrom="page">
                <wp:align>bottom</wp:align>
              </wp:positionV>
              <wp:extent cx="551815" cy="404495"/>
              <wp:effectExtent l="0" t="0" r="635" b="0"/>
              <wp:wrapNone/>
              <wp:docPr id="9603541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07BB89" w14:textId="43B2181D"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9D7F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007BB89" w14:textId="43B2181D"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v:textbox>
              <w10:wrap anchorx="page" anchory="page"/>
            </v:shape>
          </w:pict>
        </mc:Fallback>
      </mc:AlternateContent>
    </w:r>
  </w:p>
  <w:sdt>
    <w:sdtPr>
      <w:id w:val="-858040093"/>
      <w:docPartObj>
        <w:docPartGallery w:val="Page Numbers (Bottom of Page)"/>
        <w:docPartUnique/>
      </w:docPartObj>
    </w:sdtPr>
    <w:sdtEndPr>
      <w:rPr>
        <w:noProof/>
      </w:rPr>
    </w:sdtEndPr>
    <w:sdtContent>
      <w:p w14:paraId="00D75E58"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41E1B" w14:textId="77777777" w:rsidR="00B72208" w:rsidRDefault="00B72208">
      <w:r>
        <w:separator/>
      </w:r>
    </w:p>
    <w:p w14:paraId="1CC3C967" w14:textId="77777777" w:rsidR="00B72208" w:rsidRDefault="00B72208"/>
    <w:p w14:paraId="1E1234DC" w14:textId="77777777" w:rsidR="00B72208" w:rsidRDefault="00B72208"/>
  </w:footnote>
  <w:footnote w:type="continuationSeparator" w:id="0">
    <w:p w14:paraId="1BFA7FC3" w14:textId="77777777" w:rsidR="00B72208" w:rsidRDefault="00B72208">
      <w:r>
        <w:continuationSeparator/>
      </w:r>
    </w:p>
    <w:p w14:paraId="74041E26" w14:textId="77777777" w:rsidR="00B72208" w:rsidRDefault="00B72208"/>
    <w:p w14:paraId="5D058E7D" w14:textId="77777777" w:rsidR="00B72208" w:rsidRDefault="00B72208"/>
  </w:footnote>
  <w:footnote w:type="continuationNotice" w:id="1">
    <w:p w14:paraId="3F01D855" w14:textId="77777777" w:rsidR="00B72208" w:rsidRDefault="00B72208">
      <w:pPr>
        <w:pStyle w:val="Footer"/>
      </w:pPr>
    </w:p>
    <w:p w14:paraId="44D4F9E3" w14:textId="77777777" w:rsidR="00B72208" w:rsidRDefault="00B72208"/>
    <w:p w14:paraId="39835E78" w14:textId="77777777" w:rsidR="00B72208" w:rsidRDefault="00B72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0DBE" w14:textId="540E8F36" w:rsidR="004E0EBB" w:rsidRDefault="004E0EBB">
    <w:pPr>
      <w:pStyle w:val="Header"/>
    </w:pPr>
    <w:r>
      <w:rPr>
        <w:noProof/>
      </w:rPr>
      <mc:AlternateContent>
        <mc:Choice Requires="wps">
          <w:drawing>
            <wp:anchor distT="0" distB="0" distL="0" distR="0" simplePos="0" relativeHeight="251661312" behindDoc="0" locked="0" layoutInCell="1" allowOverlap="1" wp14:anchorId="4D98DE76" wp14:editId="12F93419">
              <wp:simplePos x="635" y="635"/>
              <wp:positionH relativeFrom="page">
                <wp:align>center</wp:align>
              </wp:positionH>
              <wp:positionV relativeFrom="page">
                <wp:align>top</wp:align>
              </wp:positionV>
              <wp:extent cx="551815" cy="404495"/>
              <wp:effectExtent l="0" t="0" r="635" b="14605"/>
              <wp:wrapNone/>
              <wp:docPr id="13621383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3B09BE" w14:textId="2CF17792"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8DE7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D3B09BE" w14:textId="2CF17792"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0F44" w14:textId="0CBF6D04" w:rsidR="000F3F28" w:rsidRPr="000F3F28" w:rsidRDefault="004E0EBB" w:rsidP="000F3F28">
    <w:pPr>
      <w:widowControl w:val="0"/>
      <w:spacing w:before="360" w:after="240" w:line="240" w:lineRule="auto"/>
      <w:contextualSpacing/>
      <w:jc w:val="center"/>
      <w:outlineLvl w:val="0"/>
      <w:rPr>
        <w:rFonts w:ascii="Calibri" w:hAnsi="Calibri"/>
        <w:color w:val="000000"/>
        <w:spacing w:val="5"/>
        <w:kern w:val="28"/>
        <w:sz w:val="20"/>
        <w:szCs w:val="20"/>
      </w:rPr>
    </w:pPr>
    <w:r>
      <w:rPr>
        <w:rFonts w:ascii="Calibri" w:hAnsi="Calibri"/>
        <w:noProof/>
        <w:color w:val="000000"/>
        <w:spacing w:val="5"/>
        <w:kern w:val="28"/>
        <w:sz w:val="20"/>
        <w:szCs w:val="20"/>
      </w:rPr>
      <mc:AlternateContent>
        <mc:Choice Requires="wps">
          <w:drawing>
            <wp:anchor distT="0" distB="0" distL="0" distR="0" simplePos="0" relativeHeight="251662336" behindDoc="0" locked="0" layoutInCell="1" allowOverlap="1" wp14:anchorId="26C5DD3D" wp14:editId="11A92DAF">
              <wp:simplePos x="787400" y="355600"/>
              <wp:positionH relativeFrom="page">
                <wp:align>center</wp:align>
              </wp:positionH>
              <wp:positionV relativeFrom="page">
                <wp:align>top</wp:align>
              </wp:positionV>
              <wp:extent cx="551815" cy="404495"/>
              <wp:effectExtent l="0" t="0" r="635" b="14605"/>
              <wp:wrapNone/>
              <wp:docPr id="10711322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4251BA" w14:textId="6B463132"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C5DD3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04251BA" w14:textId="6B463132"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v:textbox>
              <w10:wrap anchorx="page" anchory="page"/>
            </v:shape>
          </w:pict>
        </mc:Fallback>
      </mc:AlternateContent>
    </w:r>
    <w:r w:rsidR="000F3F28" w:rsidRPr="000F3F28">
      <w:rPr>
        <w:rFonts w:ascii="Calibri" w:hAnsi="Calibri"/>
        <w:color w:val="000000"/>
        <w:spacing w:val="5"/>
        <w:kern w:val="28"/>
        <w:sz w:val="20"/>
        <w:szCs w:val="20"/>
      </w:rPr>
      <w:t>Information sheet: Proposed improvements to the Export Control (Meat and Meat Products) Rules 2021</w:t>
    </w:r>
  </w:p>
  <w:p w14:paraId="0BA35825" w14:textId="4A40775D" w:rsidR="000542B4" w:rsidRDefault="00054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B1CD" w14:textId="4EC55EE2" w:rsidR="000E455C" w:rsidRDefault="004E0EBB" w:rsidP="00A8157A">
    <w:pPr>
      <w:pStyle w:val="Footer"/>
      <w:spacing w:after="0"/>
      <w:jc w:val="left"/>
    </w:pPr>
    <w:r>
      <w:rPr>
        <w:noProof/>
      </w:rPr>
      <mc:AlternateContent>
        <mc:Choice Requires="wps">
          <w:drawing>
            <wp:anchor distT="0" distB="0" distL="0" distR="0" simplePos="0" relativeHeight="251660288" behindDoc="0" locked="0" layoutInCell="1" allowOverlap="1" wp14:anchorId="04D5F180" wp14:editId="5F78D449">
              <wp:simplePos x="787400" y="355600"/>
              <wp:positionH relativeFrom="page">
                <wp:align>center</wp:align>
              </wp:positionH>
              <wp:positionV relativeFrom="page">
                <wp:align>top</wp:align>
              </wp:positionV>
              <wp:extent cx="551815" cy="404495"/>
              <wp:effectExtent l="0" t="0" r="635" b="14605"/>
              <wp:wrapNone/>
              <wp:docPr id="17850474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2F9E3B" w14:textId="2FD60AC3"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5F180"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A2F9E3B" w14:textId="2FD60AC3" w:rsidR="004E0EBB" w:rsidRPr="004E0EBB" w:rsidRDefault="004E0EBB" w:rsidP="004E0EBB">
                    <w:pPr>
                      <w:spacing w:after="0"/>
                      <w:rPr>
                        <w:rFonts w:ascii="Calibri" w:eastAsia="Calibri" w:hAnsi="Calibri" w:cs="Calibri"/>
                        <w:noProof/>
                        <w:color w:val="FF0000"/>
                        <w:sz w:val="24"/>
                        <w:szCs w:val="24"/>
                      </w:rPr>
                    </w:pPr>
                    <w:r w:rsidRPr="004E0EBB">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5859FF5F" wp14:editId="0FA6D51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86DC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FB6476"/>
    <w:multiLevelType w:val="hybridMultilevel"/>
    <w:tmpl w:val="7E00590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860099D"/>
    <w:multiLevelType w:val="hybridMultilevel"/>
    <w:tmpl w:val="0DBE80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6"/>
  </w:num>
  <w:num w:numId="2" w16cid:durableId="1209954464">
    <w:abstractNumId w:val="4"/>
  </w:num>
  <w:num w:numId="3" w16cid:durableId="211696695">
    <w:abstractNumId w:val="9"/>
  </w:num>
  <w:num w:numId="4" w16cid:durableId="1550148830">
    <w:abstractNumId w:val="10"/>
  </w:num>
  <w:num w:numId="5" w16cid:durableId="1460108156">
    <w:abstractNumId w:val="2"/>
  </w:num>
  <w:num w:numId="6" w16cid:durableId="1934704985">
    <w:abstractNumId w:val="7"/>
  </w:num>
  <w:num w:numId="7" w16cid:durableId="1013073201">
    <w:abstractNumId w:val="8"/>
  </w:num>
  <w:num w:numId="8" w16cid:durableId="524289160">
    <w:abstractNumId w:val="3"/>
  </w:num>
  <w:num w:numId="9" w16cid:durableId="701133861">
    <w:abstractNumId w:val="1"/>
  </w:num>
  <w:num w:numId="10" w16cid:durableId="1746804905">
    <w:abstractNumId w:val="5"/>
  </w:num>
  <w:num w:numId="11" w16cid:durableId="338774294">
    <w:abstractNumId w:val="0"/>
  </w:num>
  <w:num w:numId="12" w16cid:durableId="1516194442">
    <w:abstractNumId w:val="9"/>
  </w:num>
  <w:num w:numId="13" w16cid:durableId="143636046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28"/>
    <w:rsid w:val="000004CC"/>
    <w:rsid w:val="0000059E"/>
    <w:rsid w:val="0000066F"/>
    <w:rsid w:val="00001B53"/>
    <w:rsid w:val="00017ACB"/>
    <w:rsid w:val="000206A5"/>
    <w:rsid w:val="00021590"/>
    <w:rsid w:val="00021D15"/>
    <w:rsid w:val="00025D1B"/>
    <w:rsid w:val="000266C4"/>
    <w:rsid w:val="00040D1D"/>
    <w:rsid w:val="000542B4"/>
    <w:rsid w:val="000618F3"/>
    <w:rsid w:val="00066D0B"/>
    <w:rsid w:val="000717D2"/>
    <w:rsid w:val="00074A56"/>
    <w:rsid w:val="00077EED"/>
    <w:rsid w:val="00080827"/>
    <w:rsid w:val="00081255"/>
    <w:rsid w:val="0008277A"/>
    <w:rsid w:val="00084040"/>
    <w:rsid w:val="000904C1"/>
    <w:rsid w:val="000913B5"/>
    <w:rsid w:val="000A5BA0"/>
    <w:rsid w:val="000B3924"/>
    <w:rsid w:val="000B3C44"/>
    <w:rsid w:val="000C0412"/>
    <w:rsid w:val="000C4558"/>
    <w:rsid w:val="000D0C2D"/>
    <w:rsid w:val="000D11A8"/>
    <w:rsid w:val="000E455C"/>
    <w:rsid w:val="000E4D74"/>
    <w:rsid w:val="000E7803"/>
    <w:rsid w:val="000F0491"/>
    <w:rsid w:val="000F3F28"/>
    <w:rsid w:val="00103328"/>
    <w:rsid w:val="0010760A"/>
    <w:rsid w:val="00113507"/>
    <w:rsid w:val="00115EB6"/>
    <w:rsid w:val="001233A8"/>
    <w:rsid w:val="00127E09"/>
    <w:rsid w:val="0013173D"/>
    <w:rsid w:val="00132963"/>
    <w:rsid w:val="00134BA9"/>
    <w:rsid w:val="001429DC"/>
    <w:rsid w:val="00144601"/>
    <w:rsid w:val="00145134"/>
    <w:rsid w:val="00190D7E"/>
    <w:rsid w:val="001929D2"/>
    <w:rsid w:val="001A6968"/>
    <w:rsid w:val="001B79E1"/>
    <w:rsid w:val="001C064F"/>
    <w:rsid w:val="001C72A4"/>
    <w:rsid w:val="001D0823"/>
    <w:rsid w:val="001D0EF3"/>
    <w:rsid w:val="002016AD"/>
    <w:rsid w:val="00201BFB"/>
    <w:rsid w:val="00203DE1"/>
    <w:rsid w:val="0021332B"/>
    <w:rsid w:val="0021453E"/>
    <w:rsid w:val="00220618"/>
    <w:rsid w:val="00224190"/>
    <w:rsid w:val="00235D14"/>
    <w:rsid w:val="00237A69"/>
    <w:rsid w:val="0027144D"/>
    <w:rsid w:val="00275B58"/>
    <w:rsid w:val="00275C20"/>
    <w:rsid w:val="00284B53"/>
    <w:rsid w:val="002851AF"/>
    <w:rsid w:val="0028527A"/>
    <w:rsid w:val="002B1FAF"/>
    <w:rsid w:val="002B4A42"/>
    <w:rsid w:val="002D7B52"/>
    <w:rsid w:val="002E01CB"/>
    <w:rsid w:val="002E3FD4"/>
    <w:rsid w:val="002E5E4E"/>
    <w:rsid w:val="002F4595"/>
    <w:rsid w:val="002F70E6"/>
    <w:rsid w:val="00300AFD"/>
    <w:rsid w:val="003032C0"/>
    <w:rsid w:val="00336B60"/>
    <w:rsid w:val="00341ABB"/>
    <w:rsid w:val="00342FF9"/>
    <w:rsid w:val="00346DBC"/>
    <w:rsid w:val="0035108D"/>
    <w:rsid w:val="003569F9"/>
    <w:rsid w:val="00363177"/>
    <w:rsid w:val="0036325D"/>
    <w:rsid w:val="00364112"/>
    <w:rsid w:val="00364915"/>
    <w:rsid w:val="00366721"/>
    <w:rsid w:val="00370990"/>
    <w:rsid w:val="0037698A"/>
    <w:rsid w:val="00376E4A"/>
    <w:rsid w:val="00392124"/>
    <w:rsid w:val="003937B8"/>
    <w:rsid w:val="003961EA"/>
    <w:rsid w:val="003B3B1B"/>
    <w:rsid w:val="003B5B87"/>
    <w:rsid w:val="003B5F24"/>
    <w:rsid w:val="003C08A8"/>
    <w:rsid w:val="003C52FB"/>
    <w:rsid w:val="003D0929"/>
    <w:rsid w:val="003E5BED"/>
    <w:rsid w:val="003E5FA5"/>
    <w:rsid w:val="003E70B2"/>
    <w:rsid w:val="003F4D78"/>
    <w:rsid w:val="003F73D7"/>
    <w:rsid w:val="00411260"/>
    <w:rsid w:val="00413680"/>
    <w:rsid w:val="0043014F"/>
    <w:rsid w:val="00441729"/>
    <w:rsid w:val="00442630"/>
    <w:rsid w:val="0044304D"/>
    <w:rsid w:val="00446CB3"/>
    <w:rsid w:val="0045417E"/>
    <w:rsid w:val="00473858"/>
    <w:rsid w:val="00474BB1"/>
    <w:rsid w:val="00477888"/>
    <w:rsid w:val="00483411"/>
    <w:rsid w:val="00495068"/>
    <w:rsid w:val="004A3058"/>
    <w:rsid w:val="004A3EC8"/>
    <w:rsid w:val="004A62A6"/>
    <w:rsid w:val="004B1DE0"/>
    <w:rsid w:val="004C21BA"/>
    <w:rsid w:val="004C2DA2"/>
    <w:rsid w:val="004D0888"/>
    <w:rsid w:val="004E0EBB"/>
    <w:rsid w:val="004E6316"/>
    <w:rsid w:val="004F1F74"/>
    <w:rsid w:val="004F70EC"/>
    <w:rsid w:val="005019C1"/>
    <w:rsid w:val="00506C39"/>
    <w:rsid w:val="005070C8"/>
    <w:rsid w:val="00514CEE"/>
    <w:rsid w:val="00515287"/>
    <w:rsid w:val="005157CF"/>
    <w:rsid w:val="00523229"/>
    <w:rsid w:val="00525D88"/>
    <w:rsid w:val="00527229"/>
    <w:rsid w:val="00531B5A"/>
    <w:rsid w:val="00551257"/>
    <w:rsid w:val="00553E9D"/>
    <w:rsid w:val="005543DC"/>
    <w:rsid w:val="0055447F"/>
    <w:rsid w:val="00556A27"/>
    <w:rsid w:val="00567DFC"/>
    <w:rsid w:val="00572BA9"/>
    <w:rsid w:val="00577F29"/>
    <w:rsid w:val="005A48A6"/>
    <w:rsid w:val="005B613F"/>
    <w:rsid w:val="005B656B"/>
    <w:rsid w:val="005C2BFD"/>
    <w:rsid w:val="005E221B"/>
    <w:rsid w:val="005F3FC9"/>
    <w:rsid w:val="00607A21"/>
    <w:rsid w:val="00607A36"/>
    <w:rsid w:val="006156DF"/>
    <w:rsid w:val="00625D8D"/>
    <w:rsid w:val="00634568"/>
    <w:rsid w:val="00634DDF"/>
    <w:rsid w:val="006360F9"/>
    <w:rsid w:val="006423E6"/>
    <w:rsid w:val="00642F36"/>
    <w:rsid w:val="00645C81"/>
    <w:rsid w:val="00646917"/>
    <w:rsid w:val="00656587"/>
    <w:rsid w:val="00657DE4"/>
    <w:rsid w:val="00667CEF"/>
    <w:rsid w:val="00682F59"/>
    <w:rsid w:val="00686073"/>
    <w:rsid w:val="00687B76"/>
    <w:rsid w:val="006921B1"/>
    <w:rsid w:val="00693F61"/>
    <w:rsid w:val="00694A5E"/>
    <w:rsid w:val="00696682"/>
    <w:rsid w:val="006A5465"/>
    <w:rsid w:val="006A67D5"/>
    <w:rsid w:val="006B0030"/>
    <w:rsid w:val="006B1CBA"/>
    <w:rsid w:val="006B49DE"/>
    <w:rsid w:val="006C252B"/>
    <w:rsid w:val="006D24C0"/>
    <w:rsid w:val="006D413F"/>
    <w:rsid w:val="006D6415"/>
    <w:rsid w:val="006E353E"/>
    <w:rsid w:val="006F3F32"/>
    <w:rsid w:val="006F6FE8"/>
    <w:rsid w:val="00700A80"/>
    <w:rsid w:val="0070464B"/>
    <w:rsid w:val="0071330D"/>
    <w:rsid w:val="00714C23"/>
    <w:rsid w:val="00717E32"/>
    <w:rsid w:val="00721291"/>
    <w:rsid w:val="00721978"/>
    <w:rsid w:val="007258B1"/>
    <w:rsid w:val="00725C8B"/>
    <w:rsid w:val="00726059"/>
    <w:rsid w:val="00741EFF"/>
    <w:rsid w:val="00742122"/>
    <w:rsid w:val="00754CA3"/>
    <w:rsid w:val="0076549B"/>
    <w:rsid w:val="007660EB"/>
    <w:rsid w:val="00767EE8"/>
    <w:rsid w:val="00776EFC"/>
    <w:rsid w:val="00782FC6"/>
    <w:rsid w:val="00793E18"/>
    <w:rsid w:val="007B4C63"/>
    <w:rsid w:val="007B6C5C"/>
    <w:rsid w:val="007B702E"/>
    <w:rsid w:val="007C0010"/>
    <w:rsid w:val="007C153E"/>
    <w:rsid w:val="007C32AC"/>
    <w:rsid w:val="007C4973"/>
    <w:rsid w:val="007C5081"/>
    <w:rsid w:val="007D0715"/>
    <w:rsid w:val="007D4D5A"/>
    <w:rsid w:val="007D7147"/>
    <w:rsid w:val="007D7527"/>
    <w:rsid w:val="007D76F4"/>
    <w:rsid w:val="007E69AF"/>
    <w:rsid w:val="007F4986"/>
    <w:rsid w:val="007F5142"/>
    <w:rsid w:val="008040FF"/>
    <w:rsid w:val="0080517C"/>
    <w:rsid w:val="00805470"/>
    <w:rsid w:val="00830445"/>
    <w:rsid w:val="00832638"/>
    <w:rsid w:val="00863E83"/>
    <w:rsid w:val="00865130"/>
    <w:rsid w:val="00872FEC"/>
    <w:rsid w:val="00882895"/>
    <w:rsid w:val="008843FC"/>
    <w:rsid w:val="00892F53"/>
    <w:rsid w:val="00895341"/>
    <w:rsid w:val="008A0B52"/>
    <w:rsid w:val="008A405E"/>
    <w:rsid w:val="008B621F"/>
    <w:rsid w:val="008C70E1"/>
    <w:rsid w:val="008D7C1A"/>
    <w:rsid w:val="008E3B54"/>
    <w:rsid w:val="008F1712"/>
    <w:rsid w:val="008F35A6"/>
    <w:rsid w:val="008F382A"/>
    <w:rsid w:val="00902E92"/>
    <w:rsid w:val="0090743D"/>
    <w:rsid w:val="00911F4A"/>
    <w:rsid w:val="009128AC"/>
    <w:rsid w:val="00916FC3"/>
    <w:rsid w:val="009178FE"/>
    <w:rsid w:val="00933C07"/>
    <w:rsid w:val="00941377"/>
    <w:rsid w:val="00943779"/>
    <w:rsid w:val="009660F7"/>
    <w:rsid w:val="00974CD6"/>
    <w:rsid w:val="00976563"/>
    <w:rsid w:val="009844EA"/>
    <w:rsid w:val="00991E69"/>
    <w:rsid w:val="00993A06"/>
    <w:rsid w:val="009B2B7D"/>
    <w:rsid w:val="009B602C"/>
    <w:rsid w:val="009B78EB"/>
    <w:rsid w:val="009C206F"/>
    <w:rsid w:val="009C24C3"/>
    <w:rsid w:val="009C37F9"/>
    <w:rsid w:val="009C3FA3"/>
    <w:rsid w:val="009C4457"/>
    <w:rsid w:val="009C5CE4"/>
    <w:rsid w:val="009D7044"/>
    <w:rsid w:val="00A0018B"/>
    <w:rsid w:val="00A04AFD"/>
    <w:rsid w:val="00A072AE"/>
    <w:rsid w:val="00A130F7"/>
    <w:rsid w:val="00A143E1"/>
    <w:rsid w:val="00A22BA5"/>
    <w:rsid w:val="00A22F0B"/>
    <w:rsid w:val="00A26D48"/>
    <w:rsid w:val="00A32860"/>
    <w:rsid w:val="00A45981"/>
    <w:rsid w:val="00A52544"/>
    <w:rsid w:val="00A53003"/>
    <w:rsid w:val="00A62CD6"/>
    <w:rsid w:val="00A62F99"/>
    <w:rsid w:val="00A63F4F"/>
    <w:rsid w:val="00A65D84"/>
    <w:rsid w:val="00A7091D"/>
    <w:rsid w:val="00A77E8E"/>
    <w:rsid w:val="00A8157A"/>
    <w:rsid w:val="00A86760"/>
    <w:rsid w:val="00AA1D89"/>
    <w:rsid w:val="00AB1442"/>
    <w:rsid w:val="00AB5A24"/>
    <w:rsid w:val="00AC65DB"/>
    <w:rsid w:val="00AC66D1"/>
    <w:rsid w:val="00AD49F0"/>
    <w:rsid w:val="00AE1E6E"/>
    <w:rsid w:val="00AE40DE"/>
    <w:rsid w:val="00AE4763"/>
    <w:rsid w:val="00AF3C62"/>
    <w:rsid w:val="00B0121B"/>
    <w:rsid w:val="00B0455B"/>
    <w:rsid w:val="00B11E02"/>
    <w:rsid w:val="00B17580"/>
    <w:rsid w:val="00B21E8F"/>
    <w:rsid w:val="00B26B04"/>
    <w:rsid w:val="00B3476F"/>
    <w:rsid w:val="00B372A2"/>
    <w:rsid w:val="00B404AB"/>
    <w:rsid w:val="00B43568"/>
    <w:rsid w:val="00B470D2"/>
    <w:rsid w:val="00B56028"/>
    <w:rsid w:val="00B72208"/>
    <w:rsid w:val="00B77869"/>
    <w:rsid w:val="00B80FC7"/>
    <w:rsid w:val="00B82095"/>
    <w:rsid w:val="00B84056"/>
    <w:rsid w:val="00B90975"/>
    <w:rsid w:val="00B93571"/>
    <w:rsid w:val="00B94CBD"/>
    <w:rsid w:val="00B977EF"/>
    <w:rsid w:val="00BA194F"/>
    <w:rsid w:val="00BA1EA8"/>
    <w:rsid w:val="00BA2806"/>
    <w:rsid w:val="00BA4306"/>
    <w:rsid w:val="00BC321A"/>
    <w:rsid w:val="00BD20F3"/>
    <w:rsid w:val="00BD4F8E"/>
    <w:rsid w:val="00BE345B"/>
    <w:rsid w:val="00BF3176"/>
    <w:rsid w:val="00BF4EEC"/>
    <w:rsid w:val="00C06ECB"/>
    <w:rsid w:val="00C150E1"/>
    <w:rsid w:val="00C21BB1"/>
    <w:rsid w:val="00C369FB"/>
    <w:rsid w:val="00C51D1D"/>
    <w:rsid w:val="00C6128D"/>
    <w:rsid w:val="00C616C9"/>
    <w:rsid w:val="00C645EB"/>
    <w:rsid w:val="00C6762D"/>
    <w:rsid w:val="00C73278"/>
    <w:rsid w:val="00C765C8"/>
    <w:rsid w:val="00C800D4"/>
    <w:rsid w:val="00C816DB"/>
    <w:rsid w:val="00C82029"/>
    <w:rsid w:val="00C91E83"/>
    <w:rsid w:val="00C9283A"/>
    <w:rsid w:val="00C95039"/>
    <w:rsid w:val="00CA380B"/>
    <w:rsid w:val="00CA4615"/>
    <w:rsid w:val="00CA7C6F"/>
    <w:rsid w:val="00CA7F9E"/>
    <w:rsid w:val="00CC1880"/>
    <w:rsid w:val="00CD3A6F"/>
    <w:rsid w:val="00CD3B06"/>
    <w:rsid w:val="00CD6263"/>
    <w:rsid w:val="00CE5971"/>
    <w:rsid w:val="00CE7F36"/>
    <w:rsid w:val="00CF7D08"/>
    <w:rsid w:val="00D03141"/>
    <w:rsid w:val="00D04163"/>
    <w:rsid w:val="00D04A3C"/>
    <w:rsid w:val="00D1228D"/>
    <w:rsid w:val="00D22097"/>
    <w:rsid w:val="00D36C41"/>
    <w:rsid w:val="00D4039B"/>
    <w:rsid w:val="00D55A85"/>
    <w:rsid w:val="00D55EB5"/>
    <w:rsid w:val="00D60B28"/>
    <w:rsid w:val="00D71589"/>
    <w:rsid w:val="00D72F5D"/>
    <w:rsid w:val="00D750D0"/>
    <w:rsid w:val="00D765AF"/>
    <w:rsid w:val="00D800EA"/>
    <w:rsid w:val="00D83688"/>
    <w:rsid w:val="00D87480"/>
    <w:rsid w:val="00D91926"/>
    <w:rsid w:val="00D923BF"/>
    <w:rsid w:val="00DB71FD"/>
    <w:rsid w:val="00DC1111"/>
    <w:rsid w:val="00DC453F"/>
    <w:rsid w:val="00DC57F0"/>
    <w:rsid w:val="00DE546F"/>
    <w:rsid w:val="00DF241E"/>
    <w:rsid w:val="00DF37B0"/>
    <w:rsid w:val="00DF4725"/>
    <w:rsid w:val="00E014F8"/>
    <w:rsid w:val="00E0640B"/>
    <w:rsid w:val="00E11E1A"/>
    <w:rsid w:val="00E1630F"/>
    <w:rsid w:val="00E25A07"/>
    <w:rsid w:val="00E333DF"/>
    <w:rsid w:val="00E425D4"/>
    <w:rsid w:val="00E44E91"/>
    <w:rsid w:val="00E508A8"/>
    <w:rsid w:val="00E539D4"/>
    <w:rsid w:val="00E54A80"/>
    <w:rsid w:val="00E61540"/>
    <w:rsid w:val="00E643DA"/>
    <w:rsid w:val="00E83C41"/>
    <w:rsid w:val="00E87842"/>
    <w:rsid w:val="00E9781D"/>
    <w:rsid w:val="00EA5D76"/>
    <w:rsid w:val="00EB1CB7"/>
    <w:rsid w:val="00EC2925"/>
    <w:rsid w:val="00EC551A"/>
    <w:rsid w:val="00EC5579"/>
    <w:rsid w:val="00EC5C40"/>
    <w:rsid w:val="00ED0028"/>
    <w:rsid w:val="00ED3D89"/>
    <w:rsid w:val="00ED774B"/>
    <w:rsid w:val="00EE0118"/>
    <w:rsid w:val="00EE49CE"/>
    <w:rsid w:val="00EE7C8D"/>
    <w:rsid w:val="00EF24B1"/>
    <w:rsid w:val="00EF3918"/>
    <w:rsid w:val="00EF73D0"/>
    <w:rsid w:val="00F03129"/>
    <w:rsid w:val="00F07F6C"/>
    <w:rsid w:val="00F23AF2"/>
    <w:rsid w:val="00F2792D"/>
    <w:rsid w:val="00F30857"/>
    <w:rsid w:val="00F330C3"/>
    <w:rsid w:val="00F3602D"/>
    <w:rsid w:val="00F611B0"/>
    <w:rsid w:val="00F66F14"/>
    <w:rsid w:val="00F75F33"/>
    <w:rsid w:val="00F80D39"/>
    <w:rsid w:val="00F84236"/>
    <w:rsid w:val="00FB5327"/>
    <w:rsid w:val="00FC2CE4"/>
    <w:rsid w:val="00FC379E"/>
    <w:rsid w:val="00FD0D51"/>
    <w:rsid w:val="00FD337C"/>
    <w:rsid w:val="00FD3BAE"/>
    <w:rsid w:val="00FD5236"/>
    <w:rsid w:val="00FD7035"/>
    <w:rsid w:val="00FD7D5B"/>
    <w:rsid w:val="00FE0ECD"/>
    <w:rsid w:val="00FE0F23"/>
    <w:rsid w:val="00FE570F"/>
    <w:rsid w:val="00FE5A19"/>
    <w:rsid w:val="00FF6F8E"/>
    <w:rsid w:val="0F182557"/>
    <w:rsid w:val="1E7D43E0"/>
    <w:rsid w:val="31976E45"/>
    <w:rsid w:val="35CDD9F7"/>
    <w:rsid w:val="3F08A787"/>
    <w:rsid w:val="558B1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5718"/>
  <w15:docId w15:val="{94B355C8-1E3F-4771-A10F-6DAFDC77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character" w:styleId="Mention">
    <w:name w:val="Mention"/>
    <w:basedOn w:val="DefaultParagraphFont"/>
    <w:uiPriority w:val="99"/>
    <w:unhideWhenUsed/>
    <w:rsid w:val="00E014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1L00302/latest/tex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Details/C2023C003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9L01652/latest/tex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xportlegislation@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market-access-trade/improving-export-legislatio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0004\OneDrive%20-%20Agriculture\Desktop\DAFF%20-%20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191E34F81C44C8329881E31269C2C" ma:contentTypeVersion="7" ma:contentTypeDescription="Create a new document." ma:contentTypeScope="" ma:versionID="cc829fdbffc65e58553ffbc4ddeece13">
  <xsd:schema xmlns:xsd="http://www.w3.org/2001/XMLSchema" xmlns:xs="http://www.w3.org/2001/XMLSchema" xmlns:p="http://schemas.microsoft.com/office/2006/metadata/properties" xmlns:ns2="039f484f-6464-4c90-8c1e-39cd19d62101" targetNamespace="http://schemas.microsoft.com/office/2006/metadata/properties" ma:root="true" ma:fieldsID="214c8746ac2cfae1e867c21c69103263" ns2:_="">
    <xsd:import namespace="039f484f-6464-4c90-8c1e-39cd19d62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484f-6464-4c90-8c1e-39cd19d6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B8702-A370-4224-8463-85CFE87F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484f-6464-4c90-8c1e-39cd19d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purl.org/dc/elements/1.1/"/>
    <ds:schemaRef ds:uri="http://www.w3.org/XML/1998/namespace"/>
    <ds:schemaRef ds:uri="039f484f-6464-4c90-8c1e-39cd19d6210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DAFF - Fact Sheet Template</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Information sheet: Proposed improvements to the Export Control (Meat and Meat Products) Rules 2021</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Proposed improvements to the Export Control (Meat and Meat Products) Rules 2021</dc:title>
  <dc:creator>The Department of Agriculture, Fisheries and Forestry</dc:creator>
  <cp:lastModifiedBy>Spencer, Jess</cp:lastModifiedBy>
  <cp:revision>2</cp:revision>
  <cp:lastPrinted>2022-10-26T05:30:00Z</cp:lastPrinted>
  <dcterms:created xsi:type="dcterms:W3CDTF">2025-07-16T01:21:00Z</dcterms:created>
  <dcterms:modified xsi:type="dcterms:W3CDTF">2025-07-16T01:21:00Z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0x010100AAE191E34F81C44C8329881E31269C2C</vt:lpwstr>
  </property>
  <property fmtid="{D5CDD505-2E9C-101B-9397-08002B2CF9AE}" pid="3" name="ClassificationContentMarkingHeaderShapeIds">
    <vt:lpwstr>6a65a96c,513094ef,3fd82e31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393dd75a,215072c,3edd1667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2024-09-11T02:19:52Z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10423ed8-a71b-4f76-97ba-7d8f6fae4848</vt:lpwstr>
  </property>
  <property fmtid="{D5CDD505-2E9C-101B-9397-08002B2CF9AE}" pid="15" name="MSIP_Label_933d8be6-3c40-4052-87a2-9c2adcba8759_ContentBits">
    <vt:lpwstr>3</vt:lpwstr>
  </property>
  <property fmtid="{D5CDD505-2E9C-101B-9397-08002B2CF9AE}" pid="16" name="MediaServiceImageTags">
    <vt:lpwstr/>
  </property>
</Properties>
</file>