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CCB1" w14:textId="77777777" w:rsidR="000B1709" w:rsidRDefault="00AA49F1" w:rsidP="000B1709">
      <w:pPr>
        <w:pStyle w:val="NormalWeb"/>
      </w:pPr>
      <w:r>
        <w:t>Given the broad host range already reported for VHSV, the fact that it is exotic and could impact a huge range of species in Australia, including the largest fishery sector in Australia - Atlantic salmon farming, and given that sturgeon cell lines are perm</w:t>
      </w:r>
      <w:r>
        <w:t xml:space="preserve">issive to VHSV and result in cytopathic effect that VHSV should be RETAINED as a potential biosecurity risk and subject to further risk analysis in the actual Import Risk Analysis. Whilst the OIE does not list </w:t>
      </w:r>
      <w:proofErr w:type="spellStart"/>
      <w:r>
        <w:t>acipenseridae</w:t>
      </w:r>
      <w:proofErr w:type="spellEnd"/>
      <w:r>
        <w:t xml:space="preserve"> as susceptible to VHSV - this is</w:t>
      </w:r>
      <w:r>
        <w:t xml:space="preserve"> because the OIE requires listing only with definitive evidence either through natural infection or challenge trials that mimic natural infection. </w:t>
      </w:r>
    </w:p>
    <w:p w14:paraId="4AD1CCB2" w14:textId="77777777" w:rsidR="007D7EC3" w:rsidRDefault="007D7EC3"/>
    <w:sectPr w:rsidR="007D7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B1709"/>
    <w:rsid w:val="001E6628"/>
    <w:rsid w:val="007D7EC3"/>
    <w:rsid w:val="00AA49F1"/>
    <w:rsid w:val="00C41BE0"/>
    <w:rsid w:val="00C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CCB1"/>
  <w15:chartTrackingRefBased/>
  <w15:docId w15:val="{FBFA73E0-F7C4-460B-BA7A-4E74A67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70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DE337-C928-4598-8988-BEC57FF31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F4932-B64C-48F6-84B0-FE2179CA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Nov, Amanda</dc:creator>
  <cp:lastModifiedBy>Nov, Amanda</cp:lastModifiedBy>
  <cp:revision>2</cp:revision>
  <dcterms:created xsi:type="dcterms:W3CDTF">2022-09-20T04:27:00Z</dcterms:created>
  <dcterms:modified xsi:type="dcterms:W3CDTF">2022-09-20T04:27:00Z</dcterms:modified>
</cp:coreProperties>
</file>